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知识库管理员操作手册</w:t>
      </w:r>
    </w:p>
    <w:p>
      <w:pPr>
        <w:jc w:val="center"/>
      </w:pPr>
      <w:r>
        <w:t>手册编号：MAN-2026-0173    版本：V1.3    更新日期：2026-01-26</w:t>
      </w:r>
    </w:p>
    <w:p>
      <w:pPr>
        <w:pStyle w:val="Heading1"/>
      </w:pPr>
      <w:r>
        <w:t>一、创建知识库</w:t>
      </w:r>
    </w:p>
    <w:p>
      <w:pPr>
        <w:pStyle w:val="ListNumber"/>
      </w:pPr>
      <w:r>
        <w:t>进入知识库管理页面</w:t>
      </w:r>
    </w:p>
    <w:p>
      <w:pPr>
        <w:pStyle w:val="ListNumber"/>
      </w:pPr>
      <w:r>
        <w:t>点击新建知识库</w:t>
      </w:r>
    </w:p>
    <w:p>
      <w:pPr>
        <w:pStyle w:val="ListNumber"/>
      </w:pPr>
      <w:r>
        <w:t>填写名称、描述和所属应用</w:t>
      </w:r>
    </w:p>
    <w:p>
      <w:pPr>
        <w:pStyle w:val="ListNumber"/>
      </w:pPr>
      <w:r>
        <w:t>选择默认 Embedding 模型</w:t>
      </w:r>
    </w:p>
    <w:p>
      <w:pPr>
        <w:pStyle w:val="ListNumber"/>
      </w:pPr>
      <w:r>
        <w:t>保存并进入文档上传页面</w:t>
      </w:r>
    </w:p>
    <w:p>
      <w:pPr>
        <w:pStyle w:val="Heading1"/>
      </w:pPr>
      <w:r>
        <w:t>二、上传业务文档</w:t>
      </w:r>
    </w:p>
    <w:p>
      <w:r>
        <w:t>生产系统中最常见的资料类型包括 DOCX、PDF 和 XLSX。制度、合同、会议纪要通常为 DOCX；签章合同和扫描件通常为 PDF；台账、清单和日报通常为 XLSX。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文件类型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典型资料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推荐分块方式</w:t>
            </w:r>
          </w:p>
        </w:tc>
      </w:tr>
      <w:tr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制度、合同、会议纪要、操作手册</w:t>
            </w:r>
          </w:p>
        </w:tc>
        <w:tc>
          <w:tcPr>
            <w:tcW w:type="dxa" w:w="2880"/>
          </w:tcPr>
          <w:p>
            <w:r>
              <w:t>标题层级 + 条款/表格识别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扫描件、签章合同、通知公告</w:t>
            </w:r>
          </w:p>
        </w:tc>
        <w:tc>
          <w:tcPr>
            <w:tcW w:type="dxa" w:w="2880"/>
          </w:tcPr>
          <w:p>
            <w:r>
              <w:t>版面解析 + OCR + 页码</w:t>
            </w:r>
          </w:p>
        </w:tc>
      </w:tr>
      <w:tr>
        <w:tc>
          <w:tcPr>
            <w:tcW w:type="dxa" w:w="2880"/>
          </w:tcPr>
          <w:p>
            <w:r>
              <w:t>XLSX</w:t>
            </w:r>
          </w:p>
        </w:tc>
        <w:tc>
          <w:tcPr>
            <w:tcW w:type="dxa" w:w="2880"/>
          </w:tcPr>
          <w:p>
            <w:r>
              <w:t>台账、清单、统计日报</w:t>
            </w:r>
          </w:p>
        </w:tc>
        <w:tc>
          <w:tcPr>
            <w:tcW w:type="dxa" w:w="2880"/>
          </w:tcPr>
          <w:p>
            <w:r>
              <w:t>工作表 + 表头 + 行组</w:t>
            </w:r>
          </w:p>
        </w:tc>
      </w:tr>
    </w:tbl>
    <w:p/>
    <w:p>
      <w:pPr>
        <w:pStyle w:val="Heading1"/>
      </w:pPr>
      <w:r>
        <w:t>三、重新解析</w:t>
      </w:r>
    </w:p>
    <w:p>
      <w:r>
        <w:t>重新解析应生成新的切片版本，不应覆盖历史问答引用。</w:t>
      </w:r>
    </w:p>
    <w:p>
      <w:pPr>
        <w:pStyle w:val="Heading1"/>
      </w:pPr>
      <w:r>
        <w:t>四、图示说明</w:t>
      </w:r>
    </w:p>
    <w:p>
      <w:r>
        <w:t>图 1 分块配置页面：包含文档类型预设、目标 Token、最大 Token、父块回填和权限过滤开关。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