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案卷号：AJ-049    保管期限：长期</w:t>
      </w:r>
    </w:p>
    <w:p>
      <w:pPr>
        <w:pStyle w:val="Heading1"/>
      </w:pPr>
      <w:r>
        <w:t>一、案卷信息</w:t>
      </w:r>
    </w:p>
    <w:p>
      <w:r>
        <w:t>案卷题名：数字档案馆升级项目项目材料。责任部门：财务部。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2026-05-05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2026-06-22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