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案卷号：AJ-038    保管期限：长期</w:t>
      </w:r>
    </w:p>
    <w:p>
      <w:pPr>
        <w:pStyle w:val="Heading1"/>
      </w:pPr>
      <w:r>
        <w:t>一、案卷信息</w:t>
      </w:r>
    </w:p>
    <w:p>
      <w:r>
        <w:t>案卷题名：OCR 批量识别平台项目项目材料。责任部门：研发二组。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2026-01-03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2026-04-16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2026-01-30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2026-05-23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