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案卷号：AJ-012    保管期限：长期</w:t>
      </w:r>
    </w:p>
    <w:p>
      <w:pPr>
        <w:pStyle w:val="Heading1"/>
      </w:pPr>
      <w:r>
        <w:t>一、案卷信息</w:t>
      </w:r>
    </w:p>
    <w:p>
      <w:r>
        <w:t>案卷题名：AI Workflow 企业知识库项目项目材料。责任部门：财务部。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2026-01-25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2026-01-04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