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员工差旅报销制度</w:t>
      </w:r>
    </w:p>
    <w:p>
      <w:r>
        <w:t>文档编号：KB-SAMPLE-20260701    版本：V1.0    生效日期：2026-07-01</w:t>
      </w:r>
    </w:p>
    <w:p>
      <w:r>
        <w:t>说明：本文件用于知识库分块测试，重点验证标题路径、条款、表格、脚注/图注、流程步骤和上下文回填。</w:t>
      </w:r>
    </w:p>
    <w:p>
      <w:pPr>
        <w:pStyle w:val="Heading1"/>
      </w:pPr>
      <w:r>
        <w:t>一、适用范围</w:t>
      </w:r>
    </w:p>
    <w:p>
      <w:r>
        <w:t>本制度适用于公司正式员工因公出差产生的交通费、住宿费、餐补和其他必要支出。</w:t>
      </w:r>
    </w:p>
    <w:p>
      <w:r>
        <w:t>临时外包人员原则上不适用本制度，除非项目合同或部门负责人另有书面确认。</w:t>
      </w:r>
    </w:p>
    <w:p>
      <w:pPr>
        <w:pStyle w:val="Heading1"/>
      </w:pPr>
      <w:r>
        <w:t>二、差旅申请</w:t>
      </w:r>
    </w:p>
    <w:p>
      <w:r>
        <w:t>员工出差前必须在 OA 系统提交差旅申请。申请应包含出差地点、出差事由、预计天数、预算金额和项目编号。</w:t>
      </w:r>
    </w:p>
    <w:p>
      <w:pPr>
        <w:pStyle w:val="ListNumber"/>
      </w:pPr>
      <w:r>
        <w:t>单次预计费用不超过 3,000 元的，由直属主管审批。</w:t>
      </w:r>
    </w:p>
    <w:p>
      <w:pPr>
        <w:pStyle w:val="ListNumber"/>
      </w:pPr>
      <w:r>
        <w:t>单次预计费用超过 3,000 元但不超过 10,000 元的，由部门负责人审批。</w:t>
      </w:r>
    </w:p>
    <w:p>
      <w:pPr>
        <w:pStyle w:val="ListNumber"/>
      </w:pPr>
      <w:r>
        <w:t>单次预计费用超过 10,000 元的，须经分管副总审批。</w:t>
      </w:r>
    </w:p>
    <w:p>
      <w:pPr>
        <w:pStyle w:val="Heading1"/>
      </w:pPr>
      <w:r>
        <w:t>三、报销条件</w:t>
      </w:r>
    </w:p>
    <w:p>
      <w:r>
        <w:t>报销必须同时满足以下条件：</w:t>
      </w:r>
    </w:p>
    <w:p>
      <w:pPr>
        <w:pStyle w:val="ListNumber"/>
      </w:pPr>
      <w:r>
        <w:t>差旅申请已审批通过；</w:t>
      </w:r>
    </w:p>
    <w:p>
      <w:pPr>
        <w:pStyle w:val="ListNumber"/>
      </w:pPr>
      <w:r>
        <w:t>发票抬头、税号和金额与实际业务一致；</w:t>
      </w:r>
    </w:p>
    <w:p>
      <w:pPr>
        <w:pStyle w:val="ListNumber"/>
      </w:pPr>
      <w:r>
        <w:t>住宿、交通和其他费用均在制度标准内；</w:t>
      </w:r>
    </w:p>
    <w:p>
      <w:pPr>
        <w:pStyle w:val="ListNumber"/>
      </w:pPr>
      <w:r>
        <w:t>报销单在返程后 15 个工作日内提交。</w:t>
      </w:r>
    </w:p>
    <w:p>
      <w:r>
        <w:t>违反上述任一条件的，财务可以退回报销申请。</w:t>
      </w:r>
    </w:p>
    <w:p>
      <w:pPr>
        <w:pStyle w:val="Heading1"/>
      </w:pPr>
      <w:r>
        <w:t>四、费用标准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城市级别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住宿上限/晚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餐补/天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交通说明</w:t>
            </w:r>
          </w:p>
        </w:tc>
      </w:tr>
      <w:tr>
        <w:tc>
          <w:tcPr>
            <w:tcW w:type="dxa" w:w="2160"/>
            <w:vAlign w:val="center"/>
          </w:tcPr>
          <w:p>
            <w:r>
              <w:t>一线城市</w:t>
            </w:r>
          </w:p>
        </w:tc>
        <w:tc>
          <w:tcPr>
            <w:tcW w:type="dxa" w:w="2160"/>
            <w:vAlign w:val="center"/>
          </w:tcPr>
          <w:p>
            <w:r>
              <w:t>600 元</w:t>
            </w:r>
          </w:p>
        </w:tc>
        <w:tc>
          <w:tcPr>
            <w:tcW w:type="dxa" w:w="2160"/>
            <w:vAlign w:val="center"/>
          </w:tcPr>
          <w:p>
            <w:r>
              <w:t>120 元</w:t>
            </w:r>
          </w:p>
        </w:tc>
        <w:tc>
          <w:tcPr>
            <w:tcW w:type="dxa" w:w="2160"/>
            <w:vAlign w:val="center"/>
          </w:tcPr>
          <w:p>
            <w:r>
              <w:t>市内交通按实际票据报销</w:t>
            </w:r>
          </w:p>
        </w:tc>
      </w:tr>
      <w:tr>
        <w:tc>
          <w:tcPr>
            <w:tcW w:type="dxa" w:w="2160"/>
            <w:vAlign w:val="center"/>
          </w:tcPr>
          <w:p>
            <w:r>
              <w:t>省会城市</w:t>
            </w:r>
          </w:p>
        </w:tc>
        <w:tc>
          <w:tcPr>
            <w:tcW w:type="dxa" w:w="2160"/>
            <w:vAlign w:val="center"/>
          </w:tcPr>
          <w:p>
            <w:r>
              <w:t>450 元</w:t>
            </w:r>
          </w:p>
        </w:tc>
        <w:tc>
          <w:tcPr>
            <w:tcW w:type="dxa" w:w="2160"/>
            <w:vAlign w:val="center"/>
          </w:tcPr>
          <w:p>
            <w:r>
              <w:t>100 元</w:t>
            </w:r>
          </w:p>
        </w:tc>
        <w:tc>
          <w:tcPr>
            <w:tcW w:type="dxa" w:w="2160"/>
            <w:vAlign w:val="center"/>
          </w:tcPr>
          <w:p>
            <w:r>
              <w:t>市内交通按实际票据报销</w:t>
            </w:r>
          </w:p>
        </w:tc>
      </w:tr>
      <w:tr>
        <w:tc>
          <w:tcPr>
            <w:tcW w:type="dxa" w:w="2160"/>
            <w:vAlign w:val="center"/>
          </w:tcPr>
          <w:p>
            <w:r>
              <w:t>其他城市</w:t>
            </w:r>
          </w:p>
        </w:tc>
        <w:tc>
          <w:tcPr>
            <w:tcW w:type="dxa" w:w="2160"/>
            <w:vAlign w:val="center"/>
          </w:tcPr>
          <w:p>
            <w:r>
              <w:t>350 元</w:t>
            </w:r>
          </w:p>
        </w:tc>
        <w:tc>
          <w:tcPr>
            <w:tcW w:type="dxa" w:w="2160"/>
            <w:vAlign w:val="center"/>
          </w:tcPr>
          <w:p>
            <w:r>
              <w:t>80 元</w:t>
            </w:r>
          </w:p>
        </w:tc>
        <w:tc>
          <w:tcPr>
            <w:tcW w:type="dxa" w:w="2160"/>
            <w:vAlign w:val="center"/>
          </w:tcPr>
          <w:p>
            <w:r>
              <w:t>原则上不报销专车费用</w:t>
            </w:r>
          </w:p>
        </w:tc>
      </w:tr>
    </w:tbl>
    <w:p/>
    <w:p>
      <w:pPr>
        <w:pStyle w:val="Heading1"/>
      </w:pPr>
      <w:r>
        <w:t>五、例外处理</w:t>
      </w:r>
    </w:p>
    <w:p>
      <w:r>
        <w:t>因客户临时要求导致费用超标的，应在报销单中说明原因，并附客户邮件或会议纪要作为证明。</w:t>
      </w:r>
    </w:p>
    <w:p>
      <w:r>
        <w:t>例外处理仍须符合第三条规定的基本报销条件。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