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软件服务采购合同</w:t>
      </w:r>
    </w:p>
    <w:p>
      <w:r>
        <w:t>文档编号：KB-SAMPLE-20260701    版本：V1.0    生效日期：2026-07-01</w:t>
      </w:r>
    </w:p>
    <w:p>
      <w:r>
        <w:t>说明：本文件用于知识库分块测试，重点验证标题路径、条款、表格、脚注/图注、流程步骤和上下文回填。</w:t>
      </w:r>
    </w:p>
    <w:p>
      <w:pPr>
        <w:pStyle w:val="Heading1"/>
      </w:pPr>
      <w:r>
        <w:t>一、合同范围</w:t>
      </w:r>
    </w:p>
    <w:p>
      <w:r>
        <w:t>乙方向甲方提供 AI Workflow 企业知识库模块的实施、培训和运维服务。</w:t>
      </w:r>
    </w:p>
    <w:p>
      <w:r>
        <w:t>服务范围包括文档解析、知识分块、混合检索、智能体问答和权限对接。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知识库管理后台一套；</w:t>
      </w:r>
    </w:p>
    <w:p>
      <w:pPr>
        <w:pStyle w:val="ListNumber"/>
      </w:pPr>
      <w:r>
        <w:t>文档解析与分块服务一套；</w:t>
      </w:r>
    </w:p>
    <w:p>
      <w:pPr>
        <w:pStyle w:val="ListNumber"/>
      </w:pPr>
      <w:r>
        <w:t>智能体问答前端页面一套；</w:t>
      </w:r>
    </w:p>
    <w:p>
      <w:pPr>
        <w:pStyle w:val="ListNumber"/>
      </w:pPr>
      <w:r>
        <w:t>用户培训材料和验收报告各一份。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b/>
              </w:rPr>
              <w:t>应提交材料</w:t>
            </w:r>
          </w:p>
        </w:tc>
      </w:tr>
      <w:tr>
        <w:tc>
          <w:tcPr>
            <w:tcW w:type="dxa" w:w="2160"/>
            <w:vAlign w:val="center"/>
          </w:tcPr>
          <w:p>
            <w:r>
              <w:t>首付款</w:t>
            </w:r>
          </w:p>
        </w:tc>
        <w:tc>
          <w:tcPr>
            <w:tcW w:type="dxa" w:w="2160"/>
            <w:vAlign w:val="center"/>
          </w:tcPr>
          <w:p>
            <w:r>
              <w:t>30%</w:t>
            </w:r>
          </w:p>
        </w:tc>
        <w:tc>
          <w:tcPr>
            <w:tcW w:type="dxa" w:w="2160"/>
            <w:vAlign w:val="center"/>
          </w:tcPr>
          <w:p>
            <w:r>
              <w:t>合同签订后 10 个工作日内</w:t>
            </w:r>
          </w:p>
        </w:tc>
        <w:tc>
          <w:tcPr>
            <w:tcW w:type="dxa" w:w="2160"/>
            <w:vAlign w:val="center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  <w:vAlign w:val="center"/>
          </w:tcPr>
          <w:p>
            <w:r>
              <w:t>上线款</w:t>
            </w:r>
          </w:p>
        </w:tc>
        <w:tc>
          <w:tcPr>
            <w:tcW w:type="dxa" w:w="2160"/>
            <w:vAlign w:val="center"/>
          </w:tcPr>
          <w:p>
            <w:r>
              <w:t>40%</w:t>
            </w:r>
          </w:p>
        </w:tc>
        <w:tc>
          <w:tcPr>
            <w:tcW w:type="dxa" w:w="2160"/>
            <w:vAlign w:val="center"/>
          </w:tcPr>
          <w:p>
            <w:r>
              <w:t>试运行完成并通过初验</w:t>
            </w:r>
          </w:p>
        </w:tc>
        <w:tc>
          <w:tcPr>
            <w:tcW w:type="dxa" w:w="2160"/>
            <w:vAlign w:val="center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  <w:vAlign w:val="center"/>
          </w:tcPr>
          <w:p>
            <w:r>
              <w:t>尾款</w:t>
            </w:r>
          </w:p>
        </w:tc>
        <w:tc>
          <w:tcPr>
            <w:tcW w:type="dxa" w:w="2160"/>
            <w:vAlign w:val="center"/>
          </w:tcPr>
          <w:p>
            <w:r>
              <w:t>30%</w:t>
            </w:r>
          </w:p>
        </w:tc>
        <w:tc>
          <w:tcPr>
            <w:tcW w:type="dxa" w:w="2160"/>
            <w:vAlign w:val="center"/>
          </w:tcPr>
          <w:p>
            <w:r>
              <w:t>终验通过并稳定运行 30 天</w:t>
            </w:r>
          </w:p>
        </w:tc>
        <w:tc>
          <w:tcPr>
            <w:tcW w:type="dxa" w:w="2160"/>
            <w:vAlign w:val="center"/>
          </w:tcPr>
          <w:p>
            <w:r>
              <w:t>终验报告、运维交接清单</w:t>
            </w:r>
          </w:p>
        </w:tc>
      </w:tr>
    </w:tbl>
    <w:p/>
    <w:p>
      <w:r>
        <w:t>若因甲方原因导致验收延期超过 30 天，乙方可申请按已完成工作量结算。</w:t>
      </w:r>
    </w:p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</w:t>
      </w:r>
    </w:p>
    <w:p>
      <w:r>
        <w:t>注：监管或审计机关依法要求提供原始日志的，不适用前述删除期限。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