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知识库操作手册</w:t>
      </w:r>
    </w:p>
    <w:p>
      <w:r>
        <w:t>文档编号：KB-SAMPLE-20260701    版本：V1.0    生效日期：2026-07-01</w:t>
      </w:r>
    </w:p>
    <w:p>
      <w:r>
        <w:t>说明：本文件用于知识库分块测试，重点验证标题路径、条款、表格、脚注/图注、流程步骤和上下文回填。</w:t>
      </w:r>
    </w:p>
    <w:p>
      <w:pPr>
        <w:pStyle w:val="Heading1"/>
      </w:pPr>
      <w:r>
        <w:t>一、创建知识库</w:t>
      </w:r>
    </w:p>
    <w:p>
      <w:r>
        <w:t>管理员进入“知识库管理”页面，点击“新建知识库”。</w:t>
      </w:r>
    </w:p>
    <w:p>
      <w:pPr>
        <w:pStyle w:val="ListNumber"/>
      </w:pPr>
      <w:r>
        <w:t>填写知识库名称、描述和所属应用；</w:t>
      </w:r>
    </w:p>
    <w:p>
      <w:pPr>
        <w:pStyle w:val="ListNumber"/>
      </w:pPr>
      <w:r>
        <w:t>选择默认 Embedding 模型；</w:t>
      </w:r>
    </w:p>
    <w:p>
      <w:pPr>
        <w:pStyle w:val="ListNumber"/>
      </w:pPr>
      <w:r>
        <w:t>配置知识库可见范围；</w:t>
      </w:r>
    </w:p>
    <w:p>
      <w:pPr>
        <w:pStyle w:val="ListNumber"/>
      </w:pPr>
      <w:r>
        <w:t>保存后进入文档上传页面。</w:t>
      </w:r>
    </w:p>
    <w:p>
      <w:pPr>
        <w:pStyle w:val="Heading1"/>
      </w:pPr>
      <w:r>
        <w:t>二、上传业务文档</w:t>
      </w:r>
    </w:p>
    <w:p>
      <w:r>
        <w:t>系统支持上传 DOCX、PDF、XLSX、TXT、HTML 等资料。生产环境中，制度、合同、会议纪要和台账通常以 DOCX、PDF、XLSX 为主。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推荐分块方式</w:t>
            </w:r>
          </w:p>
        </w:tc>
      </w:tr>
      <w:tr>
        <w:tc>
          <w:tcPr>
            <w:tcW w:type="dxa" w:w="2880"/>
            <w:vAlign w:val="center"/>
          </w:tcPr>
          <w:p>
            <w:r>
              <w:t>DOCX</w:t>
            </w:r>
          </w:p>
        </w:tc>
        <w:tc>
          <w:tcPr>
            <w:tcW w:type="dxa" w:w="2880"/>
            <w:vAlign w:val="center"/>
          </w:tcPr>
          <w:p>
            <w:r>
              <w:t>制度、合同、会议纪要、操作手册</w:t>
            </w:r>
          </w:p>
        </w:tc>
        <w:tc>
          <w:tcPr>
            <w:tcW w:type="dxa" w:w="2880"/>
            <w:vAlign w:val="center"/>
          </w:tcPr>
          <w:p>
            <w:r>
              <w:t>标题层级 + 表格/条款/流程识别</w:t>
            </w:r>
          </w:p>
        </w:tc>
      </w:tr>
      <w:tr>
        <w:tc>
          <w:tcPr>
            <w:tcW w:type="dxa" w:w="2880"/>
            <w:vAlign w:val="center"/>
          </w:tcPr>
          <w:p>
            <w:r>
              <w:t>XLSX</w:t>
            </w:r>
          </w:p>
        </w:tc>
        <w:tc>
          <w:tcPr>
            <w:tcW w:type="dxa" w:w="2880"/>
            <w:vAlign w:val="center"/>
          </w:tcPr>
          <w:p>
            <w:r>
              <w:t>台账、清单、统计报表</w:t>
            </w:r>
          </w:p>
        </w:tc>
        <w:tc>
          <w:tcPr>
            <w:tcW w:type="dxa" w:w="2880"/>
            <w:vAlign w:val="center"/>
          </w:tcPr>
          <w:p>
            <w:r>
              <w:t>工作表 + 表头 + 行组</w:t>
            </w:r>
          </w:p>
        </w:tc>
      </w:tr>
      <w:tr>
        <w:tc>
          <w:tcPr>
            <w:tcW w:type="dxa" w:w="2880"/>
            <w:vAlign w:val="center"/>
          </w:tcPr>
          <w:p>
            <w:r>
              <w:t>PDF</w:t>
            </w:r>
          </w:p>
        </w:tc>
        <w:tc>
          <w:tcPr>
            <w:tcW w:type="dxa" w:w="2880"/>
            <w:vAlign w:val="center"/>
          </w:tcPr>
          <w:p>
            <w:r>
              <w:t>扫描件、归档文件、签章合同</w:t>
            </w:r>
          </w:p>
        </w:tc>
        <w:tc>
          <w:tcPr>
            <w:tcW w:type="dxa" w:w="2880"/>
            <w:vAlign w:val="center"/>
          </w:tcPr>
          <w:p>
            <w:r>
              <w:t>版面解析 + 页码 + OCR 置信度</w:t>
            </w:r>
          </w:p>
        </w:tc>
      </w:tr>
    </w:tbl>
    <w:p/>
    <w:p>
      <w:pPr>
        <w:pStyle w:val="Heading1"/>
      </w:pPr>
      <w:r>
        <w:t>三、配置分块策略</w:t>
      </w:r>
    </w:p>
    <w:p>
      <w:r>
        <w:t>图 1 展示了分块策略配置页面。管理员应根据文档类型选择推荐策略，而不是只调整 chunkSize。</w:t>
      </w:r>
    </w:p>
    <w:p>
      <w:pPr>
        <w:jc w:val="center"/>
      </w:pPr>
      <w:r>
        <w:rPr>
          <w:i/>
        </w:rPr>
        <w:t>图 1 分块策略配置页面：文档类型预设、目标 Token、最大 Token、父块回填和权限过滤开关。</w:t>
      </w:r>
    </w:p>
    <w:p>
      <w:pPr>
        <w:pStyle w:val="Heading1"/>
      </w:pPr>
      <w:r>
        <w:t>四、重新解析</w:t>
      </w:r>
    </w:p>
    <w:p>
      <w:r>
        <w:t>当分块策略调整后，管理员可以对文档发起重新解析。重新解析不应覆盖历史问答引用，而应生成新的切片版本。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