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qrma_screening_dashboard_v2_modul_72ddbe"/>
      <w:r>
        <w:rPr>
          <w:rFonts w:eastAsia="georgia" w:cs="georgia" w:ascii="georgia" w:hAnsi="georgia"/>
          <w:b/>
          <w:color w:val="000000"/>
          <w:sz w:val="39"/>
        </w:rPr>
        <w:t xml:space="preserve">QRMA Screening Dashboard v2 — Module Specification &amp; Evidence Reference</w:t>
      </w:r>
      <w:bookmarkEnd w:id="0"/>
    </w:p>
    <w:p>
      <w:pPr>
        <w:spacing w:line="360" w:after="210" w:lineRule="auto"/>
        <w:ind w:left="630"/>
      </w:pPr>
      <w:r>
        <w:rPr>
          <w:rFonts w:eastAsia="georgia" w:cs="georgia" w:ascii="georgia" w:hAnsi="georgia"/>
          <w:b/>
          <w:color w:val="000000"/>
        </w:rPr>
        <w:t xml:space="preserve">Document type:</w:t>
      </w:r>
      <w:r>
        <w:rPr>
          <w:rFonts w:eastAsia="georgia" w:cs="georgia" w:ascii="georgia" w:hAnsi="georgia"/>
          <w:color w:val="000000"/>
        </w:rPr>
        <w:t xml:space="preserve"> Developer + AI handover specification</w:t>
      </w:r>
      <w:r>
        <w:rPr>
          <w:rFonts w:eastAsia="georgia" w:cs="georgia" w:ascii="georgia" w:hAnsi="georgia"/>
          <w:color w:val="000000"/>
        </w:rPr>
        <w:br w:type="textWrapping"/>
      </w:r>
      <w:r>
        <w:rPr>
          <w:rFonts w:eastAsia="georgia" w:cs="georgia" w:ascii="georgia" w:hAnsi="georgia"/>
          <w:b/>
          <w:color w:val="000000"/>
        </w:rPr>
        <w:t xml:space="preserve">Scope:</w:t>
      </w:r>
      <w:r>
        <w:rPr>
          <w:rFonts w:eastAsia="georgia" w:cs="georgia" w:ascii="georgia" w:hAnsi="georgia"/>
          <w:color w:val="000000"/>
        </w:rPr>
        <w:t xml:space="preserve"> 8 functional modules — parameter tables, scoring logic, scientific rationale, confirmatory tests, food-first actions</w:t>
      </w:r>
      <w:r>
        <w:rPr>
          <w:rFonts w:eastAsia="georgia" w:cs="georgia" w:ascii="georgia" w:hAnsi="georgia"/>
          <w:color w:val="000000"/>
        </w:rPr>
        <w:br w:type="textWrapping"/>
      </w:r>
      <w:r>
        <w:rPr>
          <w:rFonts w:eastAsia="georgia" w:cs="georgia" w:ascii="georgia" w:hAnsi="georgia"/>
          <w:b/>
          <w:color w:val="000000"/>
        </w:rPr>
        <w:t xml:space="preserve">Last updated:</w:t>
      </w:r>
      <w:r>
        <w:rPr>
          <w:rFonts w:eastAsia="georgia" w:cs="georgia" w:ascii="georgia" w:hAnsi="georgia"/>
          <w:color w:val="000000"/>
        </w:rPr>
        <w:t xml:space="preserve"> May 2026</w:t>
      </w:r>
      <w:r>
        <w:rPr>
          <w:rFonts w:eastAsia="georgia" w:cs="georgia" w:ascii="georgia" w:hAnsi="georgia"/>
          <w:color w:val="000000"/>
        </w:rPr>
        <w:br w:type="textWrapping"/>
      </w:r>
      <w:r>
        <w:rPr>
          <w:rFonts w:eastAsia="georgia" w:cs="georgia" w:ascii="georgia" w:hAnsi="georgia"/>
          <w:b/>
          <w:color w:val="000000"/>
        </w:rPr>
        <w:t xml:space="preserve">Critical framing:</w:t>
      </w:r>
      <w:r>
        <w:rPr>
          <w:rFonts w:eastAsia="georgia" w:cs="georgia" w:ascii="georgia" w:hAnsi="georgia"/>
          <w:color w:val="000000"/>
        </w:rPr>
        <w:t xml:space="preserve"> This dashboard is a </w:t>
      </w:r>
      <w:r>
        <w:rPr>
          <w:rFonts w:eastAsia="georgia" w:cs="georgia" w:ascii="georgia" w:hAnsi="georgia"/>
          <w:b/>
          <w:color w:val="000000"/>
        </w:rPr>
        <w:t xml:space="preserve">screening tool and hypothesis generator only</w:t>
      </w:r>
      <w:r>
        <w:rPr>
          <w:rFonts w:eastAsia="georgia" w:cs="georgia" w:ascii="georgia" w:hAnsi="georgia"/>
          <w:color w:val="000000"/>
        </w:rPr>
        <w:t xml:space="preserve">. It makes no diagnostic claims. All outputs must be described using hedged language: "pattern suggests," "screening flag," "confirm with." No disease names, no exact probability estimates.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how_to_read_this_document"/>
      <w:r>
        <w:rPr>
          <w:rFonts w:eastAsia="georgia" w:cs="georgia" w:ascii="georgia" w:hAnsi="georgia"/>
          <w:b/>
          <w:color w:val="000000"/>
          <w:sz w:val="24"/>
        </w:rPr>
        <w:t xml:space="preserve">How to Read This Document</w:t>
      </w:r>
      <w:bookmarkEnd w:id="1"/>
    </w:p>
    <w:p>
      <w:pPr>
        <w:spacing w:line="360" w:after="210" w:lineRule="auto"/>
      </w:pPr>
      <w:r>
        <w:rPr>
          <w:rFonts w:eastAsia="georgia" w:cs="georgia" w:ascii="georgia" w:hAnsi="georgia"/>
          <w:color w:val="000000"/>
        </w:rPr>
        <w:t xml:space="preserve">Two tables are provided for each section of the dashboard:</w:t>
      </w:r>
    </w:p>
    <w:p>
      <w:pPr>
        <w:numPr>
          <w:ilvl w:val="0"/>
          <w:numId w:val="1"/>
        </w:numPr>
        <w:spacing w:line="360" w:before="105" w:after="105" w:lineRule="auto"/>
      </w:pPr>
      <w:r>
        <w:rPr>
          <w:rFonts w:eastAsia="georgia" w:cs="georgia" w:ascii="georgia" w:hAnsi="georgia"/>
          <w:b/>
          <w:color w:val="000000"/>
          <w:sz w:val="21"/>
        </w:rPr>
        <w:t xml:space="preserve">Table A — Parameter Reference:</w:t>
      </w:r>
      <w:r>
        <w:rPr>
          <w:rFonts w:eastAsia="georgia" w:cs="georgia" w:ascii="georgia" w:hAnsi="georgia"/>
          <w:color w:val="000000"/>
          <w:sz w:val="21"/>
        </w:rPr>
        <w:t xml:space="preserve"> One row per input parameter. Covers scoring direction, rationale, evidence, confirmatory tests, and food actions.</w:t>
      </w:r>
    </w:p>
    <w:p>
      <w:pPr>
        <w:numPr>
          <w:ilvl w:val="0"/>
          <w:numId w:val="1"/>
        </w:numPr>
        <w:spacing w:line="360" w:before="105" w:after="105" w:lineRule="auto"/>
      </w:pPr>
      <w:r>
        <w:rPr>
          <w:rFonts w:eastAsia="georgia" w:cs="georgia" w:ascii="georgia" w:hAnsi="georgia"/>
          <w:b/>
          <w:color w:val="000000"/>
          <w:sz w:val="21"/>
        </w:rPr>
        <w:t xml:space="preserve">Table B — Module Reference:</w:t>
      </w:r>
      <w:r>
        <w:rPr>
          <w:rFonts w:eastAsia="georgia" w:cs="georgia" w:ascii="georgia" w:hAnsi="georgia"/>
          <w:color w:val="000000"/>
          <w:sz w:val="21"/>
        </w:rPr>
        <w:t xml:space="preserve"> One row per module. Covers goal, score logic, alert thresholds, UI recommendations, and developer notes.</w:t>
      </w:r>
    </w:p>
    <w:p>
      <w:pPr>
        <w:spacing w:line="360" w:after="210" w:lineRule="auto"/>
      </w:pPr>
      <w:r>
        <w:rPr>
          <w:rFonts w:eastAsia="georgia" w:cs="georgia" w:ascii="georgia" w:hAnsi="georgia"/>
          <w:color w:val="000000"/>
        </w:rPr>
        <w:t xml:space="preserve">Confidence labels used throughout: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Label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Meaning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Well-supported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Backed by standard clinical guidelines (e.g., KDIGO, IDF, AHA). The parameter or pattern is used in mainstream clinical screening.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Exploratory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There is a plausible biological mechanism and some supporting research, but the parameter is not yet a validated standalone clinical biomarker. Use with caution.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Needs lab confirmation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QRMA reading is an indirect proxy signal. A screening flag here should prompt, not replace, a standard laboratory test.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scientific_evidence_overview"/>
      <w:r>
        <w:rPr>
          <w:rFonts w:eastAsia="georgia" w:cs="georgia" w:ascii="georgia" w:hAnsi="georgia"/>
          <w:b/>
          <w:color w:val="000000"/>
          <w:sz w:val="24"/>
        </w:rPr>
        <w:t xml:space="preserve">Scientific Evidence Overview</w:t>
      </w:r>
      <w:bookmarkEnd w:id="2"/>
    </w:p>
    <w:p>
      <w:pPr>
        <w:spacing w:line="360" w:after="210" w:lineRule="auto"/>
      </w:pPr>
      <w:r>
        <w:rPr>
          <w:rFonts w:eastAsia="georgia" w:cs="georgia" w:ascii="georgia" w:hAnsi="georgia"/>
          <w:color w:val="000000"/>
        </w:rPr>
        <w:t xml:space="preserve">Before the tables, a brief orientation to the evidence base behind each domain.</w:t>
      </w:r>
    </w:p>
    <w:p>
      <w:pPr>
        <w:spacing w:line="360" w:before="315" w:after="105" w:lineRule="auto"/>
        <w:ind w:left="-30"/>
        <w:jc w:val="left"/>
      </w:pPr>
      <w:bookmarkStart w:id="3" w:name="allostatic_load_multisystem_stres_d281d5"/>
      <w:r>
        <w:rPr>
          <w:rFonts w:eastAsia="georgia" w:cs="georgia" w:ascii="georgia" w:hAnsi="georgia"/>
          <w:b/>
          <w:color w:val="000000"/>
          <w:sz w:val="24"/>
        </w:rPr>
        <w:t xml:space="preserve">Allostatic Load &amp; Multisystem Stress (Modules 1)</w:t>
      </w:r>
      <w:bookmarkEnd w:id="3"/>
    </w:p>
    <w:p>
      <w:pPr>
        <w:spacing w:line="360" w:after="210" w:lineRule="auto"/>
      </w:pPr>
      <w:r>
        <w:rPr>
          <w:rFonts w:eastAsia="georgia" w:cs="georgia" w:ascii="georgia" w:hAnsi="georgia"/>
          <w:color w:val="000000"/>
        </w:rPr>
        <w:t xml:space="preserve">Allostatic load (AL) is defined as the cumulative "wear and tear" on body systems from chronic stress and inefficient adaptation, a concept formalised by McEwen and Stellar in 1993. Systematic reviews confirm that AL indices composed of cardiovascular, metabolic, neuroendocrine, and immune biomarkers predict mortality, cognitive decline, and disability independent of age. The scoring approach used in Module 1 — flagging biomarkers beyond population-based tertile cut-offs across multiple systems — mirrors the most widely validated AL calculation method.</w:t>
      </w:r>
    </w:p>
    <w:p>
      <w:pPr>
        <w:spacing w:line="360" w:before="315" w:after="105" w:lineRule="auto"/>
        <w:ind w:left="-30"/>
        <w:jc w:val="left"/>
      </w:pPr>
      <w:bookmarkStart w:id="4" w:name="oxidative_stress_antioxidant_rese_e66bc5"/>
      <w:r>
        <w:rPr>
          <w:rFonts w:eastAsia="georgia" w:cs="georgia" w:ascii="georgia" w:hAnsi="georgia"/>
          <w:b/>
          <w:color w:val="000000"/>
          <w:sz w:val="24"/>
        </w:rPr>
        <w:t xml:space="preserve">Oxidative Stress &amp; Antioxidant Reserve (Module 2)</w:t>
      </w:r>
      <w:bookmarkEnd w:id="4"/>
    </w:p>
    <w:p>
      <w:pPr>
        <w:spacing w:line="360" w:after="210" w:lineRule="auto"/>
      </w:pPr>
      <w:r>
        <w:rPr>
          <w:rFonts w:eastAsia="georgia" w:cs="georgia" w:ascii="georgia" w:hAnsi="georgia"/>
          <w:color w:val="000000"/>
        </w:rPr>
        <w:t xml:space="preserve">Oxidative stress occurs when reactive oxygen species (ROS) production exceeds the body's antioxidant defences. Glutathione, CoQ10, vitamin C, vitamin E, and selenium are the principal antioxidant molecules whose depletion is associated with increased lipid peroxidation (measured as MDA/TBARS in research settings). Meta-analyses confirm that CoQ10 supplementation significantly reduces MDA and increases total antioxidant capacity (TAC) and superoxide dismutase (SOD) activity. Combined selenium and CoQ10 supplementation over 48 months significantly improved systemic redox status in clinical trials. However, the direct clinical outcome benefit of antioxidant supplementation (i.e., reduction in cardiovascular events or mortality) remains contested, and these markers are not validated standalone biomarkers in mainstream clinical screening. QRMA readings for these parameters are indirect proxies.</w:t>
      </w:r>
    </w:p>
    <w:p>
      <w:pPr>
        <w:spacing w:line="360" w:before="315" w:after="105" w:lineRule="auto"/>
        <w:ind w:left="-30"/>
        <w:jc w:val="left"/>
      </w:pPr>
      <w:bookmarkStart w:id="5" w:name="heavy_metals_environmental_exposu_49dd96"/>
      <w:r>
        <w:rPr>
          <w:rFonts w:eastAsia="georgia" w:cs="georgia" w:ascii="georgia" w:hAnsi="georgia"/>
          <w:b/>
          <w:color w:val="000000"/>
          <w:sz w:val="24"/>
        </w:rPr>
        <w:t xml:space="preserve">Heavy Metals &amp; Environmental Exposure (Module 3)</w:t>
      </w:r>
      <w:bookmarkEnd w:id="5"/>
    </w:p>
    <w:p>
      <w:pPr>
        <w:spacing w:line="360" w:after="210" w:lineRule="auto"/>
      </w:pPr>
      <w:r>
        <w:rPr>
          <w:rFonts w:eastAsia="georgia" w:cs="georgia" w:ascii="georgia" w:hAnsi="georgia"/>
          <w:color w:val="000000"/>
        </w:rPr>
        <w:t xml:space="preserve">Lead, mercury, cadmium, and arsenic are classified by the WHO as priority public health toxicants. There is no known safe blood lead level; even levels below 5 µg/dL are associated with cardiovascular, renal, and developmental effects in dose-dependent fashion. The WHO attributed over 1.5 million deaths globally in 2021 to lead exposure, primarily cardiovascular. Confirmation requires whole blood or urine speciation testing; QRMA signals are not independently validated for heavy metal quantification and must be treated as exposure flags only.</w:t>
      </w:r>
    </w:p>
    <w:p>
      <w:pPr>
        <w:spacing w:line="360" w:before="315" w:after="105" w:lineRule="auto"/>
        <w:ind w:left="-30"/>
        <w:jc w:val="left"/>
      </w:pPr>
      <w:bookmarkStart w:id="6" w:name="metabolic_risk_module_4"/>
      <w:r>
        <w:rPr>
          <w:rFonts w:eastAsia="georgia" w:cs="georgia" w:ascii="georgia" w:hAnsi="georgia"/>
          <w:b/>
          <w:color w:val="000000"/>
          <w:sz w:val="24"/>
        </w:rPr>
        <w:t xml:space="preserve">Metabolic Risk (Module 4)</w:t>
      </w:r>
      <w:bookmarkEnd w:id="6"/>
    </w:p>
    <w:p>
      <w:pPr>
        <w:spacing w:line="360" w:after="210" w:lineRule="auto"/>
      </w:pPr>
      <w:r>
        <w:rPr>
          <w:rFonts w:eastAsia="georgia" w:cs="georgia" w:ascii="georgia" w:hAnsi="georgia"/>
          <w:color w:val="000000"/>
        </w:rPr>
        <w:t xml:space="preserve">The harmonised metabolic syndrome definition (IDF/AHA/WHO, 2009) requires three of five criteria: elevated waist circumference, raised triglycerides (≥150 mg/dL), low HDL, raised fasting glucose (≥100 mg/dL), and raised blood pressure. This is the strongest-evidence module. Waist circumference is independently associated with each metabolic syndrome component and cardiovascular risk. HbA1c, fasting lipid panels, and fasting glucose are the gold-standard confirmatory tests.</w:t>
      </w:r>
    </w:p>
    <w:p>
      <w:pPr>
        <w:spacing w:line="360" w:before="315" w:after="105" w:lineRule="auto"/>
        <w:ind w:left="-30"/>
        <w:jc w:val="left"/>
      </w:pPr>
      <w:bookmarkStart w:id="7" w:name="cardio_renal_strain_module_5"/>
      <w:r>
        <w:rPr>
          <w:rFonts w:eastAsia="georgia" w:cs="georgia" w:ascii="georgia" w:hAnsi="georgia"/>
          <w:b/>
          <w:color w:val="000000"/>
          <w:sz w:val="24"/>
        </w:rPr>
        <w:t xml:space="preserve">Cardio-Renal Strain (Module 5)</w:t>
      </w:r>
      <w:bookmarkEnd w:id="7"/>
    </w:p>
    <w:p>
      <w:pPr>
        <w:spacing w:line="360" w:after="210" w:lineRule="auto"/>
      </w:pPr>
      <w:r>
        <w:rPr>
          <w:rFonts w:eastAsia="georgia" w:cs="georgia" w:ascii="georgia" w:hAnsi="georgia"/>
          <w:color w:val="000000"/>
        </w:rPr>
        <w:t xml:space="preserve">KDIGO 2024 guidelines specify that CKD screening must include both eGFR (using the 2021 CKD-EPI creatinine ± cystatin C equation) and urine albumin-to-creatinine ratio (ACR). eGFR &lt;60 mL/min/1.73m² and ACR &gt;30 mg/g, confirmed on two separate occasions at least 3 months apart, define CKD. Arterial stiffness (pulse wave velocity) independently predicts cardiovascular morbidity and mortality. Uric acid (&gt;7 mg/dL in men, &gt;6 mg/dL in women) is associated with cardiovascular disease, hypertension, and CKD in epidemiological and Mendelian randomisation studies, though causal independence from other risk factors remains debated.</w:t>
      </w:r>
    </w:p>
    <w:p>
      <w:pPr>
        <w:spacing w:line="360" w:before="315" w:after="105" w:lineRule="auto"/>
        <w:ind w:left="-30"/>
        <w:jc w:val="left"/>
      </w:pPr>
      <w:bookmarkStart w:id="8" w:name="nutritional_deficiency_screening_944c07"/>
      <w:r>
        <w:rPr>
          <w:rFonts w:eastAsia="georgia" w:cs="georgia" w:ascii="georgia" w:hAnsi="georgia"/>
          <w:b/>
          <w:color w:val="000000"/>
          <w:sz w:val="24"/>
        </w:rPr>
        <w:t xml:space="preserve">Nutritional Deficiency Screening (Module 6)</w:t>
      </w:r>
      <w:bookmarkEnd w:id="8"/>
    </w:p>
    <w:p>
      <w:pPr>
        <w:spacing w:line="360" w:after="210" w:lineRule="auto"/>
      </w:pPr>
      <w:r>
        <w:rPr>
          <w:rFonts w:eastAsia="georgia" w:cs="georgia" w:ascii="georgia" w:hAnsi="georgia"/>
          <w:color w:val="000000"/>
        </w:rPr>
        <w:t xml:space="preserve">Vitamin D (25-OH), serum zinc, serum magnesium, serum folate, and serum B12 are standard laboratory markers routinely ordered in clinical practice. Urinary iodine concentration is the WHO-recommended population-level iodine status indicator. B6 deficiency is assessed via plasma pyridoxal-5′-phosphate (PLP). Silicon, as measured by QRMA, has no validated clinical biomarker equivalent. QRMA readings for these nutrients are proxies; laboratory confirmation is required.</w:t>
      </w:r>
    </w:p>
    <w:p>
      <w:pPr>
        <w:spacing w:line="360" w:before="315" w:after="105" w:lineRule="auto"/>
        <w:ind w:left="-30"/>
        <w:jc w:val="left"/>
      </w:pPr>
      <w:bookmarkStart w:id="9" w:name="skin_collagen_barrier_function_module_7"/>
      <w:r>
        <w:rPr>
          <w:rFonts w:eastAsia="georgia" w:cs="georgia" w:ascii="georgia" w:hAnsi="georgia"/>
          <w:b/>
          <w:color w:val="000000"/>
          <w:sz w:val="24"/>
        </w:rPr>
        <w:t xml:space="preserve">Skin / Collagen &amp; Barrier Function (Module 7)</w:t>
      </w:r>
      <w:bookmarkEnd w:id="9"/>
    </w:p>
    <w:p>
      <w:pPr>
        <w:spacing w:line="360" w:after="210" w:lineRule="auto"/>
      </w:pPr>
      <w:r>
        <w:rPr>
          <w:rFonts w:eastAsia="georgia" w:cs="georgia" w:ascii="georgia" w:hAnsi="georgia"/>
          <w:color w:val="000000"/>
        </w:rPr>
        <w:t xml:space="preserve">Transepidermal water loss (TEWL), corneometry (skin hydration), cutometry (elasticity), and sebumeter readings are validated dermatological research tools used in clinical trials. Oral collagen supplementation trials show significant improvements in skin hydration, elasticity, and wrinkle reduction in systematic reviews and RCTs. Skin oxidative stress (free radical signal) is a proxy for ROS activity; direct ROS measurement uses electron paramagnetic resonance (EPR) or fluorescent probes not available in routine clinical settings. QRMA skin readings are indirect proxies.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table_a_parameter_reference"/>
      <w:r>
        <w:rPr>
          <w:rFonts w:eastAsia="georgia" w:cs="georgia" w:ascii="georgia" w:hAnsi="georgia"/>
          <w:b/>
          <w:color w:val="000000"/>
          <w:sz w:val="24"/>
        </w:rPr>
        <w:t xml:space="preserve">Table A — Parameter Reference</w:t>
      </w:r>
      <w:bookmarkEnd w:id="10"/>
    </w:p>
    <w:p>
      <w:pPr>
        <w:spacing w:line="360" w:after="210" w:lineRule="auto"/>
        <w:ind w:left="630"/>
      </w:pPr>
      <w:r>
        <w:rPr>
          <w:rFonts w:eastAsia="georgia" w:cs="georgia" w:ascii="georgia" w:hAnsi="georgia"/>
          <w:color w:val="000000"/>
        </w:rPr>
        <w:t xml:space="preserve">All QRMA input scores in the table below use the convention: </w:t>
      </w:r>
      <w:r>
        <w:rPr>
          <w:rFonts w:eastAsia="georgia" w:cs="georgia" w:ascii="georgia" w:hAnsi="georgia"/>
          <w:b/>
          <w:color w:val="000000"/>
        </w:rPr>
        <w:t xml:space="preserve">1–10 scale</w:t>
      </w:r>
      <w:r>
        <w:rPr>
          <w:rFonts w:eastAsia="georgia" w:cs="georgia" w:ascii="georgia" w:hAnsi="georgia"/>
          <w:color w:val="000000"/>
        </w:rPr>
        <w:t xml:space="preserve">, where the QRMA report's native scale is normalised to this range unless noted. "Concern direction" applies to the normalised 1–10 score unless stated otherwise.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module_1_biological_age_multisyst_f7d64d"/>
      <w:r>
        <w:rPr>
          <w:rFonts w:eastAsia="georgia" w:cs="georgia" w:ascii="georgia" w:hAnsi="georgia"/>
          <w:b/>
          <w:color w:val="000000"/>
          <w:sz w:val="24"/>
        </w:rPr>
        <w:t xml:space="preserve">Module 1 — Biological Age &amp; Multisystem Stress Index</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951"/>
        <w:gridCol w:w="951"/>
        <w:gridCol w:w="951"/>
        <w:gridCol w:w="951"/>
        <w:gridCol w:w="951"/>
        <w:gridCol w:w="951"/>
        <w:gridCol w:w="951"/>
        <w:gridCol w:w="951"/>
        <w:gridCol w:w="951"/>
        <w:gridCol w:w="951"/>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Parameter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Role in Module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How It Is Scored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Direction of Concern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Why This Parameter Matters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Scientific Evidence / Clinical Rationale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Suggested Confirmatory Tests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Food-First Actions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Confidence Label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Chronological 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Baseline reference; sets expected biological age anchor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Input as integer (years). Not scored; used as the denominator for Bio-Age Gap calculation.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 — reference only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Without a chronological anchor, the "biological older/younger" comparison is meaningless.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Universal reference standard for biological age research.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None required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Well-supported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Cardiovascular System Score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Pillar 1 of 3 for Bio 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high pressure. Normalised to 0–100 for sub-index: (score / 10) × 100.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 (lower QRMA score = more concern)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Cardiovascular system is the leading allostatic load domain. Premature cardiovascular ageing is the primary driver of excess biological age in population studies.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McEwen &amp; Seeman (1993) allostatic load construct; systematic reviews confirm cardiovascular biomarkers are the strongest predictors of AL-related mortality.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Resting ECG, fasting lipid panel, blood pressure measurement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Reduce saturated fat, increase omega-3 (oily fish, walnuts, flaxseed), reduce sodium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Well-supported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Metabolic System Score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Pillar 2 of 3 for Bio 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high pressure. Normalised same as above.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Metabolic dysregulation (insulin resistance, dyslipidaemia, central adiposity) independently accelerates biological ageing across multiple organ systems.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Metabolic syndrome criteria (IDF/AHA 2009) link metabolic biomarkers to accelerated biological age in cohort studies.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HbA1c, fasting glucose, fasting lipid panel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Reduce refined carbohydrates and sugar, increase fibre (legumes, vegetables), increase physical activity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Well-supported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Oxidative Stress Score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Pillar 3 of 3 for Bio 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high pressure. Normalised same as above.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Oxidative stress is a primary molecular driver of accelerated cellular ageing, mitochondrial dysfunction, and systemic inflammation.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Biomarkers of Aging reviews (PMC 2024) confirm ROS-related markers as candidate biological age indicators; clinical outcome evidence for standalone ROS measurement is weaker.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Serum glutathione (GSH), 8-OHdG in urine (research use), plasma MDA (research use)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Increase colourful vegetables and fruit (polyphenols), green tea, dark berries, turmeric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Derived: Bio Age Gap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output of Module 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Computed: Bio Age (years) = Chronological Age − ((Cardio + Metabolic + Oxidative sub-scores − 150) / 15). Negative gap = biologically younger. Positive gap = biologically older.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Higher gap is worse (biologically older than chronological 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 gap between biological and chronological age is the core allostatic load concept: whether the body is "wearing out" faster or slower than time alone would predict.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Concept validated in multiple cohort studies (Seeman et al., MIDUS study); exact QRMA-derived formula is not independently validated — treat as a hypothesis-generating proxy.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Any flagged pillar-specific confirmatory tests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Address highest-scoring pillar first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Multisystem Stress Index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Secondary output; breadth of system stress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Count of how many pillars score ≤4. Score 0 = no pillars under stress; 3 = all pillars flagged. Displayed as 0/3, 1/3, 2/3, or 3/3.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Higher count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Simultaneous stress across multiple organ systems is a stronger predictor of adverse outcomes than stress in a single system, consistent with the AL literature.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Systematic review of AL measures (PMC 2022) confirms multi-system biomarker breadth outperforms single-domain measures in predicting mortality.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Confirm flagged pillars with their respective tests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Address all flagged domains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Well-supported</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module_2_oxidative_stress_recovery"/>
      <w:r>
        <w:rPr>
          <w:rFonts w:eastAsia="georgia" w:cs="georgia" w:ascii="georgia" w:hAnsi="georgia"/>
          <w:b/>
          <w:color w:val="000000"/>
          <w:sz w:val="24"/>
        </w:rPr>
        <w:t xml:space="preserve">Module 2 — Oxidative Stress &amp; Recovery</w:t>
      </w:r>
      <w:bookmarkEnd w:id="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951"/>
        <w:gridCol w:w="951"/>
        <w:gridCol w:w="951"/>
        <w:gridCol w:w="951"/>
        <w:gridCol w:w="951"/>
        <w:gridCol w:w="951"/>
        <w:gridCol w:w="951"/>
        <w:gridCol w:w="951"/>
        <w:gridCol w:w="951"/>
        <w:gridCol w:w="951"/>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Parameter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Role in Module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How It Is Scored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Direction of Concern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Why This Parameter Matters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Scientific Evidence / Clinical Rationale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Suggested Confirmatory Tests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Food-First Actions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Confidence Label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Glutathione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intracellular antioxidant sub-score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depleted. Contributes to Antioxidant Reserve (AR). Weight: 25% of 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Glutathione is the master intracellular antioxidant; its depletion is associated with increased oxidative damage, mitochondrial dysfunction, and accelerated ageing.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Depletion linked to oxidative stress in multiple conditions; however, standardised serum glutathione assays are research-grade tools, not routine clinical tests. QRMA reading is a proxy.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Erythrocyte glutathione (research labs); N-acetylcysteine challenge if GSH suspected low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N-acetylcysteine precursors: sulphur-rich foods (garlic, onions, cruciferous vegetables, eggs)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CoQ10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Mitochondrial electron transport sub-score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depleted. Contributes to AR. Weight: 20% of 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CoQ10 is essential for mitochondrial ATP synthesis and is itself an antioxidant. Depletion is associated with increased MDA and reduced total antioxidant capacity (TAC).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Meta-analyses confirm CoQ10 supplementation significantly reduces MDA (SMD −1.02) and increases TAC (SMD 0.62) and SOD. Results are heterogeneous; not a validated standalone clinical biomarker.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Plasma CoQ10 (available at specialist labs); note: statins lower CoQ10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Organ meats (heart, liver), oily fish, whole grains, nuts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Vitamin 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Water-soluble antioxidant sub-score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depleted. Contributes to AR. Weight: 20% of 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Vitamin C is the principal water-soluble antioxidant; it regenerates vitamin E and directly neutralises ROS in plasma. It is also required for collagen hydroxylation.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Long-term treatment with vitamin C + E + beta-carotene showed positive effects on antioxidant status in controlled trials. Clinical outcome benefit (CVD events) from supplementation is not consistently demonstrated.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Plasma ascorbate (specialist labs); clinically, frank deficiency is assessed by dietary history + physical signs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Citrus, kiwi, guava, bell peppers, broccoli, strawberries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Vitamin 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Lipid-soluble antioxidant sub-score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depleted. Contributes to AR. Weight: 15% of 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Vitamin E (tocopherol) protects cell membrane phospholipids from lipid peroxidation. It is regenerated by vitamin C, making the two synergistic.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NCBI review confirms vitamin E as a primary membrane antioxidant; supplementation trials show mixed clinical outcomes.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Serum alpha-tocopherol (clinical lab)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Almonds, sunflower seeds, avocado, olive oil, spinach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Selenium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Antioxidant enzyme co-factor sub-score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depleted. Contributes to AR. Weight: 10% of 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Selenium is required for glutathione peroxidase (GPx) activity. Combined Se + CoQ10 supplementation over 48 months significantly improved systemic free thiol levels (a redox status proxy).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Clinical trial (Diva-portal 2023, n=443) confirmed selenium + CoQ10 improved redox status markers. Selenium is also validated for thyroid function; routine clinical testing available as serum selenium.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Serum selenium (clinical lab); note Indonesia is a low-selenium soil region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Brazil nuts (1–2/day), fish, eggs, sunflower seeds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Skin Free Radical Level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Pro-oxidant sub-score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≥7 = elevated pro-oxidant signal. Contributes to Pro-oxidant Load (PL). Weight: 50% of PL. Note: this item is inverted — higher = worse, unlike the others.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Elevated ROS in skin reflects systemic oxidative burden and is associated with skin ageing, UV damage, and impaired collagen synthesis.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Oxidative stress is linked to skin ageing via MMP activation (Frontiers Medicine 2024). Direct ROS measurement uses electron paramagnetic resonance (EPR) in research; QRMA reading is an indirect proxy.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routine clinical equivalent; if elevated, use antioxidant nutrient levels as proxy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Reduce UV exposure, increase polyphenol-rich foods, green tea, vitamin C food sources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Derived: Antioxidant Reserve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sub-score for adequacy of antioxidant defence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Computed: AR% = ((Glu × 0.25) + (CoQ10 × 0.20) + (VitC × 0.20) + (VitE × 0.15) + (Se × 0.10)) / 10 × 100. Alert if AR% &lt;50%.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 low reserve means the body has limited capacity to neutralise ROS, leaving cells vulnerable to oxidative damage across all tissues.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Weighted composite approach consistent with clinical indices combining multiple antioxidant biomarkers. Individual weights are QRMA-app conventions, not clinically validated.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Confirm with individual nutrient labs for any sub-score flagged below 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Diverse antioxidant-rich whole foods diet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Derived: Pro-oxidant Load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Secondary sub-score for oxidative burden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Computed: PL% = (Skin Free Radical / 10) × 100. Alert if PL% &gt;60%.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Quantifies the oxidative stress burden independent of the antioxidant reserve; the ratio between the two gives a net oxidative balance signal.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Concept of oxidant/antioxidant balance is well-established in research biochemistry; the specific QRMA mapping is not validated.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direct lab equivalent; supplement with antioxidant nutrient labs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Same as above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module_3_toxic_exposure_flags"/>
      <w:r>
        <w:rPr>
          <w:rFonts w:eastAsia="georgia" w:cs="georgia" w:ascii="georgia" w:hAnsi="georgia"/>
          <w:b/>
          <w:color w:val="000000"/>
          <w:sz w:val="24"/>
        </w:rPr>
        <w:t xml:space="preserve">Module 3 — Toxic Exposure Flags</w:t>
      </w:r>
      <w:bookmarkEnd w:id="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951"/>
        <w:gridCol w:w="951"/>
        <w:gridCol w:w="951"/>
        <w:gridCol w:w="951"/>
        <w:gridCol w:w="951"/>
        <w:gridCol w:w="951"/>
        <w:gridCol w:w="951"/>
        <w:gridCol w:w="951"/>
        <w:gridCol w:w="951"/>
        <w:gridCol w:w="951"/>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Parameter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Role in Module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How It Is Scored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Direction of Concern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Why This Parameter Matters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Scientific Evidence / Clinical Rationale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Suggested Confirmatory Tests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Food-First Actions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Confidence Label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Heavy Metal Index (HMI)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flag. Each flagged heavy metal contributes +1 to HMI (max 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QRMA score is worse (higher exposure pattern)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Lead has no known safe exposure level. Even BLL &lt;5 µg/dL is associated with cardiovascular, renal, and cognitive effects. WHO attributes &gt;1.5M deaths/year to lead.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WHO (2024): no safe BLL; dose-dependent effects on CNS, CV, and kidney. CDC reference value updated to BLL &gt;3.5 µg/dL as action threshold.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Whole blood lead level (BLL) — gold standard confirmatory test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Calcium-rich foods (dairy, leafy greens) reduce lead absorption; iron-rich foods (lentils, red meat) also compete with lead uptake. Avoid processed foods from high-lead regions.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Mercury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Heavy Metal Index (HMI)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flag. Contributes +1 to HMI.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Mercury (especially methylmercury) is a potent neurotoxin and renal toxicant. Primary exposure source in Indonesia: large fish consumption (tuna, swordfish, shark) and artisanal gold mining areas.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StatPearls (NCBI 2024): mercury toxicity causes neurological, renal, and immune effects. Speciation matters: organic (methyl) vs. inorganic.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Urine mercury (total or speciated) or blood mercury for recent organic exposure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Reduce high-mercury fish; increase selenium-containing foods which may partially antagonise mercury; cilantro, chlorella (food-grade) discussed as supportive but evidence is weak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Cadmium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Heavy Metal Index (HMI)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flag. Contributes +1 to HMI.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Cadmium accumulates in the kidneys over decades and causes proximal tubular damage (Fanconi syndrome pattern). Exposure sources: tobacco, rice grown in contaminated soil, industrial emissions.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Urinary cadmium is the biomarker of chronic kidney cadmium accumulation; blood cadmium reflects recent exposure (StatPearls 2024).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Urine cadmium (24-hour or creatinine-corrected); beta-2 microglobulin as a marker of tubular damage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Stop tobacco; reduce organ meat (especially kidney) from potentially contaminated livestock; increase zinc and iron intake (compete with cadmium absorption)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Arsenic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Heavy Metal Index (HMI)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flag. Contributes +1 to HMI.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Chronic low-level arsenic exposure is associated with cardiovascular disease, peripheral neuropathy, and increased cancer risk. Primary exposure sources: contaminated groundwater, rice, some seafood.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Blood and urine arsenic (speciated) are the confirmatory tests; urine total arsenic must be speciated to exclude non-toxic organic arsenobetaine from seafood (StatPearls 2024).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Urine arsenic speciation (24-hour) or blood arsenic for acute exposure. Note: a "seafood washout" of 72 hrs before testing reduces false positives.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Reduce rice consumption if groundwater arsenic is suspected; filter drinking water; vary protein sources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Stimulant Exposure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Lifestyle Burden (LB)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flag. Contributes +1 to LB (max 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QRMA score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Chronic stimulant use (caffeine excess, amphetamine-type compounds) is associated with increased sympathetic tone, elevated cortisol, disrupted sleep, and cardiovascular strain.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Epidemiological links between high caffeine/stimulant use and autonomic dysregulation; indirect proxy only via QRMA.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Clinical history + 24-hour urine catecholamines if adrenal over-activation suspected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Reduce high-caffeine beverages (&gt;400 mg/day); replace with L-theanine-containing green tea; prioritise sleep hygiene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Tobacco / Nicotine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Lifestyle Burden (LB)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flag. Contributes +1 to LB.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Tobacco is the single most significant modifiable risk factor for cardiovascular disease, COPD, and multiple cancers. Nicotine directly damages vascular endothelium and elevates cardiovascular risk.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Grade A evidence from multiple international guidelines for tobacco as a leading risk factor for CVD and mortality.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Serum cotinine (nicotine metabolite, 3-day window); carboxyhemoglobin if acute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Cessation is the primary intervention; N-acetylcysteine and vitamin C foods may partially offset oxidative damage from smoking while cessation is planned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Well-supported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Pesticide Residue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Lifestyle Burden (LB)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flag. Contributes +1 to LB.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Chronic organophosphate and carbamate pesticide exposure (common in Indonesia via agricultural occupational exposure and high-residue produce) is associated with endocrine disruption, oxidative stress, and neurological effects.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Epidemiological evidence links chronic pesticide exposure to Parkinson-like neurological patterns, metabolic disruption, and carcinogenesis. Direct confirmatory testing is specialised.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 blood cell acetylcholinesterase activity (for organophosphate exposure); whole urine pesticide metabolite panel (specialist toxicology lab)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Wash produce thoroughly; prioritise variety; reduce processed and street food with unknown provenance; increase fibre to support intestinal elimination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Derived: Heavy Metal Index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toxic sub-score 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Count of lead, mercury, cadmium, arsenic scores ≤4. Range: 0–4. Alert if ≥2.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Higher count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Simultaneous flag across multiple metals is more concerning than a single flag due to synergistic toxicological interactions (e.g., lead + cadmium renal burden).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Heavy metal co-exposure is a recognised toxicological concern in occupational and environmental health contexts.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Confirm each flagged metal with its specific confirmatory test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Whole food diet; adequate calcium, zinc, iron, and selenium reduce absorption of most heavy metals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Derived: Lifestyle Burden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toxic sub-score 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Count of stimulant, tobacco, pesticide scores ≤4. Range: 0–3. Alert if ≥2.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Higher count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Multiple simultaneous lifestyle toxicant exposures compound oxidative stress and systemic inflammatory load.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Consistent with the allostatic load literature on cumulative health impact of lifestyle exposures.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Clinical history; specific tests as listed above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Address highest-impact item first: tobacco cessation yields the greatest single health benefit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Well-supported (tobacco); Needs lab confirmation (others)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module_4_metabolic_risk"/>
      <w:r>
        <w:rPr>
          <w:rFonts w:eastAsia="georgia" w:cs="georgia" w:ascii="georgia" w:hAnsi="georgia"/>
          <w:b/>
          <w:color w:val="000000"/>
          <w:sz w:val="24"/>
        </w:rPr>
        <w:t xml:space="preserve">Module 4 — Metabolic Risk</w:t>
      </w:r>
      <w:bookmarkEnd w:id="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951"/>
        <w:gridCol w:w="951"/>
        <w:gridCol w:w="951"/>
        <w:gridCol w:w="951"/>
        <w:gridCol w:w="951"/>
        <w:gridCol w:w="951"/>
        <w:gridCol w:w="951"/>
        <w:gridCol w:w="951"/>
        <w:gridCol w:w="951"/>
        <w:gridCol w:w="951"/>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Parameter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Role in Module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How It Is Scored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Direction of Concern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Why This Parameter Matters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Scientific Evidence / Clinical Rationale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Suggested Confirmatory Tests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Food-First Actions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Confidence Label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Triglyceride Imbalance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Glycemic/Lipid Burden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flagged. Contributes to Lipid Burden (LB).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Elevated triglycerides (≥150 mg/dL in clinical testing) are one of the five criteria for metabolic syndrome (IDF/AHA 2009) and are associated with insulin resistance and cardiovascular risk.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IDF/AHA harmonised definition (World Heart Federation 2009); clinical cutoff ≥150 mg/dL. QRMA reading is a proxy — confirm with lab.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Fasting lipid panel (triglycerides, LDL, HDL, total cholesterol); fasting for ≥12 hours required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Reduce refined carbohydrates, sugar, and alcohol; increase omega-3 fatty acids (oily fish, walnuts, flaxseed); increase physical activity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Urine Glucose Coefficient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Glycemic Burden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flagged. Contributes to Glycemic Burden (GB).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Glucosuria (glucose in urine) is a proxy signal for hyperglycaemia; when blood glucose exceeds the renal threshold (~180 mg/dL), glucose spills into urine. It suggests significant hyperglycaemia.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Urinalysis dipstick for glucose is a standard clinical screening tool; renal glucosuria (low renal threshold) is a confounder — lab confirmation required.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Fasting plasma glucose; HbA1c; urinalysis dipstick; if both elevated, refer for OGTT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 glycaemic index diet; reduce refined carbohydrates; legumes, whole grains, non-starchy vegetables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Insulin Secretion Coefficient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Glycemic Burden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flagged. Contributes to GB.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Impaired insulin secretion is a marker of beta-cell stress; combined with insulin resistance, it drives progression toward type 2 diabetes.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HOMA-IR and C-peptide are the clinical equivalents; QRMA signal is a proxy only. Pattern suggests insulin dysregulation; confirm with lab.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Fasting insulin + fasting glucose → HOMA-IR calculation; fasting C-peptide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Chromium-rich foods (broccoli, whole grains); reduce refined sugar; time-restricted eating evidence is preliminary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Fat Metabolism Imbalance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Lipid Burden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flagged. Contributes to LB.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Impaired fat metabolism includes subclinical dyslipidaemia (LDL particle quality, remnant cholesterol, lipoprotein(a)) not captured by basic lipid panels. Relevant to cardiovascular and hepatic steatosis risk.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Evidence links fat metabolism disruption to non-alcoholic fatty liver disease (NAFLD) and cardiovascular risk. QRMA reading is an indirect proxy; no direct clinical equivalent without advanced lipid testing.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Advanced lipid panel (LDL particle size/number, lipoprotein(a), ApoB); liver ultrasound if hepatic steatosis suspected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Olive oil over refined vegetable oils; reduce trans fats; increase soluble fibre (oats, psyllium, legumes)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BMI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Anthropometric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Calculated from user-entered height (cm) and weight (kg): BMI = weight / (height/100)². Alert if BMI ≥25 (overweight) or ≥30 (obese).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Higher is worse (for overweight range)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BMI is a simple, clinically validated population-level screening tool for excess body weight and associated metabolic risk.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WHO BMI classification is globally accepted; for Asian populations (including Indonesians), the overweight threshold of BMI ≥23 may be more appropriate based on Asian-specific metabolic risk data.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lab needed; waist circumference is a more sensitive central obesity marker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Achieve moderate caloric deficit via whole food, mostly plant-based diet; increase physical activity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Well-supported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Waist Circumference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Central obesity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User-entered value in cm. Alert threshold: ≥90 cm (men) or ≥80 cm (women) — IDF Asian-specific criteria.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Waist circumference is a direct measure of central (visceral) adiposity, which is more metabolically harmful than subcutaneous fat and is the primary prerequisite for metabolic syndrome in the IDF definition.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IDF 2006 consensus: central obesity (using ethnicity-specific waist cut-offs) is independently associated with all metabolic syndrome components. Asian-specific cutoff: men ≥90 cm, women ≥80 cm.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Repeat waist measurement; DEXA scan for precise visceral fat quantification if needed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Caloric deficit; resistance training reduces visceral fat more effectively than aerobic exercise alone; reduce alcohol (preferentially stored as visceral fat)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Well-supported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Derived: Glycemic Burden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sub-score for glucose dysregulation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Computed: GB = ((Urine Glucose score + Insulin score) / 2). Alert if GB &lt;4.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 composite of two related glycaemic signals is more robust than either alone for detecting early glycaemic dysregulation.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Consistent with multi-biomarker composite approaches in metabolic screening.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HbA1c + fasting glucose (paired)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 GI diet, fibre, physical activity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Derived: Lipid Burden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sub-score for lipid dysregulation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Computed: LB = ((Triglyceride score + Fat Metabolism score) / 2). Alert if LB &lt;4.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 composite of triglyceride and fat metabolism signals covers both the IDF-defined dyslipidaemia criterion and broader fat dysregulation.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IDF metabolic syndrome criteria; extended lipid research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Fasting lipid panel (full)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Mediterranean-pattern diet; omega-3; soluble fibre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module_5_cardio_renal_strain"/>
      <w:r>
        <w:rPr>
          <w:rFonts w:eastAsia="georgia" w:cs="georgia" w:ascii="georgia" w:hAnsi="georgia"/>
          <w:b/>
          <w:color w:val="000000"/>
          <w:sz w:val="24"/>
        </w:rPr>
        <w:t xml:space="preserve">Module 5 — Cardio-Renal Strain</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951"/>
        <w:gridCol w:w="951"/>
        <w:gridCol w:w="951"/>
        <w:gridCol w:w="951"/>
        <w:gridCol w:w="951"/>
        <w:gridCol w:w="951"/>
        <w:gridCol w:w="951"/>
        <w:gridCol w:w="951"/>
        <w:gridCol w:w="951"/>
        <w:gridCol w:w="951"/>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Parameter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Role in Module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How It Is Scored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Direction of Concern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Why This Parameter Matters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Scientific Evidence / Clinical Rationale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Suggested Confirmatory Tests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Food-First Actions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Confidence Label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Cholesterol Plaque/Crystal Signal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Cardiac Index (CI)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flagged. Contributes to CI.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Represents a proxy signal for cholesterol crystal deposition in arterial walls — a marker of atherosclerotic plaque burden in QRMA convention.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Cholesterol crystal deposition is a feature of advanced atherosclerosis; however, QRMA cannot directly visualise plaques. This is a proxy signal — confirms with lipid panel and imaging.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Fasting lipid panel; carotid intima-media thickness (CIMT) ultrasound if vascular risk is flagged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Reduce saturated and trans fats; plant sterols (fortified foods); soluble fibre (oats, psyllium)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Vascular Flexibility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Cardiac Index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flagged. Contributes to CI.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Reduced arterial flexibility (increased arterial stiffness) is associated with elevated systolic BP, increased left ventricular afterload, and independently predicts cardiovascular morbidity and mortality.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Arterial stiffness measured by pulse wave velocity (PWV) predicts CVD events independently of traditional risk factors (AHA 2021, Nature 2025). QRMA reading is a proxy.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Resting brachial blood pressure (bilateral); ankle-brachial index (ABI); specialist: pulse wave velocity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Potassium-rich foods (bananas, avocado, leafy greens) for blood pressure; reduce sodium; regular aerobic exercise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Left Ventricular Ejection Resistance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Cardiac Index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flagged. Contributes to CI.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Elevated left ventricular (LV) ejection resistance (afterload) reflects increased systemic vascular resistance, a pattern seen in hypertension, arterial stiffness, and early cardiac strain.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LV afterload is a clinical haemodynamic concept; QRMA's LV signal is an indirect proxy. Standard confirmation uses echocardiography.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Resting ECG; blood pressure; echocardiogram (if CV risk is multifactorial)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Reduce sodium; increase potassium and magnesium; CoQ10 food sources (organ meats, fish)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Uric Acid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Cardio-Renal Index (CRI)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flagged. Contributes to CRI.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Hyperuricaemia (SUA ≥7 mg/dL in men, ≥6 mg/dL in women) is causally associated with hypertension, metabolic syndrome, CKD, and cardiovascular disease in epidemiological and Mendelian randomisation studies. It is now recognised as a relevant cardiorenal risk factor rather than a benign biochemical finding.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ESC (2021): uric acid is an independent risk factor for CVD and CKD. AHA (2025): each unit increase in SUA increases CVD risk; dose-response confirmed.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Serum uric acid; serum creatinine + eGFR (uric acid nephropathy co-screening)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Reduce red meat, organ meats, shellfish, high-fructose corn syrup, and alcohol (especially beer); increase hydration; cherries, low-fat dairy may lower SUA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Proteinuria Index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Renal sub-score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flagged. Contributes to CRI.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Proteinuria/albuminuria is the earliest detectable sign of glomerular damage and a key marker for CKD staging and cardiovascular risk. KDIGO defines persistent ACR &gt;30 mg/g as moderately elevated albuminuria.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KDIGO 2024: both eGFR and urine ACR are mandatory for CKD screening. ACR &gt;30 mg/g, confirmed on two tests 3 months apart, defines persistent albuminuria.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Urine albumin-to-creatinine ratio (ACR) on first-morning void — gold standard; dipstick urinalysis as a first step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Reduce sodium and protein excess; increase plant protein over animal protein; ensure adequate hydration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Potassium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Electrolyte sub-score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flagged (suggest low potassium pattern). Contributes to CRI.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Potassium is the principal intracellular cation; hypokalaemia is associated with cardiac arrhythmias, hypertension, and muscle cramps. It is particularly important in the context of diuretic use or renal disease.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Clinical electrolyte physiology; WHO recommends ≥3.5 g/day dietary potassium for blood pressure reduction.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Serum electrolytes (K⁺, Na⁺); note: haemolysis during blood draw can falsely elevate serum potassium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Bananas, avocado, potato (with skin), sweet potato, white beans, spinach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Magnesium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Electrolyte sub-score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flagged. Contributes to CRI.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Magnesium is required for &gt;300 enzymatic reactions including ATP synthesis, muscle contraction, nerve conduction, and vascular tone regulation. Clinical hypomagnesaemia is associated with arrhythmia, hypertension, and insulin resistance.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Serum magnesium is a routinely available clinical test, though it reflects only ~1% of body magnesium (primarily intracellular). Red blood cell (RBC) magnesium is a better intracellular proxy.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Serum magnesium; RBC magnesium (specialist labs)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Pumpkin seeds, dark leafy greens (spinach), legumes (black beans), dark chocolate (≥70%), whole grains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Derived: Cardiac Index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sub-score for heart and vascular stress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Computed: CI = ((Cholesterol + VascularFlex + LV) / 3). Alert if CI &lt;4.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Three cardiovascular parameters in combination are more predictive of cardiovascular strain than any single marker.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Allostatic load multi-system principle applied to the cardiovascular domain.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All three confirmatory tests listed above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 listed for each component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Derived: Cardiorenal Index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sub-score for kidney–heart intersection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Computed: CRI = ((UricAcid + Proteinuria + K + Mg) / 4). Alert if CRI &lt;4.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 cardio-renal axis is a well-established bidirectional relationship: cardiac dysfunction causes renal hypoperfusion and vice versa. Uric acid and proteinuria are markers at the intersection.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KDIGO 2024 emphasises the cardio-renal continuum; uric acid is a recognised shared risk factor for both CKD and CVD.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eGFR (serum creatinine + cystatin C); urine ACR; serum uric acid; electrolytes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Hydration; low-sodium diet; plant-forward protein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module_6_nutrient_sufficiency"/>
      <w:r>
        <w:rPr>
          <w:rFonts w:eastAsia="georgia" w:cs="georgia" w:ascii="georgia" w:hAnsi="georgia"/>
          <w:b/>
          <w:color w:val="000000"/>
          <w:sz w:val="24"/>
        </w:rPr>
        <w:t xml:space="preserve">Module 6 — Nutrient Sufficiency</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951"/>
        <w:gridCol w:w="951"/>
        <w:gridCol w:w="951"/>
        <w:gridCol w:w="951"/>
        <w:gridCol w:w="951"/>
        <w:gridCol w:w="951"/>
        <w:gridCol w:w="951"/>
        <w:gridCol w:w="951"/>
        <w:gridCol w:w="951"/>
        <w:gridCol w:w="951"/>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Parameter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Role in Module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How It Is Scored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Direction of Concern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Why This Parameter Matters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Scientific Evidence / Clinical Rationale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Suggested Confirmatory Tests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Food-First Actions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Confidence Label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Zinc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Nutrient score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sub-optimal. Contributes to Sufficiency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Zinc is required for immune function, wound healing, DNA synthesis, and &gt;100 enzymatic reactions. Deficiency is common globally; there are no suitable standalone serum biomarkers (WHO caution: serum zinc reflects acute-phase response and dietary intake, not tissue stores).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WHO micronutrient guidance: zinc deficiency is widespread; clinical signs of moderate deficiency are non-specific. NCBI micronutrient review (2023): RDA for zinc is ~10 mg/day.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Serum zinc (morning fasting sample; note acute-phase response limitation); alkaline phosphatase as indirect proxy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Oysters (highest zinc density), beef, pumpkin seeds, lentils, hemp seeds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Magnesium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Nutrient score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Same as Module 5 (dual role). QRMA 1–10 score. Score ≤4 = sub-optimal.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(See Module 5.7 for full rationale.) In the nutrient context, emphasis is on dietary adequacy.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Serum magnesium reflects recent intake + renal handling; RBC magnesium better for tissue adequacy.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Serum magnesium; RBC magnesium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 listed in Module 5.7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Potassium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Nutrient score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Same as Module 5 (dual role). QRMA 1–10 score. Score ≤4 = sub-optimal.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(See Module 5.6 for full rationale.) Dietary potassium ≥3.5 g/day has WHO grade A evidence for blood pressure reduction.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 above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Serum electrolytes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 listed in Module 5.6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Iodine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Nutrient score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sub-optimal. Contributes to Sufficiency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Iodine is essential for thyroid hormone synthesis. Deficiency is a public health issue in Indonesia, particularly in non-coastal areas. The WHO recommends median urinary iodine concentration (UIC) ≥100 µg/L as the adequacy threshold at population level.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WHO micronutrient guidelines (2024) recommend urinary iodine as the primary population indicator. Clinical assessment includes TSH and free T4.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Spot urine iodine/creatinine ratio; if thyroid pattern is flagged, add TSH + free T4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Iodised salt, seaweed (nori, wakame — use in moderation), seafood, eggs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Silicon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Nutrient score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sub-optimal. Contributes to Sufficiency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Silicon is discussed in the context of bone and connective tissue health (collagen cross-linking). However, silicon has no validated clinical biomarker equivalent and no established dietary reference intake (DRI). Evidence base is weak. QRMA reading is a speculative proxy.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Preliminary research suggests silicon may support collagen and bone matrix; however, this is not a validated clinical domain. Developer note: this parameter should carry a visible "evidence very limited" notice.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validated clinical test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Whole grains, oats, bananas, root vegetables, beer (highest dietary source in population studies — note: alcohol is a net negative)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Vitamin B6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Nutrient score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sub-optimal. Contributes to Sufficiency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B6 (pyridoxine) is required for amino acid metabolism, neurotransmitter synthesis (serotonin, dopamine, GABA), and homocysteine metabolism. Deficiency causes peripheral neuropathy and anaemia.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Plasma pyridoxal-5′-phosphate (PLP) is the validated clinical marker of B6 status. Deficiency is common with malabsorption, inflammatory conditions, and oral contraceptive use.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Plasma PLP (specialist labs); serum B6 (less accurate than PLP)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Poultry (turkey, chicken), tuna, salmon, potatoes, bananas, fortified cereals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Vitamin 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Nutrient score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(Same signal as Module 2.3, used here in a nutrient context.) Contributes to Sufficiency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 the nutrient context: frank deficiency causes scurvy (skin signs, gum bleeding, poor wound healing). Sub-clinical deficiency impairs collagen synthesis and immune function.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Plasma ascorbate is the gold-standard test; scurvy is a clinical diagnosis (dietary history + physical signs).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Plasma ascorbate; if not available, detailed dietary history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Citrus, guava, bell peppers, kiwi, broccoli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Vitamin D3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Nutrient score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sub-optimal. Contributes to Sufficiency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Vitamin D is essential for calcium absorption, bone mineralisation, immune regulation, and muscle function. Deficiency (25-OH vitamin D &lt;50 nmol/L) is highly prevalent in tropical and equatorial populations (including Indonesia) due to sun avoidance, indoor lifestyle, and darker skin.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25-hydroxyvitamin D (25-OH-D) assay is a well-validated clinical test. Deficiency definition: &lt;25 nmol/L (severe); insufficiency: 25–50 nmol/L; adequacy: ≥50 nmol/L (most guidelines).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Serum 25-OH vitamin D (standard clinical lab)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Oily fish (salmon, mackerel), egg yolk, fortified dairy; sun exposure (10–30 min midday without sunscreen, on arms/legs); supplement if lab-confirmed deficient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Vitamin 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Nutrient score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(Same signal as Module 2.4 used in the nutrient context.) Contributes to Sufficiency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Frank vitamin E deficiency is rare in adults with normal fat absorption; it causes peripheral neuropathy and haemolytic anaemia. Sub-clinical depletion is more common in malabsorption conditions.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Serum alpha-tocopherol is the clinical test; deficiency is typically only severe in fat malabsorption syndromes.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Serum alpha-tocopherol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Almonds, sunflower seeds, avocado, olive oil, spinach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Folate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Nutrient score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sub-optimal. Contributes to Sufficiency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Folate is essential for DNA synthesis, cell division, and homocysteine metabolism. Deficiency causes megaloblastic anaemia and, in pregnancy, neural tube defects. Low folate is associated with elevated homocysteine, a cardiovascular risk marker.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Serum folate is a standard clinical test; RBC folate better reflects longer-term status. UK reference range: serum folate 3.9–26.8 µg/L.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Serum folate (or RBC folate for longer-term status)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Leafy greens (spinach, kale), legumes (lentils, chickpeas), asparagus, broccoli, fortified cereals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Needs lab confirmation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Derived: Sufficiency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Module primary output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Computed: % = (count of parameters scoring &gt;4 / 10) × 100. Alert if Sufficiency % &lt;60%.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 broad sufficiency score across 10 nutrients signals whether the overall nutritional profile is adequate or whether multiple sub-optimal levels co-exist (a common pattern in processed-food-heavy diets).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Multi-nutrient deficiency is common; WHO and NCBI note that single deficiencies are rare and patients with one deficiency commonly have multiple (NCBI 2023).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Comprehensive micronutrient panel (serum vitamin D, B12, folate, zinc, serum magnesium minimum)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Whole food, diverse diet; avoid calorie-dense, nutrient-poor foods; consider baseline micronutrient panel if Sufficiency &lt;60%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Derived: Deficient Count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Module secondary output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Count of parameters scoring ≤4. Alert if ≥4 nutrients flagged.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Higher count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Multiple concurrent micronutrient deficiencies indicate a systemic nutritional gap that a single supplement cannot address.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Consistent with WHO guidance that multiple micronutrient deficiencies are more common than isolated ones.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 above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 above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module_7_skin_collagen_resilience"/>
      <w:r>
        <w:rPr>
          <w:rFonts w:eastAsia="georgia" w:cs="georgia" w:ascii="georgia" w:hAnsi="georgia"/>
          <w:b/>
          <w:color w:val="000000"/>
          <w:sz w:val="24"/>
        </w:rPr>
        <w:t xml:space="preserve">Module 7 — Skin / Collagen Resilience</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951"/>
        <w:gridCol w:w="951"/>
        <w:gridCol w:w="951"/>
        <w:gridCol w:w="951"/>
        <w:gridCol w:w="951"/>
        <w:gridCol w:w="951"/>
        <w:gridCol w:w="951"/>
        <w:gridCol w:w="951"/>
        <w:gridCol w:w="951"/>
        <w:gridCol w:w="951"/>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Parameter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Role in Module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How It Is Scored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Direction of Concern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Why This Parameter Matters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Scientific Evidence / Clinical Rationale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Suggested Confirmatory Tests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Food-First Actions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Confidence Label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Skin Collagen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Collagen Index (ColI)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sub-optimal. Contributes to ColI.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Skin collagen accounts for ~75% of the dry weight of dermis. Declining collagen density is the primary driver of skin ageing (wrinkling, sagging). It is influenced by UV, oxidative stress, glycation (AGEs), and nutritional adequacy.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Systematic review (PMC 2023) of oral collagen trials shows significant improvements in skin hydration and elasticity. In vivo collagen density is measurable by high-frequency ultrasound in research settings. QRMA reading is a proxy.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routine clinical confirmatory test; use Nutrient Module (vitamin C, collagen cofactors) as indirect indicators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Collagen peptide supplement (1.5–10 g/day; evidence from RCTs); vitamin C as cofactor; bone broth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Skin Elasticity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Collagen Index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sub-optimal. Contributes to ColI.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Skin elasticity (measured clinically by cutometry) reflects the ratio of elastic rebound to total deformation. It decreases with age, UV damage, and collagen/elastin degradation. RCTs confirm oral collagen improves cutometry-measured elasticity.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Multiple RCTs (Olay 2020, Proksch 2014, PMC 2019) show 12–52 weeks of collagen peptide supplementation significantly improves cutometry-measured elasticity (Ur/Uf ratio).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Cutometry (clinical dermatology research tools); not a routine clinical test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Oral collagen peptides; vitamin C; reduce sugar (limits glycation/AGE formation)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Transepidermal Water Loss (TEWL)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Barrier Function % (BF)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elevated TEWL pattern (impaired barrier). Note: this parameter is inverted in the BF calculation.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QRMA score = higher concern (worse barrier)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TEWL is the gold-standard measurement of skin barrier function in dermatological research. Elevated TEWL indicates barrier disruption (damaged stratum corneum), which increases sensitivity, inflammation, and transdermal allergen exposure.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TEWL measured by Tewameter is used in clinical dermatology trials and is a validated skin barrier instrument (ScienceDirect Topics). QRMA reading is an indirect proxy.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routine clinical confirmatory test; clinical assessment by dermatologist for barrier disorders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Ceramide-containing foods (soy, wheat germ, sweet potatoes); omega-3 fatty acids; adequate hydration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Sebum Level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Barrier Function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≤3 = very low (dry skin risk); Score ≥8 = elevated (potential oil imbalance). Both extremes contribute negatively to BF. Direction depends on value.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Both extremes are concerning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Sebum is produced by sebaceous glands and forms the lipid portion of the skin barrier. Too little (dryness, compromised barrier); too much (comedogenesis, inflammatory skin conditions).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Sebumeter is the validated clinical measurement tool. Sebum level is influenced by hormones, diet, and skin care.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Clinical dermatological assessment; hormonal evaluation if sebum excess is persistent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Very low sebum: avocado, olive oil, nuts; Very high sebum: reduce glycaemic load, reduce dairy (some evidence)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Melanin / Pigmentation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Collagen Index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≥7 = elevated pigmentation signal. Contributes to ColI as a UV/oxidative stress proxy.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Higher is worse (for this parameter)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Excess melanin deposition (hyperpigmentation) is associated with UV damage, oxidative stress, and post-inflammatory responses. In the context of skin ageing, it is a proxy for cumulative UV and oxidative burden.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Mexameter-measured melanin index is used in clinical dermatology research. Elevated melanin signal in skin ageing context reflects photoageing and ROS activity (Frontiers Medicine 2024).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Dermatological examination for pigmentation; if irregular, refer for dermoscopy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Vitamin C and niacinamide (food sources) may support pigmentation balance; sun protection (physical)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Skin Sensitivity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Barrier Function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≥7 = elevated sensitivity pattern. Contributes to BF (inverted).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Heightened skin sensitivity often reflects a compromised skin barrier (low ceramide, high TEWL), which allows irritants and allergens to penetrate more easily, triggering inflammatory responses.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Barrier disruption → skin sensitisation is a well-established dermatological pathway. QRMA reading is a proxy for barrier function state.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Dermatological assessment; patch testing if allergic contact dermatitis suspected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Reduce harsh surfactants in skincare; increase omega-3, vitamin E, and ceramide food sources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Eye Collagen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Collagen Index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sub-optimal. Contributes to ColI.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Eye tissue collagen (trabecular meshwork, vitreous, sclera) is relevant to intraocular pressure and visual health. Declining periorbital collagen is also associated with premature ageing of the eye area.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Collagen degradation in eye tissues is a research area; QRMA reading of eye collagen is speculative and lacks independent clinical validation.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Ophthalmological review (intraocular pressure, fundus exam) if eye-related concerns are present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Same food-first actions as skin collagen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Joint / Systemic Collagen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Collagen Index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QRMA 1–10 score. Score ≤4 = sub-optimal. Contributes to ColI.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Collagen is the structural backbone of cartilage, tendons, ligaments, and bone matrix. Declining systemic collagen contributes to joint stiffness, reduced mobility, and musculoskeletal ageing.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 II collagen (joints) and Type I collagen (bone, skin, tendons) decline with age. Oral collagen trials show some evidence for joint pain reduction in osteoarthritis patients.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routine clinical confirmatory test; X-ray or MRI for joint assessment if symptomatic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Collagen peptides; vitamin C; bone broth; gelatin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Derived: Collagen Index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collagen sub-score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Computed: ColI = ((SkinCollagen + Elasticity + Melanin_inv + EyeCollagen + JointCollagen) / 5). Note: Melanin is inverted (10 − score) before averaging. Alert if ColI &lt;4.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Aggregates collagen-related signals across skin, eyes, and systemic connective tissue.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Collagen ageing is a multi-tissue process; aggregation reflects the breadth of collagen depletion.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 listed above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Collagen peptides 5 g/day; vitamin C; reduce sugar and processed foods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Derived: Barrier Function %</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barrier sub-score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Computed: BF% = ((TEWL_inv + Sebum_normalised + Sensitivity_inv) / 3) × 10. TEWL_inv = 10 − TEWL_score. Sebum_normalised = 10 − abs(5 − SebumScore) × 2. Sensitivity_inv = 10 − SensitivityScore. Alert if BF% &lt;50%.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Lower is worse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Aggregates three skin barrier signals (permeability, lipid production, reactivity) into a single barrier health estimate.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Skin barrier science is well-established in dermatology; the specific QRMA weighting is not clinically validated.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Dermatological consultation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Ceramide foods; omega-3; reduce harsh detergents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Exploratory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module_8_action_plan_confirmatory_tests"/>
      <w:r>
        <w:rPr>
          <w:rFonts w:eastAsia="georgia" w:cs="georgia" w:ascii="georgia" w:hAnsi="georgia"/>
          <w:b/>
          <w:color w:val="000000"/>
          <w:sz w:val="24"/>
        </w:rPr>
        <w:t xml:space="preserve">Module 8 — Action Plan / Confirmatory Tests</w:t>
      </w:r>
      <w:bookmarkEnd w:id="18"/>
    </w:p>
    <w:p>
      <w:pPr>
        <w:spacing w:line="360" w:after="210" w:lineRule="auto"/>
        <w:ind w:left="630"/>
      </w:pPr>
      <w:r>
        <w:rPr>
          <w:rFonts w:eastAsia="georgia" w:cs="georgia" w:ascii="georgia" w:hAnsi="georgia"/>
          <w:color w:val="000000"/>
        </w:rPr>
        <w:t xml:space="preserve">Module 8 is an </w:t>
      </w:r>
      <w:r>
        <w:rPr>
          <w:rFonts w:eastAsia="georgia" w:cs="georgia" w:ascii="georgia" w:hAnsi="georgia"/>
          <w:b/>
          <w:color w:val="000000"/>
        </w:rPr>
        <w:t xml:space="preserve">aggregator</w:t>
      </w:r>
      <w:r>
        <w:rPr>
          <w:rFonts w:eastAsia="georgia" w:cs="georgia" w:ascii="georgia" w:hAnsi="georgia"/>
          <w:color w:val="000000"/>
        </w:rPr>
        <w:t xml:space="preserve">, not a separate input module. It reads the alert flags from Modules 1–7 and generates a prioritised action plan. There are no new input parameters for this module.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Logic Component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How It Works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Output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Developer Notes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Confidence Label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High-Priority Alert Aggregator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Identifies the most urgent flags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Scans all modules for scores that triggered an alert. Sorts by module evidence strength: Well-supported alerts appear first, followed by Needs lab confirmation, then Exploratory.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Ordered list of alert descriptions + affected domain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 a simple priority queue: enum AlertPriority { HIGH = 1, MEDIUM = 2, LOW = 3 } where HIGH = Well-supported alert, MEDIUM = Needs lab confirmation, LOW = Exploratory. Display count badge on module tab.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Well-supported (for the aggregation logic itself)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Confirmatory Lab Test Mapper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Maps each flagged parameter to its gold-standard lab test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Lookup table (see Lab Test Mapping below). Each alert source ID maps to one or more tests. Deduplicates tests (e.g., fasting lipid panel may be triggered by both M4.1 and M4.4).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Deduplicated ordered list of confirmatory tests with the triggering module as source citation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Implement as a static lookup object: { paramId: ['test name', 'specimen type', 'fasting?'] }. Group by specimen type (blood, urine, imaging) for UI grouping.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 (structural logic)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Food-First Suggestions Mapper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Maps each flagged parameter to its primary dietary action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Lookup table (see Food Actions below). Deduplicates recurring food suggestions. Presents top 5–7 highest-priority food actions to avoid overwhelming the user.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Short list of food interventions with rationale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Limit to 7 items maximum in UI. Pair each food action to the specific module it addresses.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 (structural logic)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Disclaimer Block (mandatory)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Legal and ethical safety layer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Hard-coded text block that always renders at the top of Module 8 output, regardless of scores. Cannot be hidden or dismissed.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Visible disclaimer panel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Render as a visually distinct yellow/amber panel. Text: "This report is a screening hypothesis only. It does not constitute a medical diagnosis. Consult a qualified clinician before acting on any finding." Do not allow CSS hiding.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 (mandatory)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Score Summary Block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One-line synopsis per module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Renders each module name + overall score status (Normal / Borderline / Flagged) as a summary row.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7-row summary table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 colour coding: green = normal, amber = borderline, red = flagged. Do not use traffic-light colours alone — always add a text label for colour-blind accessibility.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 (structural logic)</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lab_test_mapping_reference_for_mo_fc47e8"/>
      <w:r>
        <w:rPr>
          <w:rFonts w:eastAsia="georgia" w:cs="georgia" w:ascii="georgia" w:hAnsi="georgia"/>
          <w:b/>
          <w:color w:val="000000"/>
          <w:sz w:val="24"/>
        </w:rPr>
        <w:t xml:space="preserve">Lab Test Mapping Reference (for Module 8 lookup table)</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Triggered by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Lab Test 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Specimen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Fasting Required?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Urgency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M1.2 (Cardio stress), M5.1, M5.2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Fasting lipid panel (TC, LDL, HDL, TG)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Venous blood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≥12 hours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Routine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M1.3, M4.2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HbA1c + fasting plasma glucose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Venous blood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HbA1c: No; FPG: 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Routine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M3.1 (Lead)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Whole blood lead level (BLL)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Venous whole blood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Routine–Urgent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M3.2 (Mercury)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Urine mercury (speciated) or blood mercury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24-hour urine or blood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Routine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M3.3 (Cadmium)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Urine cadmium + beta-2 microglobulin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24-hour urine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Routine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M3.4 (Arsenic)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Urine arsenic speciation (72-hour seafood washout)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24-hour urine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(but 72h seafood-free)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Routine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M4.3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HOMA-IR (fasting insulin + FPG)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Venous blood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≥8 hours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Routine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M5.4, M5.5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Serum uric acid + eGFR (creatinine ± cystatin 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Venous blood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Routine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M5.5 (Proteinuria)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Urine albumin-to-creatinine ratio (ACR), first-morning void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Urine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Routine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M5.6, M5.7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Serum electrolytes (K⁺, Na⁺, Mg²⁺, Ca²⁺)</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Venous blood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Routine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M6.4 (Iodine)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Spot urine iodine/creatinine ratio; TSH + free T4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Urine + blood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Routine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M6.8 (Vitamin D3)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Serum 25-OH vitamin 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Venous blood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Routine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M6.10 (Folate), M6.6 (B6)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Serum folate + RBC folate; plasma pyridoxal-5′-phosphate (PLP)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Venous blood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Routine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M6.1 (Zinc), M6.2 (Magnesium)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Serum zinc (fasting AM); RBC magnesium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Venous blood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Zinc: Yes; Mg: 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Routine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M2.5 (Selenium)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Serum selenium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Venous blood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Routine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Any CV flag (M5.1–5.3)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Resting ECG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Surface electrodes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Routine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Multiple CV flags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Echocardiogram (if ≥2 cardiac flags)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Imaging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Specialist referral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Multiple renal flags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Renal ultrasound (if eGFR &lt;60 or ACR &gt;300)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Imaging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Specialist referral</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table_b_module_reference"/>
      <w:r>
        <w:rPr>
          <w:rFonts w:eastAsia="georgia" w:cs="georgia" w:ascii="georgia" w:hAnsi="georgia"/>
          <w:b/>
          <w:color w:val="000000"/>
          <w:sz w:val="24"/>
        </w:rPr>
        <w:t xml:space="preserve">Table B — Module Reference</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951"/>
        <w:gridCol w:w="951"/>
        <w:gridCol w:w="951"/>
        <w:gridCol w:w="951"/>
        <w:gridCol w:w="951"/>
        <w:gridCol w:w="951"/>
        <w:gridCol w:w="951"/>
        <w:gridCol w:w="951"/>
        <w:gridCol w:w="951"/>
        <w:gridCol w:w="951"/>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Module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Module Goal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Inputs Used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Derived Sub-Scores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Final Score Logic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Alert Threshold Logic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Recommended Chart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Recommended UI Label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Evidence Strength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Developer 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 Biological Age &amp; Multisystem Stress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Estimate whether the body is ageing faster or slower than chronological age; identify which major system is under the most stress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Chronological age (input), Cardiovascular score, Metabolic score, Oxidative Stress score (all QRMA 1–10)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Pillar sub-scores (0–100 each); Bio Age Gap (years); Multisystem Stress Index (0–3)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 Age = Chrono Age − ((CardioNorm + MetNorm + OxNorm − 150) / 15). Bio Age Gap = Bio Age − Chrono 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Alert if Bio Age Gap &gt; +3 years, OR if ≥2 pillars score ≤4, OR if any single pillar ≤3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Horizontal bullet gauge for Bio Age Gap; 3-segment bar for pillar pressures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"Biological Age Estimate" (with asterisk: *proxy calculation, not clinically validated)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Exploratory (formula); Well-supported (concept)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Log Chrono Age as number input with validation (18–99). Calculate on every input change. Cap Bio Age display at Chrono Age ± 20 years to prevent extreme outputs.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 Oxidative Stress &amp; Recovery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Estimate the balance between antioxidant reserve and pro-oxidant load; identify depleted antioxidant cofactors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Glutathione, CoQ10, Vitamin C, Vitamin E, Selenium, Skin Free Radical (all QRMA 1–10)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Antioxidant Reserve % (AR); Pro-oxidant Load % (PL)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 = weighted average of 5 antioxidants (see Table A weights). PL% = (FreeRadical / 10) × 100.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Alert if AR% &lt;50% OR PL% &gt;60%; flag individual nutrients if ≤4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Stacked horizontal bar: AR% vs. PL% remainder; individual nutrient icons with colour status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"Antioxidant–Oxidant Balance"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Exploratory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Weights are QRMA-convention; document clearly as non-clinically validated. Ensure Free Radical is inverted in display.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 Toxic Exposure Flags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Flag potential heavy metal and lifestyle toxicant exposure patterns; prompt confirmatory testing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Lead, Mercury, Cadmium, Arsenic (QRMA 1–10); Stimulant, Tobacco, Pesticide (QRMA 1–10)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Heavy Metal Index (HMI, 0–4); Lifestyle Burden (LB, 0–3)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HMI = count of [Pb, Hg, Cd, As] ≤4. LB = count of [Stim, Tobacco, Pest] ≤4.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Alert if HMI ≥2 OR LB ≥2 OR Tobacco ≤4 (tobacco always flagged individually regardless of LB total)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2-row flag grid: metal flags (4 cells) + lifestyle flags (3 cells); colour coded red/green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"Environmental &amp; Lifestyle Exposure Flags"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Needs lab confirmation (metals); Well-supported (tobacco)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Never display this as a toxicology report. Always show: "QRMA signals are proxies — confirm with whole blood or urine testing." Each flag must show its specific confirmatory test.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 Metabolic Risk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Identify metabolic syndrome patterns using QRMA proxies + validated anthropometric inputs; prompt fasting lab confirmation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Triglyceride, Urine Glucose, Insulin Secretion, Fat Metabolism (QRMA 1–10); BMI (calculated); Waist circumference (cm, user input)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Glycemic Burden (GB); Lipid Burden (LB); MetSyn flags (0–5 criteria)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GB = (UGlucose + Insulin) / 2. LB = (TG + FatMet) / 2. MetSyn criteria: flag each of {waist, TG, glucose, LB} against IDF Asian thresholds.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Alert if GB &lt;4 OR LB &lt;4 OR BMI ≥25 OR Waist ≥90 cm (men) / ≥80 cm (women) OR ≥3 MetSyn criteria flagged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Radar mini-chart for MetSyn components (5 axes); BMI gauge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"Metabolic Health Screening"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Well-supported (waist, BMI); Needs lab confirmation (QRMA components)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BMI calculation: kg / (m²). Waist IDF Asian cutoffs: men ≥90 cm, women ≥80 cm. Use these instead of European IDF cutoffs. MetSyn criteria count is the most clinically meaningful output in this module.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 Cardio-Renal Strain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Detect patterns suggesting cardiovascular and renal stress; bridge to eGFR, ACR, and uric acid testing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Cholesterol plaque signal, Vascular flexibility, LV ejection resistance, Uric acid, Proteinuria, Potassium, Magnesium (all QRMA 1–10)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Cardiac Index (CI); Cardiorenal Index (CRI)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 = (Cholesterol + VascFlex + LV) / 3. CRI = (UricAcid + Proteinuria + K + Mg) / 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Alert if CI &lt;4 OR CRI &lt;4 OR any single parameter ≤3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Split gauge: Cardiac (left) vs. Renal (right); parameter grid below</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"Cardio-Renal Screening Panel"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Needs lab confirmation (all); Well-supported (conceptual cardio-renal axis)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This module has the most direct clinical confirmatory path (eGFR + ACR + uric acid). Make the "Confirm with:" prompt for serum creatinine/eGFR + urine ACR prominent and un-dismissable when flagged.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 Nutrient Sufficiency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Provide a broad nutritional adequacy signal across 10 micronutrients; identify co-occurring deficiency patterns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Zinc, Magnesium, Potassium, Iodine, Silicon, Vitamin B6, Vitamin C, Vitamin D3, Vitamin E, Folate (all QRMA 1–10)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Sufficiency % (0–100); Deficient Count (0–10)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Sufficiency% = (count of scores &gt;4 / 10) × 100. DeficientCount = count of scores ≤4.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Alert if Sufficiency% &lt;60% OR DeficientCount ≥4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Circular icon grid (10 cells, green/amber/red per nutrient); Sufficiency % as a donut chart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"Nutrient Sufficiency Snapshot"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Exploratory (QRMA proxies); Needs lab confirmation (D3, iodine, folate, zinc for clinical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Silicon has the weakest evidence — label it with "evidence limited" in the UI tooltip. Vitamin D3 has the most well-established confirmatory test (25-OH-D) — ensure this is always in the action plan when D3 is flagged.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 Skin / Collagen Resilience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Assess skin health signals relevant to barrier function, collagen ageing, and oxidative stress; generate lifestyle and nutritional actions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Skin Collagen, Elasticity, TEWL, Sebum, Melanin, Sensitivity, Eye Collagen, Joint/Systemic Collagen (all QRMA 1–10)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Collagen Index (ColI); Barrier Function % (BF%)</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ColI = average of [SkinCol + Elas + MelInv + EyeCol + JointCol] / 5 (Melanin inverted). BF% = (TEWL_inv + Sebum_norm + Sens_inv) / 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Alert if ColI &lt;4 OR BF% &lt;50% OR any single parameter ≤3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Skin silhouette icon with colour-coded overlay zones; ColI and BF% as two separate progress bars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"Skin &amp; Connective Tissue Signals"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Exploratory (all)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This is the lowest-evidence module. Ensure the "Exploratory" badge is prominently displayed. Avoid language like "your collagen is low." Use: "pattern suggests sub-optimal collagen signal." Sebum is bidirectional — handle both low (≤3) and high (≥8) alert logic in code.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 Action Plan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Aggregate all alerts; produce a prioritised, deduplicated action plan with confirmatory tests and food-first suggestions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All alert flags from Modules 1–7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Reads alert state from each module. Sorts by evidence strength (Well-supported first). Deduplicates lab tests. Limits food suggestions to 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Renders only when scores have been calculated (gate on calculateAll() completion)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Ordered checklist for lab tests (grouped by specimen type); card grid for food actions; amber disclaimer panel at top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"Your Priority Actions"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 (aggregator)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Implement as a reactive function that recomputes whenever any module score changes. Store alerts as { moduleId, paramId, alertType, evidenceLevel, labTest[], foodActions[] }. Disclaimer panel must be non-dismissable and render before all other content.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scoring_convention_reference"/>
      <w:r>
        <w:rPr>
          <w:rFonts w:eastAsia="georgia" w:cs="georgia" w:ascii="georgia" w:hAnsi="georgia"/>
          <w:b/>
          <w:color w:val="000000"/>
          <w:sz w:val="24"/>
        </w:rPr>
        <w:t xml:space="preserve">Scoring Convention Reference</w:t>
      </w:r>
      <w:bookmarkEnd w:id="21"/>
    </w:p>
    <w:p>
      <w:pPr>
        <w:spacing w:line="360" w:after="210" w:lineRule="auto"/>
      </w:pPr>
      <w:r>
        <w:rPr>
          <w:rFonts w:eastAsia="georgia" w:cs="georgia" w:ascii="georgia" w:hAnsi="georgia"/>
          <w:color w:val="000000"/>
        </w:rPr>
        <w:t xml:space="preserve">All modules use QRMA native scores on a </w:t>
      </w:r>
      <w:r>
        <w:rPr>
          <w:rFonts w:eastAsia="georgia" w:cs="georgia" w:ascii="georgia" w:hAnsi="georgia"/>
          <w:b/>
          <w:color w:val="000000"/>
        </w:rPr>
        <w:t xml:space="preserve">1–10 scale</w:t>
      </w:r>
      <w:r>
        <w:rPr>
          <w:rFonts w:eastAsia="georgia" w:cs="georgia" w:ascii="georgia" w:hAnsi="georgia"/>
          <w:color w:val="000000"/>
        </w:rPr>
        <w:t xml:space="preserve"> (as printed in the QRMA report). The following conventions apply throughout: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Score range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Interpretation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UI colour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Within expected range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Green (#22c55e)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Borderline — monitor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Amber (#f59e0b)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Flagged — pattern suggests concern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Red (#ef4444)</w:t>
            </w:r>
          </w:p>
        </w:tc>
      </w:tr>
    </w:tbl>
    <w:p>
      <w:pPr>
        <w:spacing w:lineRule="auto"/>
      </w:pPr>
    </w:p>
    <w:p>
      <w:pPr>
        <w:spacing w:line="360" w:after="210" w:lineRule="auto"/>
        <w:ind w:left="630"/>
      </w:pPr>
      <w:r>
        <w:rPr>
          <w:rFonts w:eastAsia="georgia" w:cs="georgia" w:ascii="georgia" w:hAnsi="georgia"/>
          <w:color w:val="000000"/>
        </w:rPr>
        <w:t xml:space="preserve">Note: Some parameters are </w:t>
      </w:r>
      <w:r>
        <w:rPr>
          <w:rFonts w:eastAsia="georgia" w:cs="georgia" w:ascii="georgia" w:hAnsi="georgia"/>
          <w:b/>
          <w:color w:val="000000"/>
        </w:rPr>
        <w:t xml:space="preserve">inverted</w:t>
      </w:r>
      <w:r>
        <w:rPr>
          <w:rFonts w:eastAsia="georgia" w:cs="georgia" w:ascii="georgia" w:hAnsi="georgia"/>
          <w:color w:val="000000"/>
        </w:rPr>
        <w:t xml:space="preserve"> (higher raw score = more concern). These are explicitly identified in Table A. Inversion: </w:t>
      </w:r>
      <w:r>
        <w:rPr>
          <w:rStyle w:val="VerbatimChar"/>
          <w:rFonts w:eastAsia="menlo" w:cs="menlo" w:ascii="menlo" w:hAnsi="menlo"/>
          <w:color w:val="000000"/>
          <w:sz w:val="18"/>
          <w:shd w:val="clear" w:color="auto" w:fill="F8F8FA"/>
        </w:rPr>
        <w:t xml:space="preserve">invertedScore = 10 − rawScore</w:t>
      </w:r>
      <w:r>
        <w:rPr>
          <w:rFonts w:eastAsia="georgia" w:cs="georgia" w:ascii="georgia" w:hAnsi="georgia"/>
          <w:color w:val="000000"/>
        </w:rPr>
        <w:t xml:space="preserve">. Apply before the standard threshold table above.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mandatory_ui_text_blocks"/>
      <w:r>
        <w:rPr>
          <w:rFonts w:eastAsia="georgia" w:cs="georgia" w:ascii="georgia" w:hAnsi="georgia"/>
          <w:b/>
          <w:color w:val="000000"/>
          <w:sz w:val="24"/>
        </w:rPr>
        <w:t xml:space="preserve">Mandatory UI Text Blocks</w:t>
      </w:r>
      <w:bookmarkEnd w:id="22"/>
    </w:p>
    <w:p>
      <w:pPr>
        <w:spacing w:line="360" w:after="210" w:lineRule="auto"/>
      </w:pPr>
      <w:r>
        <w:rPr>
          <w:rFonts w:eastAsia="georgia" w:cs="georgia" w:ascii="georgia" w:hAnsi="georgia"/>
          <w:color w:val="000000"/>
        </w:rPr>
        <w:t xml:space="preserve">The following text must appear verbatim (or substantively equivalent) in the respective UI locations.</w:t>
      </w:r>
    </w:p>
    <w:p>
      <w:pPr>
        <w:spacing w:line="360" w:after="210" w:lineRule="auto"/>
      </w:pPr>
      <w:r>
        <w:rPr>
          <w:rFonts w:eastAsia="georgia" w:cs="georgia" w:ascii="georgia" w:hAnsi="georgia"/>
          <w:b/>
          <w:color w:val="000000"/>
        </w:rPr>
        <w:t xml:space="preserve">Dashboard header disclaimer (always visible):</w:t>
      </w:r>
    </w:p>
    <w:p>
      <w:pPr>
        <w:spacing w:line="360" w:after="210" w:lineRule="auto"/>
        <w:ind w:left="630"/>
      </w:pPr>
      <w:r>
        <w:rPr>
          <w:rFonts w:eastAsia="georgia" w:cs="georgia" w:ascii="georgia" w:hAnsi="georgia"/>
          <w:color w:val="000000"/>
        </w:rPr>
        <w:t xml:space="preserve">"This screening dashboard is a hypothesis generator based on Quantum Resonance Magnetic Analyzer (QRMA) data. QRMA readings are indirect proxy signals and are not validated clinical biomarkers. No finding on this dashboard constitutes a medical diagnosis. All flagged patterns should be confirmed with standard laboratory tests by a qualified clinician."</w:t>
      </w:r>
    </w:p>
    <w:p>
      <w:pPr>
        <w:spacing w:line="360" w:after="210" w:lineRule="auto"/>
      </w:pPr>
      <w:r>
        <w:rPr>
          <w:rFonts w:eastAsia="georgia" w:cs="georgia" w:ascii="georgia" w:hAnsi="georgia"/>
          <w:b/>
          <w:color w:val="000000"/>
        </w:rPr>
        <w:t xml:space="preserve">Module 8 / Action Plan header (always visible, amber background):</w:t>
      </w:r>
    </w:p>
    <w:p>
      <w:pPr>
        <w:spacing w:line="360" w:after="210" w:lineRule="auto"/>
        <w:ind w:left="630"/>
      </w:pPr>
      <w:r>
        <w:rPr>
          <w:rFonts w:eastAsia="georgia" w:cs="georgia" w:ascii="georgia" w:hAnsi="georgia"/>
          <w:color w:val="000000"/>
        </w:rPr>
        <w:t xml:space="preserve">"The action items below are generated from screening patterns only. They do not replace clinical judgement. Before purchasing supplements or changing medications, confirm flagged patterns with the listed laboratory tests."</w:t>
      </w:r>
    </w:p>
    <w:p>
      <w:pPr>
        <w:spacing w:line="360" w:after="210" w:lineRule="auto"/>
      </w:pPr>
      <w:r>
        <w:rPr>
          <w:rFonts w:eastAsia="georgia" w:cs="georgia" w:ascii="georgia" w:hAnsi="georgia"/>
          <w:b/>
          <w:color w:val="000000"/>
        </w:rPr>
        <w:t xml:space="preserve">Confidence label definitions (shown on first hover/tap per session):</w:t>
      </w:r>
    </w:p>
    <w:p>
      <w:pPr>
        <w:spacing w:line="360" w:after="210" w:lineRule="auto"/>
        <w:ind w:left="630"/>
      </w:pPr>
      <w:r>
        <w:rPr>
          <w:rFonts w:eastAsia="georgia" w:cs="georgia" w:ascii="georgia" w:hAnsi="georgia"/>
          <w:color w:val="000000"/>
        </w:rPr>
        <w:t xml:space="preserve">"Well-supported: backed by clinical guidelines. | Exploratory: plausible biological basis, limited validation. | Needs lab confirmation: QRMA is a proxy — confirm with the listed test."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known_limitations_developer_caveats"/>
      <w:r>
        <w:rPr>
          <w:rFonts w:eastAsia="georgia" w:cs="georgia" w:ascii="georgia" w:hAnsi="georgia"/>
          <w:b/>
          <w:color w:val="000000"/>
          <w:sz w:val="24"/>
        </w:rPr>
        <w:t xml:space="preserve">Known Limitations &amp; Developer Caveats</w:t>
      </w:r>
      <w:bookmarkEnd w:id="23"/>
    </w:p>
    <w:p>
      <w:pPr>
        <w:numPr>
          <w:ilvl w:val="0"/>
          <w:numId w:val="2"/>
        </w:numPr>
        <w:spacing w:line="360" w:before="105" w:after="105" w:lineRule="auto"/>
      </w:pPr>
      <w:r>
        <w:rPr>
          <w:rFonts w:eastAsia="georgia" w:cs="georgia" w:ascii="georgia" w:hAnsi="georgia"/>
          <w:b/>
          <w:color w:val="000000"/>
          <w:sz w:val="21"/>
        </w:rPr>
        <w:t xml:space="preserve">QRMA is not independently validated as a clinical diagnostic device.</w:t>
      </w:r>
      <w:r>
        <w:rPr>
          <w:rFonts w:eastAsia="georgia" w:cs="georgia" w:ascii="georgia" w:hAnsi="georgia"/>
          <w:color w:val="000000"/>
          <w:sz w:val="21"/>
        </w:rPr>
        <w:t xml:space="preserve"> All module outputs must be framed as hypothesis-generating proxies, not measurements.</w:t>
      </w:r>
    </w:p>
    <w:p>
      <w:pPr>
        <w:numPr>
          <w:ilvl w:val="0"/>
          <w:numId w:val="2"/>
        </w:numPr>
        <w:spacing w:line="360" w:before="105" w:after="105" w:lineRule="auto"/>
      </w:pPr>
      <w:r>
        <w:rPr>
          <w:rFonts w:eastAsia="georgia" w:cs="georgia" w:ascii="georgia" w:hAnsi="georgia"/>
          <w:b/>
          <w:color w:val="000000"/>
          <w:sz w:val="21"/>
        </w:rPr>
        <w:t xml:space="preserve">Dual-role parameters</w:t>
      </w:r>
      <w:r>
        <w:rPr>
          <w:rFonts w:eastAsia="georgia" w:cs="georgia" w:ascii="georgia" w:hAnsi="georgia"/>
          <w:color w:val="000000"/>
          <w:sz w:val="21"/>
        </w:rPr>
        <w:t xml:space="preserve"> (Magnesium and Potassium appear in both Module 5 and Module 6): ensure the input field is shared and the same value propagates to both modules. Do not ask the user to enter them twice.</w:t>
      </w:r>
    </w:p>
    <w:p>
      <w:pPr>
        <w:numPr>
          <w:ilvl w:val="0"/>
          <w:numId w:val="2"/>
        </w:numPr>
        <w:spacing w:line="360" w:before="105" w:after="105" w:lineRule="auto"/>
      </w:pPr>
      <w:r>
        <w:rPr>
          <w:rFonts w:eastAsia="georgia" w:cs="georgia" w:ascii="georgia" w:hAnsi="georgia"/>
          <w:b/>
          <w:color w:val="000000"/>
          <w:sz w:val="21"/>
        </w:rPr>
        <w:t xml:space="preserve">Sebum in Module 7 is bidirectional</w:t>
      </w:r>
      <w:r>
        <w:rPr>
          <w:rFonts w:eastAsia="georgia" w:cs="georgia" w:ascii="georgia" w:hAnsi="georgia"/>
          <w:color w:val="000000"/>
          <w:sz w:val="21"/>
        </w:rPr>
        <w:t xml:space="preserve">: the alert logic must handle both very low (≤3, dry barrier risk) and very high (≥8, excess oil pattern) as distinct alert types. Most other parameters are unidirectional.</w:t>
      </w:r>
    </w:p>
    <w:p>
      <w:pPr>
        <w:numPr>
          <w:ilvl w:val="0"/>
          <w:numId w:val="2"/>
        </w:numPr>
        <w:spacing w:line="360" w:before="105" w:after="105" w:lineRule="auto"/>
      </w:pPr>
      <w:r>
        <w:rPr>
          <w:rFonts w:eastAsia="georgia" w:cs="georgia" w:ascii="georgia" w:hAnsi="georgia"/>
          <w:b/>
          <w:color w:val="000000"/>
          <w:sz w:val="21"/>
        </w:rPr>
        <w:t xml:space="preserve">Silicon (Module 6.5)</w:t>
      </w:r>
      <w:r>
        <w:rPr>
          <w:rFonts w:eastAsia="georgia" w:cs="georgia" w:ascii="georgia" w:hAnsi="georgia"/>
          <w:color w:val="000000"/>
          <w:sz w:val="21"/>
        </w:rPr>
        <w:t xml:space="preserve"> has the weakest scientific evidence of any parameter in the dashboard. It should carry a UI tooltip stating: "Evidence for silicon as a clinical biomarker is very limited. This score should not be used for clinical decision-making."</w:t>
      </w:r>
    </w:p>
    <w:p>
      <w:pPr>
        <w:numPr>
          <w:ilvl w:val="0"/>
          <w:numId w:val="2"/>
        </w:numPr>
        <w:spacing w:line="360" w:before="105" w:after="105" w:lineRule="auto"/>
      </w:pPr>
      <w:r>
        <w:rPr>
          <w:rFonts w:eastAsia="georgia" w:cs="georgia" w:ascii="georgia" w:hAnsi="georgia"/>
          <w:b/>
          <w:color w:val="000000"/>
          <w:sz w:val="21"/>
        </w:rPr>
        <w:t xml:space="preserve">Asian-specific waist circumference thresholds</w:t>
      </w:r>
      <w:r>
        <w:rPr>
          <w:rFonts w:eastAsia="georgia" w:cs="georgia" w:ascii="georgia" w:hAnsi="georgia"/>
          <w:color w:val="000000"/>
          <w:sz w:val="21"/>
        </w:rPr>
        <w:t xml:space="preserve"> (IDF 2006: men ≥90 cm, women ≥80 cm) apply to Indonesian users. Do not use the European IDF defaults (men ≥94 cm, women ≥80 cm for women, ≥102 for men).</w:t>
      </w:r>
    </w:p>
    <w:p>
      <w:pPr>
        <w:numPr>
          <w:ilvl w:val="0"/>
          <w:numId w:val="2"/>
        </w:numPr>
        <w:spacing w:line="360" w:before="105" w:after="105" w:lineRule="auto"/>
      </w:pPr>
      <w:r>
        <w:rPr>
          <w:rFonts w:eastAsia="georgia" w:cs="georgia" w:ascii="georgia" w:hAnsi="georgia"/>
          <w:b/>
          <w:color w:val="000000"/>
          <w:sz w:val="21"/>
        </w:rPr>
        <w:t xml:space="preserve">Bio Age Gap formula</w:t>
      </w:r>
      <w:r>
        <w:rPr>
          <w:rFonts w:eastAsia="georgia" w:cs="georgia" w:ascii="georgia" w:hAnsi="georgia"/>
          <w:color w:val="000000"/>
          <w:sz w:val="21"/>
        </w:rPr>
        <w:t xml:space="preserve"> in Module 1 is a QRMA-app convention, not a peer-reviewed formula. Label it as an "illustrative estimate."</w:t>
      </w:r>
    </w:p>
    <w:p>
      <w:pPr>
        <w:numPr>
          <w:ilvl w:val="0"/>
          <w:numId w:val="2"/>
        </w:numPr>
        <w:spacing w:line="360" w:before="105" w:after="105" w:lineRule="auto"/>
      </w:pPr>
      <w:r>
        <w:rPr>
          <w:rFonts w:eastAsia="georgia" w:cs="georgia" w:ascii="georgia" w:hAnsi="georgia"/>
          <w:b/>
          <w:color w:val="000000"/>
          <w:sz w:val="21"/>
        </w:rPr>
        <w:t xml:space="preserve">Module 8 disclaimer cannot be hidden.</w:t>
      </w:r>
      <w:r>
        <w:rPr>
          <w:rFonts w:eastAsia="georgia" w:cs="georgia" w:ascii="georgia" w:hAnsi="georgia"/>
          <w:color w:val="000000"/>
          <w:sz w:val="21"/>
        </w:rPr>
        <w:t xml:space="preserve"> This is a product safety requirement, not a UX preference.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2026-05-20T01:14:32.219Z</dcterms:created>
  <dcterms:modified xsi:type="dcterms:W3CDTF">2026-05-20T01:14:32.219Z</dcterms:modified>
</cp:coreProperties>
</file>