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uture_ideas_development"/>
      <w:r>
        <w:rPr>
          <w:rFonts w:eastAsia="source serif 4" w:cs="source serif 4" w:ascii="source serif 4" w:hAnsi="source serif 4"/>
          <w:b/>
          <w:color w:val="000000"/>
          <w:sz w:val="39"/>
        </w:rPr>
        <w:t xml:space="preserve">Future Ideas &amp; Development</w:t>
      </w:r>
      <w:bookmarkEnd w:id="0"/>
    </w:p>
    <w:p>
      <w:pPr>
        <w:spacing w:line="360" w:before="315" w:after="105" w:lineRule="auto"/>
        <w:ind w:left="-30"/>
        <w:jc w:val="left"/>
      </w:pPr>
      <w:bookmarkStart w:id="1" w:name="comprehensive_scientific_clinical_643d56"/>
      <w:r>
        <w:rPr>
          <w:rFonts w:eastAsia="source serif 4" w:cs="source serif 4" w:ascii="source serif 4" w:hAnsi="source serif 4"/>
          <w:b/>
          <w:color w:val="000000"/>
          <w:sz w:val="24"/>
        </w:rPr>
        <w:t xml:space="preserve">Comprehensive Scientific &amp; Clinical Rationale Handover for the Next AI System</w:t>
      </w:r>
      <w:bookmarkEnd w:id="1"/>
    </w:p>
    <w:p>
      <w:pPr>
        <w:spacing w:line="360" w:after="210" w:lineRule="auto"/>
      </w:pPr>
      <w:r>
        <w:rPr>
          <w:rFonts w:eastAsia="source serif 4" w:cs="source serif 4" w:ascii="source serif 4" w:hAnsi="source serif 4"/>
          <w:b/>
          <w:color w:val="000000"/>
        </w:rPr>
        <w:t xml:space="preserve">Document Type:</w:t>
      </w:r>
      <w:r>
        <w:rPr>
          <w:rFonts w:eastAsia="source serif 4" w:cs="source serif 4" w:ascii="source serif 4" w:hAnsi="source serif 4"/>
          <w:color w:val="000000"/>
        </w:rPr>
        <w:t xml:space="preserve"> AI-to-AI Development Handover</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2.0 — Evidence-Based Clinical Rationale Edition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For:</w:t>
      </w:r>
      <w:r>
        <w:rPr>
          <w:rFonts w:eastAsia="source serif 4" w:cs="source serif 4" w:ascii="source serif 4" w:hAnsi="source serif 4"/>
          <w:color w:val="000000"/>
        </w:rPr>
        <w:t xml:space="preserve"> Next AI System in the QRMA-GDV Health Intelligence Engine Pipeline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Domain:</w:t>
      </w:r>
      <w:r>
        <w:rPr>
          <w:rFonts w:eastAsia="source serif 4" w:cs="source serif 4" w:ascii="source serif 4" w:hAnsi="source serif 4"/>
          <w:color w:val="000000"/>
        </w:rPr>
        <w:t xml:space="preserve"> TCM-Integrative Health Intelligence, Neuroscience, Wearable Biometrics, Anthropometrics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Safety Framing:</w:t>
      </w:r>
      <w:r>
        <w:rPr>
          <w:rFonts w:eastAsia="source serif 4" w:cs="source serif 4" w:ascii="source serif 4" w:hAnsi="source serif 4"/>
          <w:color w:val="000000"/>
        </w:rPr>
        <w:t xml:space="preserve"> All outputs are wellness education and functional pattern observation, not medical diagnosis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June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art_i_purpose_and_context"/>
      <w:r>
        <w:rPr>
          <w:rFonts w:eastAsia="source serif 4" w:cs="source serif 4" w:ascii="source serif 4" w:hAnsi="source serif 4"/>
          <w:b/>
          <w:color w:val="000000"/>
          <w:sz w:val="24"/>
        </w:rPr>
        <w:t xml:space="preserve">Part I — Purpose and Context</w:t>
      </w:r>
      <w:bookmarkEnd w:id="2"/>
    </w:p>
    <w:p>
      <w:pPr>
        <w:spacing w:line="360" w:after="210" w:lineRule="auto"/>
      </w:pPr>
      <w:r>
        <w:rPr>
          <w:rFonts w:eastAsia="source serif 4" w:cs="source serif 4" w:ascii="source serif 4" w:hAnsi="source serif 4"/>
          <w:color w:val="000000"/>
        </w:rPr>
        <w:t xml:space="preserve">This document is the authoritative handover for the next AI system continuing development of the QRMA-GDV Health Intelligence Engine. It goes beyond architectural recommendations to provide the </w:t>
      </w:r>
      <w:r>
        <w:rPr>
          <w:rFonts w:eastAsia="source serif 4" w:cs="source serif 4" w:ascii="source serif 4" w:hAnsi="source serif 4"/>
          <w:b/>
          <w:color w:val="000000"/>
        </w:rPr>
        <w:t xml:space="preserve">scientific and clinical rationale</w:t>
      </w:r>
      <w:r>
        <w:rPr>
          <w:rFonts w:eastAsia="source serif 4" w:cs="source serif 4" w:ascii="source serif 4" w:hAnsi="source serif 4"/>
          <w:color w:val="000000"/>
        </w:rPr>
        <w:t xml:space="preserve"> that makes each proposed data parameter, integration, and scoring logic defensible, credible, and acceptable to the medical and scientific community.</w:t>
      </w:r>
    </w:p>
    <w:p>
      <w:pPr>
        <w:spacing w:line="360" w:after="210" w:lineRule="auto"/>
      </w:pPr>
      <w:r>
        <w:rPr>
          <w:rFonts w:eastAsia="source serif 4" w:cs="source serif 4" w:ascii="source serif 4" w:hAnsi="source serif 4"/>
          <w:color w:val="000000"/>
        </w:rPr>
        <w:t xml:space="preserve">The previous handover (v1.0) established the structural architecture. This document answers </w:t>
      </w:r>
      <w:r>
        <w:rPr>
          <w:rFonts w:eastAsia="source serif 4" w:cs="source serif 4" w:ascii="source serif 4" w:hAnsi="source serif 4"/>
          <w:i/>
          <w:color w:val="000000"/>
        </w:rPr>
        <w:t xml:space="preserve">why</w:t>
      </w:r>
      <w:r>
        <w:rPr>
          <w:rFonts w:eastAsia="source serif 4" w:cs="source serif 4" w:ascii="source serif 4" w:hAnsi="source serif 4"/>
          <w:color w:val="000000"/>
        </w:rPr>
        <w:t xml:space="preserve"> every parameter was selected, </w:t>
      </w:r>
      <w:r>
        <w:rPr>
          <w:rFonts w:eastAsia="source serif 4" w:cs="source serif 4" w:ascii="source serif 4" w:hAnsi="source serif 4"/>
          <w:i/>
          <w:color w:val="000000"/>
        </w:rPr>
        <w:t xml:space="preserve">what peer-reviewed evidence supports it</w:t>
      </w:r>
      <w:r>
        <w:rPr>
          <w:rFonts w:eastAsia="source serif 4" w:cs="source serif 4" w:ascii="source serif 4" w:hAnsi="source serif 4"/>
          <w:color w:val="000000"/>
        </w:rPr>
        <w:t xml:space="preserve">, and </w:t>
      </w:r>
      <w:r>
        <w:rPr>
          <w:rFonts w:eastAsia="source serif 4" w:cs="source serif 4" w:ascii="source serif 4" w:hAnsi="source serif 4"/>
          <w:i/>
          <w:color w:val="000000"/>
        </w:rPr>
        <w:t xml:space="preserve">how to implement it technically</w:t>
      </w:r>
      <w:r>
        <w:rPr>
          <w:rFonts w:eastAsia="source serif 4" w:cs="source serif 4" w:ascii="source serif 4" w:hAnsi="source serif 4"/>
          <w:color w:val="000000"/>
        </w:rPr>
        <w:t xml:space="preserve"> in a way that will withstand clinical scrutiny.</w:t>
      </w:r>
    </w:p>
    <w:p>
      <w:pPr>
        <w:spacing w:line="360" w:after="210" w:lineRule="auto"/>
      </w:pPr>
      <w:r>
        <w:rPr>
          <w:rFonts w:eastAsia="source serif 4" w:cs="source serif 4" w:ascii="source serif 4" w:hAnsi="source serif 4"/>
          <w:color w:val="000000"/>
        </w:rPr>
        <w:t xml:space="preserve">The system must remain:</w:t>
      </w:r>
    </w:p>
    <w:p>
      <w:pPr>
        <w:numPr>
          <w:ilvl w:val="0"/>
          <w:numId w:val="1"/>
        </w:numPr>
        <w:spacing w:line="360" w:before="105" w:after="105" w:lineRule="auto"/>
      </w:pPr>
      <w:r>
        <w:rPr>
          <w:rFonts w:eastAsia="source serif 4" w:cs="source serif 4" w:ascii="source serif 4" w:hAnsi="source serif 4"/>
          <w:color w:val="000000"/>
          <w:sz w:val="21"/>
        </w:rPr>
        <w:t xml:space="preserve">Grounded in validated scientific evidence</w:t>
      </w:r>
    </w:p>
    <w:p>
      <w:pPr>
        <w:numPr>
          <w:ilvl w:val="0"/>
          <w:numId w:val="1"/>
        </w:numPr>
        <w:spacing w:line="360" w:before="105" w:after="105" w:lineRule="auto"/>
      </w:pPr>
      <w:r>
        <w:rPr>
          <w:rFonts w:eastAsia="source serif 4" w:cs="source serif 4" w:ascii="source serif 4" w:hAnsi="source serif 4"/>
          <w:color w:val="000000"/>
          <w:sz w:val="21"/>
        </w:rPr>
        <w:t xml:space="preserve">Multi-dimensional and non-reductionist</w:t>
      </w:r>
    </w:p>
    <w:p>
      <w:pPr>
        <w:numPr>
          <w:ilvl w:val="0"/>
          <w:numId w:val="1"/>
        </w:numPr>
        <w:spacing w:line="360" w:before="105" w:after="105" w:lineRule="auto"/>
      </w:pPr>
      <w:r>
        <w:rPr>
          <w:rFonts w:eastAsia="source serif 4" w:cs="source serif 4" w:ascii="source serif 4" w:hAnsi="source serif 4"/>
          <w:color w:val="000000"/>
          <w:sz w:val="21"/>
        </w:rPr>
        <w:t xml:space="preserve">Wellness-educational in framing, not diagnostic</w:t>
      </w:r>
    </w:p>
    <w:p>
      <w:pPr>
        <w:numPr>
          <w:ilvl w:val="0"/>
          <w:numId w:val="1"/>
        </w:numPr>
        <w:spacing w:line="360" w:before="105" w:after="105" w:lineRule="auto"/>
      </w:pPr>
      <w:r>
        <w:rPr>
          <w:rFonts w:eastAsia="source serif 4" w:cs="source serif 4" w:ascii="source serif 4" w:hAnsi="source serif 4"/>
          <w:color w:val="000000"/>
          <w:sz w:val="21"/>
        </w:rPr>
        <w:t xml:space="preserve">Transparent, explainable, and versioned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ii_scientific_foundation_the_e3409b"/>
      <w:r>
        <w:rPr>
          <w:rFonts w:eastAsia="source serif 4" w:cs="source serif 4" w:ascii="source serif 4" w:hAnsi="source serif 4"/>
          <w:b/>
          <w:color w:val="000000"/>
          <w:sz w:val="24"/>
        </w:rPr>
        <w:t xml:space="preserve">Part II — Scientific Foundation: The Nine Body Constitutions (9种体质 / Jiǔ Zhǒng Tǐzhì)</w:t>
      </w:r>
      <w:bookmarkEnd w:id="3"/>
    </w:p>
    <w:p>
      <w:pPr>
        <w:spacing w:line="360" w:before="315" w:after="105" w:lineRule="auto"/>
        <w:ind w:left="-30"/>
        <w:jc w:val="left"/>
      </w:pPr>
      <w:bookmarkStart w:id="4" w:name="bm_2_1_clinical_validation_of_the_ccmq"/>
      <w:r>
        <w:rPr>
          <w:rFonts w:eastAsia="source serif 4" w:cs="source serif 4" w:ascii="source serif 4" w:hAnsi="source serif 4"/>
          <w:b/>
          <w:color w:val="000000"/>
          <w:sz w:val="24"/>
        </w:rPr>
        <w:t xml:space="preserve">2.1 Clinical Validation of the CCMQ</w:t>
      </w:r>
      <w:bookmarkEnd w:id="4"/>
    </w:p>
    <w:p>
      <w:pPr>
        <w:spacing w:line="360" w:after="210" w:lineRule="auto"/>
      </w:pPr>
      <w:r>
        <w:rPr>
          <w:rFonts w:eastAsia="source serif 4" w:cs="source serif 4" w:ascii="source serif 4" w:hAnsi="source serif 4"/>
          <w:color w:val="000000"/>
        </w:rPr>
        <w:t xml:space="preserve">The nine-constitution model, codified by the China Association of Traditional Chinese Medicine (CACM), is operationalised through the </w:t>
      </w:r>
      <w:r>
        <w:rPr>
          <w:rFonts w:eastAsia="source serif 4" w:cs="source serif 4" w:ascii="source serif 4" w:hAnsi="source serif 4"/>
          <w:b/>
          <w:color w:val="000000"/>
        </w:rPr>
        <w:t xml:space="preserve">Constitution in Chinese Medicine Questionnaire (CCMQ)</w:t>
      </w:r>
      <w:r>
        <w:rPr>
          <w:rFonts w:eastAsia="source serif 4" w:cs="source serif 4" w:ascii="source serif 4" w:hAnsi="source serif 4"/>
          <w:color w:val="000000"/>
        </w:rPr>
        <w:t xml:space="preserve">. This is not merely a traditional classification framework — it is a validated psychometric instrument with substantial peer-reviewed support.</w:t>
      </w:r>
    </w:p>
    <w:p>
      <w:pPr>
        <w:spacing w:line="360" w:after="210" w:lineRule="auto"/>
      </w:pPr>
      <w:r>
        <w:rPr>
          <w:rFonts w:eastAsia="source serif 4" w:cs="source serif 4" w:ascii="source serif 4" w:hAnsi="source serif 4"/>
          <w:color w:val="000000"/>
        </w:rPr>
        <w:t xml:space="preserve">Key validation evidence:</w:t>
      </w:r>
    </w:p>
    <w:p>
      <w:pPr>
        <w:numPr>
          <w:ilvl w:val="0"/>
          <w:numId w:val="2"/>
        </w:numPr>
        <w:spacing w:line="360" w:before="105" w:after="105" w:lineRule="auto"/>
      </w:pPr>
      <w:r>
        <w:rPr>
          <w:rFonts w:eastAsia="source serif 4" w:cs="source serif 4" w:ascii="source serif 4" w:hAnsi="source serif 4"/>
          <w:color w:val="000000"/>
          <w:sz w:val="21"/>
        </w:rPr>
        <w:t xml:space="preserve">A Hong Kong cross-sectional study with 1,084 subjects confirmed the CCMQ is </w:t>
      </w:r>
      <w:r>
        <w:rPr>
          <w:rFonts w:eastAsia="source serif 4" w:cs="source serif 4" w:ascii="source serif 4" w:hAnsi="source serif 4"/>
          <w:b/>
          <w:color w:val="000000"/>
          <w:sz w:val="21"/>
        </w:rPr>
        <w:t xml:space="preserve">valid, reliable, and responsive</w:t>
      </w:r>
      <w:r>
        <w:rPr>
          <w:rFonts w:eastAsia="source serif 4" w:cs="source serif 4" w:ascii="source serif 4" w:hAnsi="source serif 4"/>
          <w:color w:val="000000"/>
          <w:sz w:val="21"/>
        </w:rPr>
        <w:t xml:space="preserve"> to change, with Content Validity Index (CVI) confirmed at 50–100% across items by both patients and TCM practitioners.</w:t>
      </w:r>
    </w:p>
    <w:p>
      <w:pPr>
        <w:numPr>
          <w:ilvl w:val="0"/>
          <w:numId w:val="2"/>
        </w:numPr>
        <w:spacing w:line="360" w:before="105" w:after="105" w:lineRule="auto"/>
      </w:pPr>
      <w:r>
        <w:rPr>
          <w:rFonts w:eastAsia="source serif 4" w:cs="source serif 4" w:ascii="source serif 4" w:hAnsi="source serif 4"/>
          <w:color w:val="000000"/>
          <w:sz w:val="21"/>
        </w:rPr>
        <w:t xml:space="preserve">An English-language validation in Malaysia (2023) confirmed it as the </w:t>
      </w:r>
      <w:r>
        <w:rPr>
          <w:rFonts w:eastAsia="source serif 4" w:cs="source serif 4" w:ascii="source serif 4" w:hAnsi="source serif 4"/>
          <w:b/>
          <w:color w:val="000000"/>
          <w:sz w:val="21"/>
        </w:rPr>
        <w:t xml:space="preserve">first statistically validated instrument</w:t>
      </w:r>
      <w:r>
        <w:rPr>
          <w:rFonts w:eastAsia="source serif 4" w:cs="source serif 4" w:ascii="source serif 4" w:hAnsi="source serif 4"/>
          <w:color w:val="000000"/>
          <w:sz w:val="21"/>
        </w:rPr>
        <w:t xml:space="preserve"> of its type in that population, extending generalisability beyond Chinese-origin populations.</w:t>
      </w:r>
    </w:p>
    <w:p>
      <w:pPr>
        <w:numPr>
          <w:ilvl w:val="0"/>
          <w:numId w:val="2"/>
        </w:numPr>
        <w:spacing w:line="360" w:before="105" w:after="105" w:lineRule="auto"/>
      </w:pPr>
      <w:r>
        <w:rPr>
          <w:rFonts w:eastAsia="source serif 4" w:cs="source serif 4" w:ascii="source serif 4" w:hAnsi="source serif 4"/>
          <w:color w:val="000000"/>
          <w:sz w:val="21"/>
        </w:rPr>
        <w:t xml:space="preserve">A Vietnamese adaptation confirmed cross-cultural validity, with a threshold converted score of </w:t>
      </w:r>
      <w:r>
        <w:rPr>
          <w:rFonts w:eastAsia="source serif 4" w:cs="source serif 4" w:ascii="source serif 4" w:hAnsi="source serif 4"/>
          <w:b/>
          <w:color w:val="000000"/>
          <w:sz w:val="21"/>
        </w:rPr>
        <w:t xml:space="preserve">≥30</w:t>
      </w:r>
      <w:r>
        <w:rPr>
          <w:rFonts w:eastAsia="source serif 4" w:cs="source serif 4" w:ascii="source serif 4" w:hAnsi="source serif 4"/>
          <w:color w:val="000000"/>
          <w:sz w:val="21"/>
        </w:rPr>
        <w:t xml:space="preserve"> used for non-Balanced constitution classification.</w:t>
      </w:r>
    </w:p>
    <w:p>
      <w:pPr>
        <w:numPr>
          <w:ilvl w:val="0"/>
          <w:numId w:val="2"/>
        </w:numPr>
        <w:spacing w:line="360" w:before="105" w:after="105" w:lineRule="auto"/>
      </w:pPr>
      <w:r>
        <w:rPr>
          <w:rFonts w:eastAsia="source serif 4" w:cs="source serif 4" w:ascii="source serif 4" w:hAnsi="source serif 4"/>
          <w:color w:val="000000"/>
          <w:sz w:val="21"/>
        </w:rPr>
        <w:t xml:space="preserve">A 2025 epidemiological study of </w:t>
      </w:r>
      <w:r>
        <w:rPr>
          <w:rFonts w:eastAsia="source serif 4" w:cs="source serif 4" w:ascii="source serif 4" w:hAnsi="source serif 4"/>
          <w:b/>
          <w:color w:val="000000"/>
          <w:sz w:val="21"/>
        </w:rPr>
        <w:t xml:space="preserve">8,665 participants</w:t>
      </w:r>
      <w:r>
        <w:rPr>
          <w:rFonts w:eastAsia="source serif 4" w:cs="source serif 4" w:ascii="source serif 4" w:hAnsi="source serif 4"/>
          <w:color w:val="000000"/>
          <w:sz w:val="21"/>
        </w:rPr>
        <w:t xml:space="preserve"> aged 18–80 years found 74.2% had one or more unbalanced body constitutions, with distribution varying significantly by demographics and lifestyle factors.</w:t>
      </w:r>
    </w:p>
    <w:p>
      <w:pPr>
        <w:numPr>
          <w:ilvl w:val="0"/>
          <w:numId w:val="2"/>
        </w:numPr>
        <w:spacing w:line="360" w:before="105" w:after="105" w:lineRule="auto"/>
      </w:pPr>
      <w:r>
        <w:rPr>
          <w:rFonts w:eastAsia="source serif 4" w:cs="source serif 4" w:ascii="source serif 4" w:hAnsi="source serif 4"/>
          <w:color w:val="000000"/>
          <w:sz w:val="21"/>
        </w:rPr>
        <w:t xml:space="preserve">A 2026 Frontiers in Medicine study applied five machine learning models to CCMQ data from 25,586 participants. SVM achieved </w:t>
      </w:r>
      <w:r>
        <w:rPr>
          <w:rFonts w:eastAsia="source serif 4" w:cs="source serif 4" w:ascii="source serif 4" w:hAnsi="source serif 4"/>
          <w:b/>
          <w:color w:val="000000"/>
          <w:sz w:val="21"/>
        </w:rPr>
        <w:t xml:space="preserve">99.47% accuracy</w:t>
      </w:r>
      <w:r>
        <w:rPr>
          <w:rFonts w:eastAsia="source serif 4" w:cs="source serif 4" w:ascii="source serif 4" w:hAnsi="source serif 4"/>
          <w:color w:val="000000"/>
          <w:sz w:val="21"/>
        </w:rPr>
        <w:t xml:space="preserve"> (Kappa 0.991) and RFC achieved </w:t>
      </w:r>
      <w:r>
        <w:rPr>
          <w:rFonts w:eastAsia="source serif 4" w:cs="source serif 4" w:ascii="source serif 4" w:hAnsi="source serif 4"/>
          <w:b/>
          <w:color w:val="000000"/>
          <w:sz w:val="21"/>
        </w:rPr>
        <w:t xml:space="preserve">96.92% accuracy</w:t>
      </w:r>
      <w:r>
        <w:rPr>
          <w:rFonts w:eastAsia="source serif 4" w:cs="source serif 4" w:ascii="source serif 4" w:hAnsi="source serif 4"/>
          <w:color w:val="000000"/>
          <w:sz w:val="21"/>
        </w:rPr>
        <w:t xml:space="preserve"> (Kappa 0.9505) in constitution prediction.</w:t>
      </w:r>
    </w:p>
    <w:p>
      <w:pPr>
        <w:spacing w:line="360" w:before="315" w:after="105" w:lineRule="auto"/>
        <w:ind w:left="-30"/>
        <w:jc w:val="left"/>
      </w:pPr>
      <w:bookmarkStart w:id="5" w:name="bm_2_2_constitution_disease_epidemiology"/>
      <w:r>
        <w:rPr>
          <w:rFonts w:eastAsia="source serif 4" w:cs="source serif 4" w:ascii="source serif 4" w:hAnsi="source serif 4"/>
          <w:b/>
          <w:color w:val="000000"/>
          <w:sz w:val="24"/>
        </w:rPr>
        <w:t xml:space="preserve">2.2 Constitution–Disease Epidemiology</w:t>
      </w:r>
      <w:bookmarkEnd w:id="5"/>
    </w:p>
    <w:p>
      <w:pPr>
        <w:spacing w:line="360" w:after="210" w:lineRule="auto"/>
      </w:pPr>
      <w:r>
        <w:rPr>
          <w:rFonts w:eastAsia="source serif 4" w:cs="source serif 4" w:ascii="source serif 4" w:hAnsi="source serif 4"/>
          <w:color w:val="000000"/>
        </w:rPr>
        <w:t xml:space="preserve">The nine constitutions have documented associations with disease risk confirmed across large epidemiological studies:</w:t>
      </w:r>
    </w:p>
    <w:p>
      <w:pPr>
        <w:numPr>
          <w:ilvl w:val="0"/>
          <w:numId w:val="3"/>
        </w:numPr>
        <w:spacing w:line="360" w:before="105" w:after="105" w:lineRule="auto"/>
      </w:pPr>
      <w:r>
        <w:rPr>
          <w:rFonts w:eastAsia="source serif 4" w:cs="source serif 4" w:ascii="source serif 4" w:hAnsi="source serif 4"/>
          <w:b/>
          <w:color w:val="000000"/>
          <w:sz w:val="21"/>
        </w:rPr>
        <w:t xml:space="preserve">Phlegm-Dampness / 痰湿质 (Tán Shī Zhì)</w:t>
      </w:r>
      <w:r>
        <w:rPr>
          <w:rFonts w:eastAsia="source serif 4" w:cs="source serif 4" w:ascii="source serif 4" w:hAnsi="source serif 4"/>
          <w:color w:val="000000"/>
          <w:sz w:val="21"/>
        </w:rPr>
        <w:t xml:space="preserve"> shows the strongest association with obesity, metabolic syndrome, hypertension, and diabetes. A 2017 study confirmed positive correlations with overweight and obesity.</w:t>
      </w:r>
    </w:p>
    <w:p>
      <w:pPr>
        <w:numPr>
          <w:ilvl w:val="0"/>
          <w:numId w:val="3"/>
        </w:numPr>
        <w:spacing w:line="360" w:before="105" w:after="105" w:lineRule="auto"/>
      </w:pPr>
      <w:r>
        <w:rPr>
          <w:rFonts w:eastAsia="source serif 4" w:cs="source serif 4" w:ascii="source serif 4" w:hAnsi="source serif 4"/>
          <w:b/>
          <w:color w:val="000000"/>
          <w:sz w:val="21"/>
        </w:rPr>
        <w:t xml:space="preserve">Blood-stasis and yang-deficiency</w:t>
      </w:r>
      <w:r>
        <w:rPr>
          <w:rFonts w:eastAsia="source serif 4" w:cs="source serif 4" w:ascii="source serif 4" w:hAnsi="source serif 4"/>
          <w:color w:val="000000"/>
          <w:sz w:val="21"/>
        </w:rPr>
        <w:t xml:space="preserve"> constitutions are associated with susceptibility to diabetes. </w:t>
      </w:r>
      <w:r>
        <w:rPr>
          <w:rFonts w:eastAsia="source serif 4" w:cs="source serif 4" w:ascii="source serif 4" w:hAnsi="source serif 4"/>
          <w:b/>
          <w:color w:val="000000"/>
          <w:sz w:val="21"/>
        </w:rPr>
        <w:t xml:space="preserve">Yang-deficiency and qi-deficiency</w:t>
      </w:r>
      <w:r>
        <w:rPr>
          <w:rFonts w:eastAsia="source serif 4" w:cs="source serif 4" w:ascii="source serif 4" w:hAnsi="source serif 4"/>
          <w:color w:val="000000"/>
          <w:sz w:val="21"/>
        </w:rPr>
        <w:t xml:space="preserve"> are susceptible to hypertension.</w:t>
      </w:r>
    </w:p>
    <w:p>
      <w:pPr>
        <w:numPr>
          <w:ilvl w:val="0"/>
          <w:numId w:val="3"/>
        </w:numPr>
        <w:spacing w:line="360" w:before="105" w:after="105" w:lineRule="auto"/>
      </w:pPr>
      <w:r>
        <w:rPr>
          <w:rFonts w:eastAsia="source serif 4" w:cs="source serif 4" w:ascii="source serif 4" w:hAnsi="source serif 4"/>
          <w:color w:val="000000"/>
          <w:sz w:val="21"/>
        </w:rPr>
        <w:t xml:space="preserve">A 2021 SLE study demonstrated </w:t>
      </w:r>
      <w:r>
        <w:rPr>
          <w:rFonts w:eastAsia="source serif 4" w:cs="source serif 4" w:ascii="source serif 4" w:hAnsi="source serif 4"/>
          <w:b/>
          <w:color w:val="000000"/>
          <w:sz w:val="21"/>
        </w:rPr>
        <w:t xml:space="preserve">Yang-deficiency</w:t>
      </w:r>
      <w:r>
        <w:rPr>
          <w:rFonts w:eastAsia="source serif 4" w:cs="source serif 4" w:ascii="source serif 4" w:hAnsi="source serif 4"/>
          <w:color w:val="000000"/>
          <w:sz w:val="21"/>
        </w:rPr>
        <w:t xml:space="preserve"> and </w:t>
      </w:r>
      <w:r>
        <w:rPr>
          <w:rFonts w:eastAsia="source serif 4" w:cs="source serif 4" w:ascii="source serif 4" w:hAnsi="source serif 4"/>
          <w:b/>
          <w:color w:val="000000"/>
          <w:sz w:val="21"/>
        </w:rPr>
        <w:t xml:space="preserve">phlegm-wetness</w:t>
      </w:r>
      <w:r>
        <w:rPr>
          <w:rFonts w:eastAsia="source serif 4" w:cs="source serif 4" w:ascii="source serif 4" w:hAnsi="source serif 4"/>
          <w:color w:val="000000"/>
          <w:sz w:val="21"/>
        </w:rPr>
        <w:t xml:space="preserve"> were significantly associated with worse physical health quality of life.</w:t>
      </w:r>
    </w:p>
    <w:p>
      <w:pPr>
        <w:numPr>
          <w:ilvl w:val="0"/>
          <w:numId w:val="3"/>
        </w:numPr>
        <w:spacing w:line="360" w:before="105" w:after="105" w:lineRule="auto"/>
      </w:pPr>
      <w:r>
        <w:rPr>
          <w:rFonts w:eastAsia="source serif 4" w:cs="source serif 4" w:ascii="source serif 4" w:hAnsi="source serif 4"/>
          <w:color w:val="000000"/>
          <w:sz w:val="21"/>
        </w:rPr>
        <w:t xml:space="preserve">A 2024 cross-sectional study confirmed sarcopenia is significantly associated with elevated </w:t>
      </w:r>
      <w:r>
        <w:rPr>
          <w:rFonts w:eastAsia="source serif 4" w:cs="source serif 4" w:ascii="source serif 4" w:hAnsi="source serif 4"/>
          <w:b/>
          <w:color w:val="000000"/>
          <w:sz w:val="21"/>
        </w:rPr>
        <w:t xml:space="preserve">Qi-deficiency, Yang-deficiency, Yin-deficiency, Blood-stagnation, and Qi-stagnation</w:t>
      </w:r>
      <w:r>
        <w:rPr>
          <w:rFonts w:eastAsia="source serif 4" w:cs="source serif 4" w:ascii="source serif 4" w:hAnsi="source serif 4"/>
          <w:color w:val="000000"/>
          <w:sz w:val="21"/>
        </w:rPr>
        <w:t xml:space="preserve"> original scores.</w:t>
      </w:r>
    </w:p>
    <w:p>
      <w:pPr>
        <w:numPr>
          <w:ilvl w:val="0"/>
          <w:numId w:val="3"/>
        </w:numPr>
        <w:spacing w:line="360" w:before="105" w:after="105" w:lineRule="auto"/>
      </w:pPr>
      <w:r>
        <w:rPr>
          <w:rFonts w:eastAsia="source serif 4" w:cs="source serif 4" w:ascii="source serif 4" w:hAnsi="source serif 4"/>
          <w:color w:val="000000"/>
          <w:sz w:val="21"/>
        </w:rPr>
        <w:t xml:space="preserve">TCM constitution research has been synthesised across </w:t>
      </w:r>
      <w:r>
        <w:rPr>
          <w:rFonts w:eastAsia="source serif 4" w:cs="source serif 4" w:ascii="source serif 4" w:hAnsi="source serif 4"/>
          <w:b/>
          <w:color w:val="000000"/>
          <w:sz w:val="21"/>
        </w:rPr>
        <w:t xml:space="preserve">1,639 observational studies</w:t>
      </w:r>
      <w:r>
        <w:rPr>
          <w:rFonts w:eastAsia="source serif 4" w:cs="source serif 4" w:ascii="source serif 4" w:hAnsi="source serif 4"/>
          <w:color w:val="000000"/>
          <w:sz w:val="21"/>
        </w:rPr>
        <w:t xml:space="preserve"> covering multiple disease categories.</w:t>
      </w:r>
    </w:p>
    <w:p>
      <w:pPr>
        <w:spacing w:line="360" w:before="315" w:after="105" w:lineRule="auto"/>
        <w:ind w:left="-30"/>
        <w:jc w:val="left"/>
      </w:pPr>
      <w:bookmarkStart w:id="6" w:name="bm_2_3_ccmq_scoring_formula_manda_c8b189"/>
      <w:r>
        <w:rPr>
          <w:rFonts w:eastAsia="source serif 4" w:cs="source serif 4" w:ascii="source serif 4" w:hAnsi="source serif 4"/>
          <w:b/>
          <w:color w:val="000000"/>
          <w:sz w:val="24"/>
        </w:rPr>
        <w:t xml:space="preserve">2.3 CCMQ Scoring Formula (Mandatory Implementation)</w:t>
      </w:r>
      <w:bookmarkEnd w:id="6"/>
    </w:p>
    <w:p>
      <w:pPr>
        <w:spacing w:line="360" w:after="210" w:lineRule="auto"/>
      </w:pPr>
      <w:r>
        <w:rPr>
          <w:rFonts w:eastAsia="source serif 4" w:cs="source serif 4" w:ascii="source serif 4" w:hAnsi="source serif 4"/>
          <w:color w:val="000000"/>
        </w:rPr>
        <w:t xml:space="preserve">The CCMQ uses a standardised normalisation formula:</w:t>
      </w:r>
    </w:p>
    <w:p>
      <w:pPr>
        <w:pStyle w:val="SourceCode"/>
        <w:shd w:val="clear" w:fill="F8F8FA"/>
        <w:spacing w:line="336" w:lineRule="auto"/>
      </w:pPr>
      <w:r>
        <w:rPr>
          <w:rStyle w:val="VerbatimChar"/>
          <w:rFonts w:eastAsia="menlo" w:cs="menlo" w:ascii="menlo" w:hAnsi="menlo"/>
          <w:color w:val="000000"/>
          <w:sz w:val="18"/>
        </w:rPr>
        <w:t xml:space="preserve">Converted Score = [(Original Score − N_items) / (N_items × 4)] × 100</w:t>
        <w:br/>
        <w:t xml:space="preserve"/>
      </w:r>
    </w:p>
    <w:p>
      <w:pPr>
        <w:spacing w:line="360" w:after="210" w:lineRule="auto"/>
      </w:pPr>
      <w:r>
        <w:rPr>
          <w:rFonts w:eastAsia="source serif 4" w:cs="source serif 4" w:ascii="source serif 4" w:hAnsi="source serif 4"/>
          <w:color w:val="000000"/>
        </w:rPr>
        <w:t xml:space="preserve">Where N_items is the number of items in each subscale.</w:t>
      </w:r>
    </w:p>
    <w:p>
      <w:pPr>
        <w:spacing w:line="360" w:after="210" w:lineRule="auto"/>
      </w:pPr>
      <w:r>
        <w:rPr>
          <w:rFonts w:eastAsia="source serif 4" w:cs="source serif 4" w:ascii="source serif 4" w:hAnsi="source serif 4"/>
          <w:b/>
          <w:color w:val="000000"/>
        </w:rPr>
        <w:t xml:space="preserve">Classification thresholds: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Constitution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Classification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Balanced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Converted score ≥ 60 AND all others &lt; 30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Balanced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Converted score ≥ 60 AND all others &lt; 40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Basically 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Unbalanced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 converted score ≥ 40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(that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Unbalanced tendency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 converted score 30–39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Tendency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constitution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Score &lt; 30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w:t>
            </w:r>
          </w:p>
        </w:tc>
      </w:tr>
    </w:tbl>
    <w:p>
      <w:pPr>
        <w:spacing w:lineRule="auto"/>
      </w:pPr>
    </w:p>
    <w:p>
      <w:pPr>
        <w:spacing w:line="360" w:after="210" w:lineRule="auto"/>
      </w:pPr>
      <w:r>
        <w:rPr>
          <w:rFonts w:eastAsia="source serif 4" w:cs="source serif 4" w:ascii="source serif 4" w:hAnsi="source serif 4"/>
          <w:b/>
          <w:color w:val="000000"/>
        </w:rPr>
        <w:t xml:space="preserve">Technical note:</w:t>
      </w:r>
      <w:r>
        <w:rPr>
          <w:rFonts w:eastAsia="source serif 4" w:cs="source serif 4" w:ascii="source serif 4" w:hAnsi="source serif 4"/>
          <w:color w:val="000000"/>
        </w:rPr>
        <w:t xml:space="preserve"> Store all nine converted scores. Flag all constitutions meeting thresholds. Designate primary (highest score ≥ 40) and secondary (second-highest ≥ 40 or ≥ 30). Mixed constitutions are common and clinically meaningful — forcing a single label introduces classification error.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part_iii_scientific_foundation_an_a8b4b3"/>
      <w:r>
        <w:rPr>
          <w:rFonts w:eastAsia="source serif 4" w:cs="source serif 4" w:ascii="source serif 4" w:hAnsi="source serif 4"/>
          <w:b/>
          <w:color w:val="000000"/>
          <w:sz w:val="24"/>
        </w:rPr>
        <w:t xml:space="preserve">Part III — Scientific Foundation: Anthropometric Parameters</w:t>
      </w:r>
      <w:bookmarkEnd w:id="7"/>
    </w:p>
    <w:p>
      <w:pPr>
        <w:spacing w:line="360" w:before="315" w:after="105" w:lineRule="auto"/>
        <w:ind w:left="-30"/>
        <w:jc w:val="left"/>
      </w:pPr>
      <w:bookmarkStart w:id="8" w:name="bm_3_1_clinical_rationale_for_inclusion"/>
      <w:r>
        <w:rPr>
          <w:rFonts w:eastAsia="source serif 4" w:cs="source serif 4" w:ascii="source serif 4" w:hAnsi="source serif 4"/>
          <w:b/>
          <w:color w:val="000000"/>
          <w:sz w:val="24"/>
        </w:rPr>
        <w:t xml:space="preserve">3.1 Clinical Rationale for Inclusion</w:t>
      </w:r>
      <w:bookmarkEnd w:id="8"/>
    </w:p>
    <w:p>
      <w:pPr>
        <w:spacing w:line="360" w:after="210" w:lineRule="auto"/>
      </w:pPr>
      <w:r>
        <w:rPr>
          <w:rFonts w:eastAsia="source serif 4" w:cs="source serif 4" w:ascii="source serif 4" w:hAnsi="source serif 4"/>
          <w:color w:val="000000"/>
        </w:rPr>
        <w:t xml:space="preserve">Anthropometric measures are among the most extensively validated biomarkers in clinical medicine. Their inclusion provides structural metabolic evidence that contextualises both CCMQ scores and wearable data, enabling the system to detect convergence (high confidence) and divergence (mixed/evolving presentation) across data sources.</w:t>
      </w:r>
    </w:p>
    <w:p>
      <w:pPr>
        <w:spacing w:line="360" w:before="315" w:after="105" w:lineRule="auto"/>
        <w:ind w:left="-30"/>
        <w:jc w:val="left"/>
      </w:pPr>
      <w:bookmarkStart w:id="9" w:name="bm_3_2_validated_indices_and_evidence"/>
      <w:r>
        <w:rPr>
          <w:rFonts w:eastAsia="source serif 4" w:cs="source serif 4" w:ascii="source serif 4" w:hAnsi="source serif 4"/>
          <w:b/>
          <w:color w:val="000000"/>
          <w:sz w:val="24"/>
        </w:rPr>
        <w:t xml:space="preserve">3.2 Validated Indices and Evidence</w:t>
      </w:r>
      <w:bookmarkEnd w:id="9"/>
    </w:p>
    <w:p>
      <w:pPr>
        <w:spacing w:line="360" w:after="210" w:lineRule="auto"/>
      </w:pPr>
      <w:r>
        <w:rPr>
          <w:rFonts w:eastAsia="source serif 4" w:cs="source serif 4" w:ascii="source serif 4" w:hAnsi="source serif 4"/>
          <w:b/>
          <w:color w:val="000000"/>
        </w:rPr>
        <w:t xml:space="preserve">BMI (Body Mass Index)</w:t>
      </w:r>
    </w:p>
    <w:p>
      <w:pPr>
        <w:spacing w:line="360" w:after="210" w:lineRule="auto"/>
      </w:pPr>
      <w:r>
        <w:rPr>
          <w:rFonts w:eastAsia="source serif 4" w:cs="source serif 4" w:ascii="source serif 4" w:hAnsi="source serif 4"/>
          <w:color w:val="000000"/>
        </w:rPr>
        <w:t xml:space="preserve">BMI carries OR = 1.213 (CI: 1.136–1.295) for metabolic syndrome prediction. Despite its limitations, it remains the most widely implemented baseline index. Elevated BMI with high body fat supports Phlegm-Damp / 痰湿 (Tán Shī). Low BMI with low muscle mass supports Qi Deficiency / 气虚 (Qì Xū) or Yang Deficiency / 阳虚 (Yáng Xū).</w:t>
      </w:r>
    </w:p>
    <w:p>
      <w:pPr>
        <w:spacing w:line="360" w:after="210" w:lineRule="auto"/>
      </w:pPr>
      <w:r>
        <w:rPr>
          <w:rFonts w:eastAsia="source serif 4" w:cs="source serif 4" w:ascii="source serif 4" w:hAnsi="source serif 4"/>
          <w:b/>
          <w:color w:val="000000"/>
        </w:rPr>
        <w:t xml:space="preserve">Waist Circumference (WC)</w:t>
      </w:r>
    </w:p>
    <w:p>
      <w:pPr>
        <w:spacing w:line="360" w:after="210" w:lineRule="auto"/>
      </w:pPr>
      <w:r>
        <w:rPr>
          <w:rFonts w:eastAsia="source serif 4" w:cs="source serif 4" w:ascii="source serif 4" w:hAnsi="source serif 4"/>
          <w:color w:val="000000"/>
        </w:rPr>
        <w:t xml:space="preserve">A 2026 Spanish study of over </w:t>
      </w:r>
      <w:r>
        <w:rPr>
          <w:rFonts w:eastAsia="source serif 4" w:cs="source serif 4" w:ascii="source serif 4" w:hAnsi="source serif 4"/>
          <w:b/>
          <w:color w:val="000000"/>
        </w:rPr>
        <w:t xml:space="preserve">8,500 workers</w:t>
      </w:r>
      <w:r>
        <w:rPr>
          <w:rFonts w:eastAsia="source serif 4" w:cs="source serif 4" w:ascii="source serif 4" w:hAnsi="source serif 4"/>
          <w:color w:val="000000"/>
        </w:rPr>
        <w:t xml:space="preserve"> found WC achieved AUC up to </w:t>
      </w:r>
      <w:r>
        <w:rPr>
          <w:rFonts w:eastAsia="source serif 4" w:cs="source serif 4" w:ascii="source serif 4" w:hAnsi="source serif 4"/>
          <w:b/>
          <w:color w:val="000000"/>
        </w:rPr>
        <w:t xml:space="preserve">0.947 in men and 0.937 in women</w:t>
      </w:r>
      <w:r>
        <w:rPr>
          <w:rFonts w:eastAsia="source serif 4" w:cs="source serif 4" w:ascii="source serif 4" w:hAnsi="source serif 4"/>
          <w:color w:val="000000"/>
        </w:rPr>
        <w:t xml:space="preserve"> for metabolic syndrome prediction — the highest among all tested indices. WC is the single most practical and effective screening tool. Central adiposity is the most consistent anthropometric correlate of the Phlegm-Damp pattern.</w:t>
      </w:r>
    </w:p>
    <w:p>
      <w:pPr>
        <w:spacing w:line="360" w:after="210" w:lineRule="auto"/>
      </w:pPr>
      <w:r>
        <w:rPr>
          <w:rFonts w:eastAsia="source serif 4" w:cs="source serif 4" w:ascii="source serif 4" w:hAnsi="source serif 4"/>
          <w:b/>
          <w:color w:val="000000"/>
        </w:rPr>
        <w:t xml:space="preserve">Waist-to-Height Ratio (WHtR)</w:t>
      </w:r>
    </w:p>
    <w:p>
      <w:pPr>
        <w:spacing w:line="360" w:after="210" w:lineRule="auto"/>
      </w:pPr>
      <w:r>
        <w:rPr>
          <w:rFonts w:eastAsia="source serif 4" w:cs="source serif 4" w:ascii="source serif 4" w:hAnsi="source serif 4"/>
          <w:color w:val="000000"/>
        </w:rPr>
        <w:t xml:space="preserve">A 2025 Korean study found WHtR had the </w:t>
      </w:r>
      <w:r>
        <w:rPr>
          <w:rFonts w:eastAsia="source serif 4" w:cs="source serif 4" w:ascii="source serif 4" w:hAnsi="source serif 4"/>
          <w:b/>
          <w:color w:val="000000"/>
        </w:rPr>
        <w:t xml:space="preserve">highest AUC values</w:t>
      </w:r>
      <w:r>
        <w:rPr>
          <w:rFonts w:eastAsia="source serif 4" w:cs="source serif 4" w:ascii="source serif 4" w:hAnsi="source serif 4"/>
          <w:color w:val="000000"/>
        </w:rPr>
        <w:t xml:space="preserve"> (0.792 for men, 0.768 for women) among anthropometric indices for MetS prediction. WHtR ≥ 0.50 indicates central obesity risk. </w:t>
      </w:r>
      <w:r>
        <w:rPr>
          <w:rFonts w:eastAsia="source serif 4" w:cs="source serif 4" w:ascii="source serif 4" w:hAnsi="source serif 4"/>
          <w:b/>
          <w:color w:val="000000"/>
        </w:rPr>
        <w:t xml:space="preserve">Mandatory derived parameter</w:t>
      </w:r>
      <w:r>
        <w:rPr>
          <w:rFonts w:eastAsia="source serif 4" w:cs="source serif 4" w:ascii="source serif 4" w:hAnsi="source serif 4"/>
          <w:color w:val="000000"/>
        </w:rPr>
        <w:t xml:space="preserve"> — adjusts for height, more valid across diverse populations than WC alone.</w:t>
      </w:r>
    </w:p>
    <w:p>
      <w:pPr>
        <w:spacing w:line="360" w:after="210" w:lineRule="auto"/>
      </w:pPr>
      <w:r>
        <w:rPr>
          <w:rFonts w:eastAsia="source serif 4" w:cs="source serif 4" w:ascii="source serif 4" w:hAnsi="source serif 4"/>
          <w:b/>
          <w:color w:val="000000"/>
        </w:rPr>
        <w:t xml:space="preserve">Body Roundness Index (BRI)</w:t>
      </w:r>
    </w:p>
    <w:p>
      <w:pPr>
        <w:spacing w:line="360" w:after="210" w:lineRule="auto"/>
      </w:pPr>
      <w:r>
        <w:rPr>
          <w:rFonts w:eastAsia="source serif 4" w:cs="source serif 4" w:ascii="source serif 4" w:hAnsi="source serif 4"/>
          <w:color w:val="000000"/>
        </w:rPr>
        <w:t xml:space="preserve">A 2024 Nature Scientific Reports study found a unit BRI increase was associated with a </w:t>
      </w:r>
      <w:r>
        <w:rPr>
          <w:rFonts w:eastAsia="source serif 4" w:cs="source serif 4" w:ascii="source serif 4" w:hAnsi="source serif 4"/>
          <w:b/>
          <w:color w:val="000000"/>
        </w:rPr>
        <w:t xml:space="preserve">2.235-fold increase in MetS probability</w:t>
      </w:r>
      <w:r>
        <w:rPr>
          <w:rFonts w:eastAsia="source serif 4" w:cs="source serif 4" w:ascii="source serif 4" w:hAnsi="source serif 4"/>
          <w:color w:val="000000"/>
        </w:rPr>
        <w:t xml:space="preserve"> — the strongest predictor among tested indices. Formula: BRI = 364.2 − (365.5 × √(1 − ((WC/2π)² / (0.5 × Height)²))). High BRI directly supports Phlegm-Damp and Damp-Heat pattern likelihood.</w:t>
      </w:r>
    </w:p>
    <w:p>
      <w:pPr>
        <w:spacing w:line="360" w:after="210" w:lineRule="auto"/>
      </w:pPr>
      <w:r>
        <w:rPr>
          <w:rFonts w:eastAsia="source serif 4" w:cs="source serif 4" w:ascii="source serif 4" w:hAnsi="source serif 4"/>
          <w:b/>
          <w:color w:val="000000"/>
        </w:rPr>
        <w:t xml:space="preserve">Visceral Fat</w:t>
      </w:r>
    </w:p>
    <w:p>
      <w:pPr>
        <w:spacing w:line="360" w:after="210" w:lineRule="auto"/>
      </w:pPr>
      <w:r>
        <w:rPr>
          <w:rFonts w:eastAsia="source serif 4" w:cs="source serif 4" w:ascii="source serif 4" w:hAnsi="source serif 4"/>
          <w:color w:val="000000"/>
        </w:rPr>
        <w:t xml:space="preserve">Visceral fat (bioimpedance) showed AUC up to </w:t>
      </w:r>
      <w:r>
        <w:rPr>
          <w:rFonts w:eastAsia="source serif 4" w:cs="source serif 4" w:ascii="source serif 4" w:hAnsi="source serif 4"/>
          <w:b/>
          <w:color w:val="000000"/>
        </w:rPr>
        <w:t xml:space="preserve">0.927</w:t>
      </w:r>
      <w:r>
        <w:rPr>
          <w:rFonts w:eastAsia="source serif 4" w:cs="source serif 4" w:ascii="source serif 4" w:hAnsi="source serif 4"/>
          <w:color w:val="000000"/>
        </w:rPr>
        <w:t xml:space="preserve"> in the 2026 Spanish study. Visceral adipose tissue is metabolically active and inflammatory. Elevated visceral fat supports Blood Stasis risk in the context of the cardiovascular cluster logic.</w:t>
      </w:r>
    </w:p>
    <w:p>
      <w:pPr>
        <w:spacing w:line="360" w:after="210" w:lineRule="auto"/>
      </w:pPr>
      <w:r>
        <w:rPr>
          <w:rFonts w:eastAsia="source serif 4" w:cs="source serif 4" w:ascii="source serif 4" w:hAnsi="source serif 4"/>
          <w:b/>
          <w:color w:val="000000"/>
        </w:rPr>
        <w:t xml:space="preserve">Skeletal Muscle Mass</w:t>
      </w:r>
    </w:p>
    <w:p>
      <w:pPr>
        <w:spacing w:line="360" w:after="210" w:lineRule="auto"/>
      </w:pPr>
      <w:r>
        <w:rPr>
          <w:rFonts w:eastAsia="source serif 4" w:cs="source serif 4" w:ascii="source serif 4" w:hAnsi="source serif 4"/>
          <w:color w:val="000000"/>
        </w:rPr>
        <w:t xml:space="preserve">The 2024 sarcopenia study confirmed </w:t>
      </w:r>
      <w:r>
        <w:rPr>
          <w:rFonts w:eastAsia="source serif 4" w:cs="source serif 4" w:ascii="source serif 4" w:hAnsi="source serif 4"/>
          <w:b/>
          <w:color w:val="000000"/>
        </w:rPr>
        <w:t xml:space="preserve">Qi-deficiency, Yang-deficiency, and Yin-deficiency</w:t>
      </w:r>
      <w:r>
        <w:rPr>
          <w:rFonts w:eastAsia="source serif 4" w:cs="source serif 4" w:ascii="source serif 4" w:hAnsi="source serif 4"/>
          <w:color w:val="000000"/>
        </w:rPr>
        <w:t xml:space="preserve"> are all significantly associated with sarcopenia. Capturing muscle mass enables structural confirmation of deficiency constitution patterns. A combined nine-score CCMQ vector showed good diagnostic performance for sarcopenia in males.</w:t>
      </w:r>
    </w:p>
    <w:p>
      <w:pPr>
        <w:spacing w:line="360" w:before="315" w:after="105" w:lineRule="auto"/>
        <w:ind w:left="-30"/>
        <w:jc w:val="left"/>
      </w:pPr>
      <w:bookmarkStart w:id="10" w:name="bm_3_3_recommended_field_set"/>
      <w:r>
        <w:rPr>
          <w:rFonts w:eastAsia="source serif 4" w:cs="source serif 4" w:ascii="source serif 4" w:hAnsi="source serif 4"/>
          <w:b/>
          <w:color w:val="000000"/>
          <w:sz w:val="24"/>
        </w:rPr>
        <w:t xml:space="preserve">3.3 Recommended Field Set</w:t>
      </w:r>
      <w:bookmarkEnd w:id="10"/>
    </w:p>
    <w:p>
      <w:pPr>
        <w:spacing w:line="360" w:after="210" w:lineRule="auto"/>
      </w:pPr>
      <w:r>
        <w:rPr>
          <w:rFonts w:eastAsia="source serif 4" w:cs="source serif 4" w:ascii="source serif 4" w:hAnsi="source serif 4"/>
          <w:b/>
          <w:color w:val="000000"/>
        </w:rPr>
        <w:t xml:space="preserve">Raw fields:</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"height_cm"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"weight_kg"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"waist_cm"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"hip_cm"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"neck_cm"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"body_fat_percent"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"visceral_fat_score"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"skeletal_muscle_mass_kg"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"basal_metabolic_rate_kcal"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b/>
          <w:color w:val="000000"/>
        </w:rPr>
        <w:t xml:space="preserve">Derived fields (computed by system):</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"bmi"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"waist_to_hip_ratio"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"waist_to_height_ratio"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"body_fat_category"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"central_obesity_flag"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"sarcopenia_risk_flag"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"metabolic_burden_score"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 w:name="bm_3_4_anthropometric_constitutio_bece93"/>
      <w:r>
        <w:rPr>
          <w:rFonts w:eastAsia="source serif 4" w:cs="source serif 4" w:ascii="source serif 4" w:hAnsi="source serif 4"/>
          <w:b/>
          <w:color w:val="000000"/>
          <w:sz w:val="24"/>
        </w:rPr>
        <w:t xml:space="preserve">3.4 Anthropometric → Constitution Mapping Rules</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Anthropometric Pattern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Supported Constitution Signal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BMI &gt; 25 + elevated WC + high BRI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Phlegm-Damp / 痰湿 (Tán Shī)</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WHtR ≥ 0.55 + high visceral fat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Phlegm-Damp + Damp-Heat / 湿热 (Shī Rè)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BMI &lt; 18.5 + low muscle mass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Qi Deficiency / 气虚 (Qì Xū)</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muscle mass + cold tendency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Yang Deficiency / 阳虚 (Yáng Xū)</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body fat + dry presentation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Yin Deficiency / 阴虚 (Yīn Xū)</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Elevated visceral fat, normal BMI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Blood Stasis risk / 血瘀 (Xuè Yū)</w:t>
            </w:r>
          </w:p>
        </w:tc>
      </w:tr>
    </w:tbl>
    <w:p>
      <w:pPr>
        <w:spacing w:lineRule="auto"/>
      </w:pPr>
    </w:p>
    <w:p>
      <w:pPr>
        <w:spacing w:line="360" w:after="210" w:lineRule="auto"/>
      </w:pPr>
      <w:r>
        <w:rPr>
          <w:rFonts w:eastAsia="source serif 4" w:cs="source serif 4" w:ascii="source serif 4" w:hAnsi="source serif 4"/>
          <w:b/>
          <w:color w:val="000000"/>
        </w:rPr>
        <w:t xml:space="preserve">Implementation rule:</w:t>
      </w:r>
      <w:r>
        <w:rPr>
          <w:rFonts w:eastAsia="source serif 4" w:cs="source serif 4" w:ascii="source serif 4" w:hAnsi="source serif 4"/>
          <w:color w:val="000000"/>
        </w:rPr>
        <w:t xml:space="preserve"> Anthropometric signals increase or decrease confidence scores for a given constitution. They do not independently trigger a constitution label.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part_iv_scientific_foundation_wea_775aaa"/>
      <w:r>
        <w:rPr>
          <w:rFonts w:eastAsia="source serif 4" w:cs="source serif 4" w:ascii="source serif 4" w:hAnsi="source serif 4"/>
          <w:b/>
          <w:color w:val="000000"/>
          <w:sz w:val="24"/>
        </w:rPr>
        <w:t xml:space="preserve">Part IV — Scientific Foundation: Wearable Biometric Integration</w:t>
      </w:r>
      <w:bookmarkEnd w:id="12"/>
    </w:p>
    <w:p>
      <w:pPr>
        <w:spacing w:line="360" w:before="315" w:after="105" w:lineRule="auto"/>
        <w:ind w:left="-30"/>
        <w:jc w:val="left"/>
      </w:pPr>
      <w:bookmarkStart w:id="13" w:name="bm_4_1_hrv_as_a_scientific_biomarker"/>
      <w:r>
        <w:rPr>
          <w:rFonts w:eastAsia="source serif 4" w:cs="source serif 4" w:ascii="source serif 4" w:hAnsi="source serif 4"/>
          <w:b/>
          <w:color w:val="000000"/>
          <w:sz w:val="24"/>
        </w:rPr>
        <w:t xml:space="preserve">4.1 HRV as a Scientific Biomarker</w:t>
      </w:r>
      <w:bookmarkEnd w:id="13"/>
    </w:p>
    <w:p>
      <w:pPr>
        <w:spacing w:line="360" w:after="210" w:lineRule="auto"/>
      </w:pPr>
      <w:r>
        <w:rPr>
          <w:rFonts w:eastAsia="source serif 4" w:cs="source serif 4" w:ascii="source serif 4" w:hAnsi="source serif 4"/>
          <w:color w:val="000000"/>
        </w:rPr>
        <w:t xml:space="preserve">HRV is one of the most extensively validated non-invasive biomarkers in clinical science, supported by close to </w:t>
      </w:r>
      <w:r>
        <w:rPr>
          <w:rFonts w:eastAsia="source serif 4" w:cs="source serif 4" w:ascii="source serif 4" w:hAnsi="source serif 4"/>
          <w:b/>
          <w:color w:val="000000"/>
        </w:rPr>
        <w:t xml:space="preserve">20,000 published studies</w:t>
      </w:r>
      <w:r>
        <w:rPr>
          <w:rFonts w:eastAsia="source serif 4" w:cs="source serif 4" w:ascii="source serif 4" w:hAnsi="source serif 4"/>
          <w:color w:val="000000"/>
        </w:rPr>
        <w:t xml:space="preserve">. It measures beat-to-beat variation in heart rhythm (RR intervals), reflecting the dynamic interplay between the sympathetic (SNS) and parasympathetic (PNS) branches of the autonomic nervous system (ANS). High HRV reflects parasympathetic dominance and autonomic flexibility. Low HRV indicates sympathetic overload and reduced regulatory reserve.</w:t>
      </w:r>
    </w:p>
    <w:p>
      <w:pPr>
        <w:spacing w:line="360" w:after="210" w:lineRule="auto"/>
      </w:pPr>
      <w:r>
        <w:rPr>
          <w:rFonts w:eastAsia="source serif 4" w:cs="source serif 4" w:ascii="source serif 4" w:hAnsi="source serif 4"/>
          <w:b/>
          <w:color w:val="000000"/>
        </w:rPr>
        <w:t xml:space="preserve">Key HRV metrics and clinical reference ranges: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SDNN (ms)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Autonomic 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Clinical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110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Exceptional variability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High-demand activities appropriate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70–110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Healthy range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Maintain current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50–70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Possible fatigue/stress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Prioritise sleep, reduce load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50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 alert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Investigate overtraining, infection, inflammation</w:t>
            </w:r>
          </w:p>
        </w:tc>
      </w:tr>
    </w:tbl>
    <w:p>
      <w:pPr>
        <w:spacing w:lineRule="auto"/>
      </w:pPr>
    </w:p>
    <w:p>
      <w:pPr>
        <w:spacing w:line="360" w:after="210" w:lineRule="auto"/>
      </w:pPr>
      <w:r>
        <w:rPr>
          <w:rFonts w:eastAsia="source serif 4" w:cs="source serif 4" w:ascii="source serif 4" w:hAnsi="source serif 4"/>
          <w:b/>
          <w:color w:val="000000"/>
        </w:rPr>
        <w:t xml:space="preserve">Evidence highlights:</w:t>
      </w:r>
    </w:p>
    <w:p>
      <w:pPr>
        <w:numPr>
          <w:ilvl w:val="0"/>
          <w:numId w:val="4"/>
        </w:numPr>
        <w:spacing w:line="360" w:before="105" w:after="105" w:lineRule="auto"/>
      </w:pPr>
      <w:r>
        <w:rPr>
          <w:rFonts w:eastAsia="source serif 4" w:cs="source serif 4" w:ascii="source serif 4" w:hAnsi="source serif 4"/>
          <w:color w:val="000000"/>
          <w:sz w:val="21"/>
        </w:rPr>
        <w:t xml:space="preserve">RMSSD standardised 5-min protocols achieve intra-subject reliability ≥ 0.80, sufficient to detect weekly variations of ~10ms associated with meaningful changes in fatigue, inflammation, and recovery.</w:t>
      </w:r>
    </w:p>
    <w:p>
      <w:pPr>
        <w:numPr>
          <w:ilvl w:val="0"/>
          <w:numId w:val="4"/>
        </w:numPr>
        <w:spacing w:line="360" w:before="105" w:after="105" w:lineRule="auto"/>
      </w:pPr>
      <w:r>
        <w:rPr>
          <w:rFonts w:eastAsia="source serif 4" w:cs="source serif 4" w:ascii="source serif 4" w:hAnsi="source serif 4"/>
          <w:color w:val="000000"/>
          <w:sz w:val="21"/>
        </w:rPr>
        <w:t xml:space="preserve">A 2021 study found decreased LF/HF ratio during daytime was an </w:t>
      </w:r>
      <w:r>
        <w:rPr>
          <w:rFonts w:eastAsia="source serif 4" w:cs="source serif 4" w:ascii="source serif 4" w:hAnsi="source serif 4"/>
          <w:b/>
          <w:color w:val="000000"/>
          <w:sz w:val="21"/>
        </w:rPr>
        <w:t xml:space="preserve">independent risk factor</w:t>
      </w:r>
      <w:r>
        <w:rPr>
          <w:rFonts w:eastAsia="source serif 4" w:cs="source serif 4" w:ascii="source serif 4" w:hAnsi="source serif 4"/>
          <w:color w:val="000000"/>
          <w:sz w:val="21"/>
        </w:rPr>
        <w:t xml:space="preserve"> for TCM Heart Qi Xu pattern (OR = 0.474, 95% CI: 0.230–0.977).</w:t>
      </w:r>
    </w:p>
    <w:p>
      <w:pPr>
        <w:numPr>
          <w:ilvl w:val="0"/>
          <w:numId w:val="4"/>
        </w:numPr>
        <w:spacing w:line="360" w:before="105" w:after="105" w:lineRule="auto"/>
      </w:pPr>
      <w:r>
        <w:rPr>
          <w:rFonts w:eastAsia="source serif 4" w:cs="source serif 4" w:ascii="source serif 4" w:hAnsi="source serif 4"/>
          <w:color w:val="000000"/>
          <w:sz w:val="21"/>
        </w:rPr>
        <w:t xml:space="preserve">High HF-HRV is associated with better verbal reasoning, memory, and executive function. Low HF-HRV is linked to cognitive impairment risk.</w:t>
      </w:r>
    </w:p>
    <w:p>
      <w:pPr>
        <w:numPr>
          <w:ilvl w:val="0"/>
          <w:numId w:val="4"/>
        </w:numPr>
        <w:spacing w:line="360" w:before="105" w:after="105" w:lineRule="auto"/>
      </w:pPr>
      <w:r>
        <w:rPr>
          <w:rFonts w:eastAsia="source serif 4" w:cs="source serif 4" w:ascii="source serif 4" w:hAnsi="source serif 4"/>
          <w:color w:val="000000"/>
          <w:sz w:val="21"/>
        </w:rPr>
        <w:t xml:space="preserve">A 2018 meta-analysis confirmed HRV variables change in response to stress. Most consistent finding: decreased HF power and increased LF power under stress.</w:t>
      </w:r>
    </w:p>
    <w:p>
      <w:pPr>
        <w:numPr>
          <w:ilvl w:val="0"/>
          <w:numId w:val="4"/>
        </w:numPr>
        <w:spacing w:line="360" w:before="105" w:after="105" w:lineRule="auto"/>
      </w:pPr>
      <w:r>
        <w:rPr>
          <w:rFonts w:eastAsia="source serif 4" w:cs="source serif 4" w:ascii="source serif 4" w:hAnsi="source serif 4"/>
          <w:color w:val="000000"/>
          <w:sz w:val="21"/>
        </w:rPr>
        <w:t xml:space="preserve">HRV is reduced in depression, anxiety, PTSD, and bipolar disorder. HRV can predict onset of psychological illness up to </w:t>
      </w:r>
      <w:r>
        <w:rPr>
          <w:rFonts w:eastAsia="source serif 4" w:cs="source serif 4" w:ascii="source serif 4" w:hAnsi="source serif 4"/>
          <w:b/>
          <w:color w:val="000000"/>
          <w:sz w:val="21"/>
        </w:rPr>
        <w:t xml:space="preserve">10 years later</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b/>
          <w:color w:val="000000"/>
        </w:rPr>
        <w:t xml:space="preserve">TCM-HRV correspondence rationale:</w:t>
      </w:r>
    </w:p>
    <w:p>
      <w:pPr>
        <w:numPr>
          <w:ilvl w:val="0"/>
          <w:numId w:val="5"/>
        </w:numPr>
        <w:spacing w:line="360" w:before="105" w:after="105" w:lineRule="auto"/>
      </w:pPr>
      <w:r>
        <w:rPr>
          <w:rFonts w:eastAsia="source serif 4" w:cs="source serif 4" w:ascii="source serif 4" w:hAnsi="source serif 4"/>
          <w:color w:val="000000"/>
          <w:sz w:val="21"/>
        </w:rPr>
        <w:t xml:space="preserve">Yin deficiency / 阴虚 (Yīn Xū) → restlessness, night sweats, insomnia → high sympathetic tone, low parasympathetic reserve → low RMSSD</w:t>
      </w:r>
    </w:p>
    <w:p>
      <w:pPr>
        <w:numPr>
          <w:ilvl w:val="0"/>
          <w:numId w:val="5"/>
        </w:numPr>
        <w:spacing w:line="360" w:before="105" w:after="105" w:lineRule="auto"/>
      </w:pPr>
      <w:r>
        <w:rPr>
          <w:rFonts w:eastAsia="source serif 4" w:cs="source serif 4" w:ascii="source serif 4" w:hAnsi="source serif 4"/>
          <w:color w:val="000000"/>
          <w:sz w:val="21"/>
        </w:rPr>
        <w:t xml:space="preserve">Yang deficiency / 阳虚 (Yáng Xū) → cold limbs, fatigue → low metabolic rate, poor thermoregulation</w:t>
      </w:r>
    </w:p>
    <w:p>
      <w:pPr>
        <w:numPr>
          <w:ilvl w:val="0"/>
          <w:numId w:val="5"/>
        </w:numPr>
        <w:spacing w:line="360" w:before="105" w:after="105" w:lineRule="auto"/>
      </w:pPr>
      <w:r>
        <w:rPr>
          <w:rFonts w:eastAsia="source serif 4" w:cs="source serif 4" w:ascii="source serif 4" w:hAnsi="source serif 4"/>
          <w:color w:val="000000"/>
          <w:sz w:val="21"/>
        </w:rPr>
        <w:t xml:space="preserve">Qi deficiency / 气虚 (Qì Xū) → fatigue, poor recovery → low HRV, low vagal tone</w:t>
      </w:r>
    </w:p>
    <w:p>
      <w:pPr>
        <w:numPr>
          <w:ilvl w:val="0"/>
          <w:numId w:val="5"/>
        </w:numPr>
        <w:spacing w:line="360" w:before="105" w:after="105" w:lineRule="auto"/>
      </w:pPr>
      <w:r>
        <w:rPr>
          <w:rFonts w:eastAsia="source serif 4" w:cs="source serif 4" w:ascii="source serif 4" w:hAnsi="source serif 4"/>
          <w:color w:val="000000"/>
          <w:sz w:val="21"/>
        </w:rPr>
        <w:t xml:space="preserve">Liver Qi stagnation / 肝气郁结 (Gān Qì Yù Jié) → irritability, emotional constraint → high LF/HF, impaired emotional HRV regulation</w:t>
      </w:r>
    </w:p>
    <w:p>
      <w:pPr>
        <w:spacing w:line="360" w:before="315" w:after="105" w:lineRule="auto"/>
        <w:ind w:left="-30"/>
        <w:jc w:val="left"/>
      </w:pPr>
      <w:bookmarkStart w:id="14" w:name="bm_4_2_scientific_rationale_for_o_afdc1e"/>
      <w:r>
        <w:rPr>
          <w:rFonts w:eastAsia="source serif 4" w:cs="source serif 4" w:ascii="source serif 4" w:hAnsi="source serif 4"/>
          <w:b/>
          <w:color w:val="000000"/>
          <w:sz w:val="24"/>
        </w:rPr>
        <w:t xml:space="preserve">4.2 Scientific Rationale for Oura Ring as Primary Wearable</w:t>
      </w:r>
      <w:bookmarkEnd w:id="14"/>
    </w:p>
    <w:p>
      <w:pPr>
        <w:spacing w:line="360" w:after="210" w:lineRule="auto"/>
      </w:pPr>
      <w:r>
        <w:rPr>
          <w:rFonts w:eastAsia="source serif 4" w:cs="source serif 4" w:ascii="source serif 4" w:hAnsi="source serif 4"/>
          <w:b/>
          <w:color w:val="000000"/>
        </w:rPr>
        <w:t xml:space="preserve">Validation evidence:</w:t>
      </w:r>
    </w:p>
    <w:p>
      <w:pPr>
        <w:numPr>
          <w:ilvl w:val="0"/>
          <w:numId w:val="6"/>
        </w:numPr>
        <w:spacing w:line="360" w:before="105" w:after="105" w:lineRule="auto"/>
      </w:pPr>
      <w:r>
        <w:rPr>
          <w:rFonts w:eastAsia="source serif 4" w:cs="source serif 4" w:ascii="source serif 4" w:hAnsi="source serif 4"/>
          <w:color w:val="000000"/>
          <w:sz w:val="21"/>
        </w:rPr>
        <w:t xml:space="preserve">A 2025 independent peer-reviewed study (Dial et al., The Physiological Society) compared five consumer wearables against ECG-grade Polar H10 across </w:t>
      </w:r>
      <w:r>
        <w:rPr>
          <w:rFonts w:eastAsia="source serif 4" w:cs="source serif 4" w:ascii="source serif 4" w:hAnsi="source serif 4"/>
          <w:b/>
          <w:color w:val="000000"/>
          <w:sz w:val="21"/>
        </w:rPr>
        <w:t xml:space="preserve">536 nights of sleep data</w:t>
      </w:r>
      <w:r>
        <w:rPr>
          <w:rFonts w:eastAsia="source serif 4" w:cs="source serif 4" w:ascii="source serif 4" w:hAnsi="source serif 4"/>
          <w:color w:val="000000"/>
          <w:sz w:val="21"/>
        </w:rPr>
        <w:t xml:space="preserve">. Both Oura Ring Gen3 and Oura Ring 4 achieved </w:t>
      </w:r>
      <w:r>
        <w:rPr>
          <w:rFonts w:eastAsia="source serif 4" w:cs="source serif 4" w:ascii="source serif 4" w:hAnsi="source serif 4"/>
          <w:b/>
          <w:color w:val="000000"/>
          <w:sz w:val="21"/>
        </w:rPr>
        <w:t xml:space="preserve">Concordance Correlation Coefficient (CCC) of 0.99</w:t>
      </w:r>
      <w:r>
        <w:rPr>
          <w:rFonts w:eastAsia="source serif 4" w:cs="source serif 4" w:ascii="source serif 4" w:hAnsi="source serif 4"/>
          <w:color w:val="000000"/>
          <w:sz w:val="21"/>
        </w:rPr>
        <w:t xml:space="preserve"> — agreement within 1% of the gold standard. WHOOP achieved CCC 0.94. Garmin performed poorly.</w:t>
      </w:r>
    </w:p>
    <w:p>
      <w:pPr>
        <w:numPr>
          <w:ilvl w:val="0"/>
          <w:numId w:val="6"/>
        </w:numPr>
        <w:spacing w:line="360" w:before="105" w:after="105" w:lineRule="auto"/>
      </w:pPr>
      <w:r>
        <w:rPr>
          <w:rFonts w:eastAsia="source serif 4" w:cs="source serif 4" w:ascii="source serif 4" w:hAnsi="source serif 4"/>
          <w:color w:val="000000"/>
          <w:sz w:val="21"/>
        </w:rPr>
        <w:t xml:space="preserve">A 2024 University of Tokyo study validated Oura Sleep Staging Algorithm 2.0 against polysomnography (PSG). Oura demonstrated sensitivity 94.4–94.5%, staging accuracy 75.5–90.6%, and inter-device reliability of 94.8%. It 'did not significantly differ' from PSG for total sleep time, onset latency, deep sleep, or REM.</w:t>
      </w:r>
    </w:p>
    <w:p>
      <w:pPr>
        <w:numPr>
          <w:ilvl w:val="0"/>
          <w:numId w:val="6"/>
        </w:numPr>
        <w:spacing w:line="360" w:before="105" w:after="105" w:lineRule="auto"/>
      </w:pPr>
      <w:r>
        <w:rPr>
          <w:rFonts w:eastAsia="source serif 4" w:cs="source serif 4" w:ascii="source serif 4" w:hAnsi="source serif 4"/>
          <w:color w:val="000000"/>
          <w:sz w:val="21"/>
        </w:rPr>
        <w:t xml:space="preserve">A 2024 Brigham and Women's Hospital study found Oura was </w:t>
      </w:r>
      <w:r>
        <w:rPr>
          <w:rFonts w:eastAsia="source serif 4" w:cs="source serif 4" w:ascii="source serif 4" w:hAnsi="source serif 4"/>
          <w:b/>
          <w:color w:val="000000"/>
          <w:sz w:val="21"/>
        </w:rPr>
        <w:t xml:space="preserve">5% more accurate than Apple Watch and 10% more accurate than Fitbit</w:t>
      </w:r>
      <w:r>
        <w:rPr>
          <w:rFonts w:eastAsia="source serif 4" w:cs="source serif 4" w:ascii="source serif 4" w:hAnsi="source serif 4"/>
          <w:color w:val="000000"/>
          <w:sz w:val="21"/>
        </w:rPr>
        <w:t xml:space="preserve"> in four-stage sleep classification (Cohen's kappa: Oura 0.65, Apple Watch 0.60, Fitbit 0.55).</w:t>
      </w:r>
    </w:p>
    <w:p>
      <w:pPr>
        <w:numPr>
          <w:ilvl w:val="0"/>
          <w:numId w:val="6"/>
        </w:numPr>
        <w:spacing w:line="360" w:before="105" w:after="105" w:lineRule="auto"/>
      </w:pPr>
      <w:r>
        <w:rPr>
          <w:rFonts w:eastAsia="source serif 4" w:cs="source serif 4" w:ascii="source serif 4" w:hAnsi="source serif 4"/>
          <w:b/>
          <w:color w:val="000000"/>
          <w:sz w:val="21"/>
        </w:rPr>
        <w:t xml:space="preserve">Sensor location advantage:</w:t>
      </w:r>
      <w:r>
        <w:rPr>
          <w:rFonts w:eastAsia="source serif 4" w:cs="source serif 4" w:ascii="source serif 4" w:hAnsi="source serif 4"/>
          <w:color w:val="000000"/>
          <w:sz w:val="21"/>
        </w:rPr>
        <w:t xml:space="preserve"> Finger arteries sit closer to the surface than wrist arteries, producing a cleaner blood-volume-pulse signal with less motion artifact during sleep.</w:t>
      </w:r>
    </w:p>
    <w:p>
      <w:pPr>
        <w:spacing w:line="360" w:after="210" w:lineRule="auto"/>
      </w:pPr>
      <w:r>
        <w:rPr>
          <w:rFonts w:eastAsia="source serif 4" w:cs="source serif 4" w:ascii="source serif 4" w:hAnsi="source serif 4"/>
          <w:b/>
          <w:color w:val="000000"/>
        </w:rPr>
        <w:t xml:space="preserve">Oura data fields and clinical justification: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Oura Signal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 Base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TCM Relevance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Overnight RMSSD (HRV)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CCC 0.99 vs ECG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ANS-Yin balance proxy; Qi/Heart/Shen patterns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Resting Heart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Validated same study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Yang hyperactivity or Qi Xu indicator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Sleep staging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PSG-validated, sensitivity 94%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Yin-Yang circadian balance; Shen disturbance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Total sleep 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significantly different from PSG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Recovery adequacy; Kidney-Heart axis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Deep sleep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Highest sensitivity of any tested device (79.5%)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Jing-Yin restoration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Temperature deviation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Individual finger baseline deviation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Inflammatory burden; Heat/Yang pattern flag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Respiratory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Continuous overnight monitoring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Lung Qi / Wei Qi surveillance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Readiness score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Composite recovery metric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Energy reserve / Zheng Qi proxy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Activity score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Activity behavior monitoring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Yang activity level assessment</w:t>
            </w:r>
          </w:p>
        </w:tc>
      </w:tr>
    </w:tbl>
    <w:p>
      <w:pPr>
        <w:spacing w:lineRule="auto"/>
      </w:pPr>
    </w:p>
    <w:p>
      <w:pPr>
        <w:spacing w:line="360" w:before="315" w:after="105" w:lineRule="auto"/>
        <w:ind w:left="-30"/>
        <w:jc w:val="left"/>
      </w:pPr>
      <w:bookmarkStart w:id="15" w:name="bm_4_3_temperature_deviation_a_sp_8e89bf"/>
      <w:r>
        <w:rPr>
          <w:rFonts w:eastAsia="source serif 4" w:cs="source serif 4" w:ascii="source serif 4" w:hAnsi="source serif 4"/>
          <w:b/>
          <w:color w:val="000000"/>
          <w:sz w:val="24"/>
        </w:rPr>
        <w:t xml:space="preserve">4.3 Temperature Deviation — A Specifically Valuable Biomarker</w:t>
      </w:r>
      <w:bookmarkEnd w:id="15"/>
    </w:p>
    <w:p>
      <w:pPr>
        <w:spacing w:line="360" w:after="210" w:lineRule="auto"/>
      </w:pPr>
      <w:r>
        <w:rPr>
          <w:rFonts w:eastAsia="source serif 4" w:cs="source serif 4" w:ascii="source serif 4" w:hAnsi="source serif 4"/>
          <w:color w:val="000000"/>
        </w:rPr>
        <w:t xml:space="preserve">Oura measures skin temperature directly from the finger and tracks personal deviation from individual baseline.</w:t>
      </w:r>
    </w:p>
    <w:p>
      <w:pPr>
        <w:numPr>
          <w:ilvl w:val="0"/>
          <w:numId w:val="7"/>
        </w:numPr>
        <w:spacing w:line="360" w:before="105" w:after="105" w:lineRule="auto"/>
      </w:pPr>
      <w:r>
        <w:rPr>
          <w:rFonts w:eastAsia="source serif 4" w:cs="source serif 4" w:ascii="source serif 4" w:hAnsi="source serif 4"/>
          <w:color w:val="000000"/>
          <w:sz w:val="21"/>
        </w:rPr>
        <w:t xml:space="preserve">A 2023 Nature Communications study (UK Biobank, n &gt; 92,000) found a 2-SD (1.8°C) lower wrist temperature amplitude corresponded to a </w:t>
      </w:r>
      <w:r>
        <w:rPr>
          <w:rFonts w:eastAsia="source serif 4" w:cs="source serif 4" w:ascii="source serif 4" w:hAnsi="source serif 4"/>
          <w:b/>
          <w:color w:val="000000"/>
          <w:sz w:val="21"/>
        </w:rPr>
        <w:t xml:space="preserve">91% increased risk</w:t>
      </w:r>
      <w:r>
        <w:rPr>
          <w:rFonts w:eastAsia="source serif 4" w:cs="source serif 4" w:ascii="source serif 4" w:hAnsi="source serif 4"/>
          <w:color w:val="000000"/>
          <w:sz w:val="21"/>
        </w:rPr>
        <w:t xml:space="preserve"> of NAFLD, </w:t>
      </w:r>
      <w:r>
        <w:rPr>
          <w:rFonts w:eastAsia="source serif 4" w:cs="source serif 4" w:ascii="source serif 4" w:hAnsi="source serif 4"/>
          <w:b/>
          <w:color w:val="000000"/>
          <w:sz w:val="21"/>
        </w:rPr>
        <w:t xml:space="preserve">69%</w:t>
      </w:r>
      <w:r>
        <w:rPr>
          <w:rFonts w:eastAsia="source serif 4" w:cs="source serif 4" w:ascii="source serif 4" w:hAnsi="source serif 4"/>
          <w:color w:val="000000"/>
          <w:sz w:val="21"/>
        </w:rPr>
        <w:t xml:space="preserve"> for type 2 diabetes, </w:t>
      </w:r>
      <w:r>
        <w:rPr>
          <w:rFonts w:eastAsia="source serif 4" w:cs="source serif 4" w:ascii="source serif 4" w:hAnsi="source serif 4"/>
          <w:b/>
          <w:color w:val="000000"/>
          <w:sz w:val="21"/>
        </w:rPr>
        <w:t xml:space="preserve">25%</w:t>
      </w:r>
      <w:r>
        <w:rPr>
          <w:rFonts w:eastAsia="source serif 4" w:cs="source serif 4" w:ascii="source serif 4" w:hAnsi="source serif 4"/>
          <w:color w:val="000000"/>
          <w:sz w:val="21"/>
        </w:rPr>
        <w:t xml:space="preserve"> for renal failure, </w:t>
      </w:r>
      <w:r>
        <w:rPr>
          <w:rFonts w:eastAsia="source serif 4" w:cs="source serif 4" w:ascii="source serif 4" w:hAnsi="source serif 4"/>
          <w:b/>
          <w:color w:val="000000"/>
          <w:sz w:val="21"/>
        </w:rPr>
        <w:t xml:space="preserve">23%</w:t>
      </w:r>
      <w:r>
        <w:rPr>
          <w:rFonts w:eastAsia="source serif 4" w:cs="source serif 4" w:ascii="source serif 4" w:hAnsi="source serif 4"/>
          <w:color w:val="000000"/>
          <w:sz w:val="21"/>
        </w:rPr>
        <w:t xml:space="preserve"> for hypertension, and </w:t>
      </w:r>
      <w:r>
        <w:rPr>
          <w:rFonts w:eastAsia="source serif 4" w:cs="source serif 4" w:ascii="source serif 4" w:hAnsi="source serif 4"/>
          <w:b/>
          <w:color w:val="000000"/>
          <w:sz w:val="21"/>
        </w:rPr>
        <w:t xml:space="preserve">22%</w:t>
      </w:r>
      <w:r>
        <w:rPr>
          <w:rFonts w:eastAsia="source serif 4" w:cs="source serif 4" w:ascii="source serif 4" w:hAnsi="source serif 4"/>
          <w:color w:val="000000"/>
          <w:sz w:val="21"/>
        </w:rPr>
        <w:t xml:space="preserve"> for pneumonia.</w:t>
      </w:r>
    </w:p>
    <w:p>
      <w:pPr>
        <w:numPr>
          <w:ilvl w:val="0"/>
          <w:numId w:val="7"/>
        </w:numPr>
        <w:spacing w:line="360" w:before="105" w:after="105" w:lineRule="auto"/>
      </w:pPr>
      <w:r>
        <w:rPr>
          <w:rFonts w:eastAsia="source serif 4" w:cs="source serif 4" w:ascii="source serif 4" w:hAnsi="source serif 4"/>
          <w:color w:val="000000"/>
          <w:sz w:val="21"/>
        </w:rPr>
        <w:t xml:space="preserve">Personal nightly temperature variation is typically within </w:t>
      </w:r>
      <w:r>
        <w:rPr>
          <w:rFonts w:eastAsia="source serif 4" w:cs="source serif 4" w:ascii="source serif 4" w:hAnsi="source serif 4"/>
          <w:b/>
          <w:color w:val="000000"/>
          <w:sz w:val="21"/>
        </w:rPr>
        <w:t xml:space="preserve">0.2°C</w:t>
      </w:r>
      <w:r>
        <w:rPr>
          <w:rFonts w:eastAsia="source serif 4" w:cs="source serif 4" w:ascii="source serif 4" w:hAnsi="source serif 4"/>
          <w:color w:val="000000"/>
          <w:sz w:val="21"/>
        </w:rPr>
        <w:t xml:space="preserve"> of baseline. Deviations above </w:t>
      </w:r>
      <w:r>
        <w:rPr>
          <w:rFonts w:eastAsia="source serif 4" w:cs="source serif 4" w:ascii="source serif 4" w:hAnsi="source serif 4"/>
          <w:b/>
          <w:color w:val="000000"/>
          <w:sz w:val="21"/>
        </w:rPr>
        <w:t xml:space="preserve">0.5°C</w:t>
      </w:r>
      <w:r>
        <w:rPr>
          <w:rFonts w:eastAsia="source serif 4" w:cs="source serif 4" w:ascii="source serif 4" w:hAnsi="source serif 4"/>
          <w:color w:val="000000"/>
          <w:sz w:val="21"/>
        </w:rPr>
        <w:t xml:space="preserve"> indicate physiological stress: incoming illness, menstrual phase, alcohol metabolism, or significant psychological stress.</w:t>
      </w:r>
    </w:p>
    <w:p>
      <w:pPr>
        <w:spacing w:line="360" w:after="210" w:lineRule="auto"/>
      </w:pPr>
      <w:r>
        <w:rPr>
          <w:rFonts w:eastAsia="source serif 4" w:cs="source serif 4" w:ascii="source serif 4" w:hAnsi="source serif 4"/>
          <w:color w:val="000000"/>
        </w:rPr>
        <w:t xml:space="preserve">TCM temperature mapping:</w:t>
      </w:r>
    </w:p>
    <w:p>
      <w:pPr>
        <w:numPr>
          <w:ilvl w:val="0"/>
          <w:numId w:val="8"/>
        </w:numPr>
        <w:spacing w:line="360" w:before="105" w:after="105" w:lineRule="auto"/>
      </w:pPr>
      <w:r>
        <w:rPr>
          <w:rFonts w:eastAsia="source serif 4" w:cs="source serif 4" w:ascii="source serif 4" w:hAnsi="source serif 4"/>
          <w:color w:val="000000"/>
          <w:sz w:val="21"/>
        </w:rPr>
        <w:t xml:space="preserve">Persistent upward deviation (&gt;+0.5°C): Heat accumulation, Damp-Heat, or Yin Xu with deficiency fire</w:t>
      </w:r>
    </w:p>
    <w:p>
      <w:pPr>
        <w:numPr>
          <w:ilvl w:val="0"/>
          <w:numId w:val="8"/>
        </w:numPr>
        <w:spacing w:line="360" w:before="105" w:after="105" w:lineRule="auto"/>
      </w:pPr>
      <w:r>
        <w:rPr>
          <w:rFonts w:eastAsia="source serif 4" w:cs="source serif 4" w:ascii="source serif 4" w:hAnsi="source serif 4"/>
          <w:color w:val="000000"/>
          <w:sz w:val="21"/>
        </w:rPr>
        <w:t xml:space="preserve">Persistent downward deviation (&lt;−0.3°C): Yang deficiency / 阳虚 (Yáng Xū) or deep Qi deficiency with cold presentation</w:t>
      </w:r>
    </w:p>
    <w:p>
      <w:pPr>
        <w:spacing w:line="360" w:before="315" w:after="105" w:lineRule="auto"/>
        <w:ind w:left="-30"/>
        <w:jc w:val="left"/>
      </w:pPr>
      <w:bookmarkStart w:id="16" w:name="bm_4_4_polar_h10_the_precision_va_f80b8c"/>
      <w:r>
        <w:rPr>
          <w:rFonts w:eastAsia="source serif 4" w:cs="source serif 4" w:ascii="source serif 4" w:hAnsi="source serif 4"/>
          <w:b/>
          <w:color w:val="000000"/>
          <w:sz w:val="24"/>
        </w:rPr>
        <w:t xml:space="preserve">4.4 Polar H10 — The Precision Validation Layer</w:t>
      </w:r>
      <w:bookmarkEnd w:id="16"/>
    </w:p>
    <w:p>
      <w:pPr>
        <w:spacing w:line="360" w:after="210" w:lineRule="auto"/>
      </w:pPr>
      <w:r>
        <w:rPr>
          <w:rFonts w:eastAsia="source serif 4" w:cs="source serif 4" w:ascii="source serif 4" w:hAnsi="source serif 4"/>
          <w:color w:val="000000"/>
        </w:rPr>
        <w:t xml:space="preserve">Polar H10 is the clinical reference standard for consumer HRV. It was used as the ECG-grade reference in Dial et al. 2025. A 2022 PubMed validation study confirmed its suitability.</w:t>
      </w:r>
    </w:p>
    <w:p>
      <w:pPr>
        <w:spacing w:line="360" w:after="210" w:lineRule="auto"/>
      </w:pPr>
      <w:r>
        <w:rPr>
          <w:rFonts w:eastAsia="source serif 4" w:cs="source serif 4" w:ascii="source serif 4" w:hAnsi="source serif 4"/>
          <w:color w:val="000000"/>
        </w:rPr>
        <w:t xml:space="preserve">Use for: morning 5-minute supine HRV baseline protocols, practitioner-mode assessments, calibration of Oura data during onboarding.</w:t>
      </w:r>
    </w:p>
    <w:p>
      <w:pPr>
        <w:spacing w:line="360" w:after="210" w:lineRule="auto"/>
      </w:pPr>
      <w:r>
        <w:rPr>
          <w:rFonts w:eastAsia="source serif 4" w:cs="source serif 4" w:ascii="source serif 4" w:hAnsi="source serif 4"/>
          <w:color w:val="000000"/>
        </w:rPr>
        <w:t xml:space="preserve">Standard protocol: 5 minutes supine, controlled breathing, consistent time of day — aligns with the consensus 'sweet spot' for HRV measurement reliability.</w:t>
      </w:r>
    </w:p>
    <w:p>
      <w:pPr>
        <w:spacing w:line="360" w:before="315" w:after="105" w:lineRule="auto"/>
        <w:ind w:left="-30"/>
        <w:jc w:val="left"/>
      </w:pPr>
      <w:bookmarkStart w:id="17" w:name="bm_4_5_muse_2_specialty_neuro_module"/>
      <w:r>
        <w:rPr>
          <w:rFonts w:eastAsia="source serif 4" w:cs="source serif 4" w:ascii="source serif 4" w:hAnsi="source serif 4"/>
          <w:b/>
          <w:color w:val="000000"/>
          <w:sz w:val="24"/>
        </w:rPr>
        <w:t xml:space="preserve">4.5 Muse 2 — Specialty Neuro Module</w:t>
      </w:r>
      <w:bookmarkEnd w:id="17"/>
    </w:p>
    <w:p>
      <w:pPr>
        <w:spacing w:line="360" w:after="210" w:lineRule="auto"/>
      </w:pPr>
      <w:r>
        <w:rPr>
          <w:rFonts w:eastAsia="source serif 4" w:cs="source serif 4" w:ascii="source serif 4" w:hAnsi="source serif 4"/>
          <w:color w:val="000000"/>
        </w:rPr>
        <w:t xml:space="preserve">Muse uses </w:t>
      </w:r>
      <w:r>
        <w:rPr>
          <w:rFonts w:eastAsia="source serif 4" w:cs="source serif 4" w:ascii="source serif 4" w:hAnsi="source serif 4"/>
          <w:b/>
          <w:color w:val="000000"/>
        </w:rPr>
        <w:t xml:space="preserve">4-channel frontal EEG</w:t>
      </w:r>
      <w:r>
        <w:rPr>
          <w:rFonts w:eastAsia="source serif 4" w:cs="source serif 4" w:ascii="source serif 4" w:hAnsi="source serif 4"/>
          <w:color w:val="000000"/>
        </w:rPr>
        <w:t xml:space="preserve"> at 256 Hz to track delta, theta, alpha, beta, and gamma brainwave bands.</w:t>
      </w:r>
    </w:p>
    <w:p>
      <w:pPr>
        <w:numPr>
          <w:ilvl w:val="0"/>
          <w:numId w:val="9"/>
        </w:numPr>
        <w:spacing w:line="360" w:before="105" w:after="105" w:lineRule="auto"/>
      </w:pPr>
      <w:r>
        <w:rPr>
          <w:rFonts w:eastAsia="source serif 4" w:cs="source serif 4" w:ascii="source serif 4" w:hAnsi="source serif 4"/>
          <w:color w:val="000000"/>
          <w:sz w:val="21"/>
        </w:rPr>
        <w:t xml:space="preserve">A 2024 PMC systematic review confirmed evidence of alpha, theta, and gamma increases during meditation-based neurofeedback.</w:t>
      </w:r>
    </w:p>
    <w:p>
      <w:pPr>
        <w:numPr>
          <w:ilvl w:val="0"/>
          <w:numId w:val="9"/>
        </w:numPr>
        <w:spacing w:line="360" w:before="105" w:after="105" w:lineRule="auto"/>
      </w:pPr>
      <w:r>
        <w:rPr>
          <w:rFonts w:eastAsia="source serif 4" w:cs="source serif 4" w:ascii="source serif 4" w:hAnsi="source serif 4"/>
          <w:color w:val="000000"/>
          <w:sz w:val="21"/>
        </w:rPr>
        <w:t xml:space="preserve">A 2025 JMIR study confirmed Muse's alpha/theta training model produces measurable brain state changes.</w:t>
      </w:r>
    </w:p>
    <w:p>
      <w:pPr>
        <w:spacing w:line="360" w:after="210" w:lineRule="auto"/>
      </w:pPr>
      <w:r>
        <w:rPr>
          <w:rFonts w:eastAsia="source serif 4" w:cs="source serif 4" w:ascii="source serif 4" w:hAnsi="source serif 4"/>
          <w:b/>
          <w:color w:val="000000"/>
        </w:rPr>
        <w:t xml:space="preserve">EEG pattern → TCM correspondence: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EEG Finding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TCM Pattern Correspondence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Alpha enhancement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Shen calming / 心神安宁 (Xīn Shén Ān Níng)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Theta excess (waking)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Phlegm-turbidity / 痰蒙心窍 (Tán Méng Xīn Qiào)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Beta dominance / excess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Liver Yang rising / 肝阳上亢 (Gān Yáng Shàng Kàng)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Delta intrusion (waking)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Severe Qi deficiency or Shen disturbance</w:t>
            </w:r>
          </w:p>
        </w:tc>
      </w:tr>
    </w:tbl>
    <w:p>
      <w:pPr>
        <w:spacing w:lineRule="auto"/>
      </w:pPr>
    </w:p>
    <w:p>
      <w:pPr>
        <w:spacing w:line="360" w:after="210" w:lineRule="auto"/>
      </w:pPr>
      <w:r>
        <w:rPr>
          <w:rFonts w:eastAsia="source serif 4" w:cs="source serif 4" w:ascii="source serif 4" w:hAnsi="source serif 4"/>
          <w:b/>
          <w:color w:val="000000"/>
        </w:rPr>
        <w:t xml:space="preserve">Implementation:</w:t>
      </w:r>
      <w:r>
        <w:rPr>
          <w:rFonts w:eastAsia="source serif 4" w:cs="source serif 4" w:ascii="source serif 4" w:hAnsi="source serif 4"/>
          <w:color w:val="000000"/>
        </w:rPr>
        <w:t xml:space="preserve"> Session-based only. Use as optional specialty module for insomnia, stress, meditation adherence, cognitive recovery, and Shen-regulation programmes.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part_v_ans_hrv_and_tcm_physiology_1038a9"/>
      <w:r>
        <w:rPr>
          <w:rFonts w:eastAsia="source serif 4" w:cs="source serif 4" w:ascii="source serif 4" w:hAnsi="source serif 4"/>
          <w:b/>
          <w:color w:val="000000"/>
          <w:sz w:val="24"/>
        </w:rPr>
        <w:t xml:space="preserve">Part V — ANS, HRV, and TCM Physiology: Scientific Bridge</w:t>
      </w:r>
      <w:bookmarkEnd w:id="18"/>
    </w:p>
    <w:p>
      <w:pPr>
        <w:spacing w:line="360" w:before="315" w:after="105" w:lineRule="auto"/>
        <w:ind w:left="-30"/>
        <w:jc w:val="left"/>
      </w:pPr>
      <w:bookmarkStart w:id="19" w:name="bm_5_1_yin_yang_sympathetic_paras_e57be2"/>
      <w:r>
        <w:rPr>
          <w:rFonts w:eastAsia="source serif 4" w:cs="source serif 4" w:ascii="source serif 4" w:hAnsi="source serif 4"/>
          <w:b/>
          <w:color w:val="000000"/>
          <w:sz w:val="24"/>
        </w:rPr>
        <w:t xml:space="preserve">5.1 Yin-Yang / Sympathetic-Parasympathetic Correspondence</w:t>
      </w:r>
      <w:bookmarkEnd w:id="19"/>
    </w:p>
    <w:p>
      <w:pPr>
        <w:spacing w:line="360" w:after="210" w:lineRule="auto"/>
      </w:pPr>
      <w:r>
        <w:rPr>
          <w:rFonts w:eastAsia="source serif 4" w:cs="source serif 4" w:ascii="source serif 4" w:hAnsi="source serif 4"/>
          <w:color w:val="000000"/>
        </w:rPr>
        <w:t xml:space="preserve">The SNS-PNS relationship in Western medicine directly parallels the Yang-Yin dynamic in TCM:</w:t>
      </w:r>
    </w:p>
    <w:p>
      <w:pPr>
        <w:numPr>
          <w:ilvl w:val="0"/>
          <w:numId w:val="10"/>
        </w:numPr>
        <w:spacing w:line="360" w:before="105" w:after="105" w:lineRule="auto"/>
      </w:pPr>
      <w:r>
        <w:rPr>
          <w:rFonts w:eastAsia="source serif 4" w:cs="source serif 4" w:ascii="source serif 4" w:hAnsi="source serif 4"/>
          <w:b/>
          <w:color w:val="000000"/>
          <w:sz w:val="21"/>
        </w:rPr>
        <w:t xml:space="preserve">Yang</w:t>
      </w:r>
      <w:r>
        <w:rPr>
          <w:rFonts w:eastAsia="source serif 4" w:cs="source serif 4" w:ascii="source serif 4" w:hAnsi="source serif 4"/>
          <w:color w:val="000000"/>
          <w:sz w:val="21"/>
        </w:rPr>
        <w:t xml:space="preserve"> (active, warming) = </w:t>
      </w:r>
      <w:r>
        <w:rPr>
          <w:rFonts w:eastAsia="source serif 4" w:cs="source serif 4" w:ascii="source serif 4" w:hAnsi="source serif 4"/>
          <w:b/>
          <w:color w:val="000000"/>
          <w:sz w:val="21"/>
        </w:rPr>
        <w:t xml:space="preserve">sympathetic nervous system</w:t>
      </w:r>
      <w:r>
        <w:rPr>
          <w:rFonts w:eastAsia="source serif 4" w:cs="source serif 4" w:ascii="source serif 4" w:hAnsi="source serif 4"/>
          <w:color w:val="000000"/>
          <w:sz w:val="21"/>
        </w:rPr>
        <w:t xml:space="preserve"> (mobilises, increases HR)</w:t>
      </w:r>
    </w:p>
    <w:p>
      <w:pPr>
        <w:numPr>
          <w:ilvl w:val="0"/>
          <w:numId w:val="10"/>
        </w:numPr>
        <w:spacing w:line="360" w:before="105" w:after="105" w:lineRule="auto"/>
      </w:pPr>
      <w:r>
        <w:rPr>
          <w:rFonts w:eastAsia="source serif 4" w:cs="source serif 4" w:ascii="source serif 4" w:hAnsi="source serif 4"/>
          <w:b/>
          <w:color w:val="000000"/>
          <w:sz w:val="21"/>
        </w:rPr>
        <w:t xml:space="preserve">Yin</w:t>
      </w:r>
      <w:r>
        <w:rPr>
          <w:rFonts w:eastAsia="source serif 4" w:cs="source serif 4" w:ascii="source serif 4" w:hAnsi="source serif 4"/>
          <w:color w:val="000000"/>
          <w:sz w:val="21"/>
        </w:rPr>
        <w:t xml:space="preserve"> (cooling, nourishing) = </w:t>
      </w:r>
      <w:r>
        <w:rPr>
          <w:rFonts w:eastAsia="source serif 4" w:cs="source serif 4" w:ascii="source serif 4" w:hAnsi="source serif 4"/>
          <w:b/>
          <w:color w:val="000000"/>
          <w:sz w:val="21"/>
        </w:rPr>
        <w:t xml:space="preserve">parasympathetic nervous system</w:t>
      </w:r>
      <w:r>
        <w:rPr>
          <w:rFonts w:eastAsia="source serif 4" w:cs="source serif 4" w:ascii="source serif 4" w:hAnsi="source serif 4"/>
          <w:color w:val="000000"/>
          <w:sz w:val="21"/>
        </w:rPr>
        <w:t xml:space="preserve"> (restores, slows HR)</w:t>
      </w:r>
    </w:p>
    <w:p>
      <w:pPr>
        <w:spacing w:line="360" w:after="210" w:lineRule="auto"/>
      </w:pPr>
      <w:r>
        <w:rPr>
          <w:rFonts w:eastAsia="source serif 4" w:cs="source serif 4" w:ascii="source serif 4" w:hAnsi="source serif 4"/>
          <w:color w:val="000000"/>
        </w:rPr>
        <w:t xml:space="preserve">This correspondence is not merely metaphorical. Clinical expressions align: Yin deficiency patients show restlessness, night sweats, and early awakening (3–4am insomnia) corresponding to reduced parasympathetic reserve. Qi deficiency patients show low HRV and poor recovery capacity. Yang deficiency patients show impaired thermoregulation and low overall metabolic drive.</w:t>
      </w:r>
    </w:p>
    <w:p>
      <w:pPr>
        <w:spacing w:line="360" w:before="315" w:after="105" w:lineRule="auto"/>
        <w:ind w:left="-30"/>
        <w:jc w:val="left"/>
      </w:pPr>
      <w:bookmarkStart w:id="20" w:name="bm_5_2_circadian_rhythm_as_a_wear_ab8639"/>
      <w:r>
        <w:rPr>
          <w:rFonts w:eastAsia="source serif 4" w:cs="source serif 4" w:ascii="source serif 4" w:hAnsi="source serif 4"/>
          <w:b/>
          <w:color w:val="000000"/>
          <w:sz w:val="24"/>
        </w:rPr>
        <w:t xml:space="preserve">5.2 Circadian Rhythm as a Wearable Biomarker Bridge</w:t>
      </w:r>
      <w:bookmarkEnd w:id="20"/>
    </w:p>
    <w:p>
      <w:pPr>
        <w:spacing w:line="360" w:after="210" w:lineRule="auto"/>
      </w:pPr>
      <w:r>
        <w:rPr>
          <w:rFonts w:eastAsia="source serif 4" w:cs="source serif 4" w:ascii="source serif 4" w:hAnsi="source serif 4"/>
          <w:color w:val="000000"/>
        </w:rPr>
        <w:t xml:space="preserve">The TCM organ clock and Western circadian rhythm biology describe the same biological phenomenon from different frameworks. The 2023 Nature Communications study confirmed that disrupted wrist temperature amplitude (reduced day-night oscillation) is a digital biomarker for future disease risk across 73 of 425 phenome-wide conditions. The system should use temperature amplitude as a </w:t>
      </w:r>
      <w:r>
        <w:rPr>
          <w:rFonts w:eastAsia="source serif 4" w:cs="source serif 4" w:ascii="source serif 4" w:hAnsi="source serif 4"/>
          <w:b/>
          <w:color w:val="000000"/>
        </w:rPr>
        <w:t xml:space="preserve">circadian regularity biomarker</w:t>
      </w:r>
      <w:r>
        <w:rPr>
          <w:rFonts w:eastAsia="source serif 4" w:cs="source serif 4" w:ascii="source serif 4" w:hAnsi="source serif 4"/>
          <w:color w:val="000000"/>
        </w:rPr>
        <w:t xml:space="preserve"> — flattened amplitude indicates disrupted Yin-Yang cyclical balance and increased chronic disease risk.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part_vi_database_architecture"/>
      <w:r>
        <w:rPr>
          <w:rFonts w:eastAsia="source serif 4" w:cs="source serif 4" w:ascii="source serif 4" w:hAnsi="source serif 4"/>
          <w:b/>
          <w:color w:val="000000"/>
          <w:sz w:val="24"/>
        </w:rPr>
        <w:t xml:space="preserve">Part VI — Database Architecture</w:t>
      </w:r>
      <w:bookmarkEnd w:id="21"/>
    </w:p>
    <w:p>
      <w:pPr>
        <w:spacing w:line="360" w:before="315" w:after="105" w:lineRule="auto"/>
        <w:ind w:left="-30"/>
        <w:jc w:val="left"/>
      </w:pPr>
      <w:bookmarkStart w:id="22" w:name="bm_6_1_new_tables_required"/>
      <w:r>
        <w:rPr>
          <w:rFonts w:eastAsia="source serif 4" w:cs="source serif 4" w:ascii="source serif 4" w:hAnsi="source serif 4"/>
          <w:b/>
          <w:color w:val="000000"/>
          <w:sz w:val="24"/>
        </w:rPr>
        <w:t xml:space="preserve">6.1 New Tables Required</w:t>
      </w:r>
      <w:bookmarkEnd w:id="22"/>
    </w:p>
    <w:p>
      <w:pPr>
        <w:spacing w:line="360" w:after="210" w:lineRule="auto"/>
      </w:pPr>
      <w:r>
        <w:rPr>
          <w:rFonts w:eastAsia="source serif 4" w:cs="source serif 4" w:ascii="source serif 4" w:hAnsi="source serif 4"/>
          <w:b/>
          <w:color w:val="000000"/>
        </w:rPr>
        <w:t xml:space="preserve">constitution_profiles:</w:t>
      </w:r>
    </w:p>
    <w:p>
      <w:pPr>
        <w:pStyle w:val="SourceCode"/>
        <w:shd w:val="clear" w:fill="F8F8FA"/>
        <w:spacing w:line="336" w:lineRule="auto"/>
      </w:pP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constitution_profiles (</w:t>
        <w:br/>
        <w:t xml:space="preserve">  id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client_id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clients(id),</w:t>
        <w:br/>
        <w:t xml:space="preserve">  assessed_at           DATETIME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source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ccmq_version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pinghe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qixu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yangxu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yinxu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tanshi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shire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xueyu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qiyu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tebing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primary_constitution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w:t>
        <w:br/>
        <w:t xml:space="preserve">  secondary_constitution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w:t>
        <w:br/>
        <w:t xml:space="preserve">  confidence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profile_type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w:t>
        <w:br/>
        <w:t xml:space="preserve">  engine_version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CURRENT_TIMESTAMP</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source serif 4" w:cs="source serif 4" w:ascii="source serif 4" w:hAnsi="source serif 4"/>
          <w:b/>
          <w:color w:val="000000"/>
        </w:rPr>
        <w:t xml:space="preserve">wearable_daily_metrics:</w:t>
      </w:r>
    </w:p>
    <w:p>
      <w:pPr>
        <w:pStyle w:val="SourceCode"/>
        <w:shd w:val="clear" w:fill="F8F8FA"/>
        <w:spacing w:line="336" w:lineRule="auto"/>
      </w:pP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wearable_daily_metrics (</w:t>
        <w:br/>
        <w:t xml:space="preserve">  id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client_id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source_device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record_date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sleep_duration_min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w:t>
        <w:br/>
        <w:t xml:space="preserve">  sleep_efficiency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rem_percent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deep_sleep_percent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resting_hr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overnight_hrv_rmssd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hrv_sdnn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respiratory_rate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temperature_deviation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temperature_amplitude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readiness_score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activity_score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stress_proxy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raw_payload           JSON,</w:t>
        <w:br/>
        <w:t xml:space="preserve">  collection_protocol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CURRENT_TIMESTAMP</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source serif 4" w:cs="source serif 4" w:ascii="source serif 4" w:hAnsi="source serif 4"/>
          <w:b/>
          <w:color w:val="000000"/>
        </w:rPr>
        <w:t xml:space="preserve">anthropometric_records:</w:t>
      </w:r>
    </w:p>
    <w:p>
      <w:pPr>
        <w:pStyle w:val="SourceCode"/>
        <w:shd w:val="clear" w:fill="F8F8FA"/>
        <w:spacing w:line="336" w:lineRule="auto"/>
      </w:pP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anthropometric_records (</w:t>
        <w:br/>
        <w:t xml:space="preserve">  id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client_id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measured_at             DATETIME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w:t>
        <w:br/>
        <w:t xml:space="preserve">  height_cm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weight_kg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waist_cm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hip_cm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neck_cm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body_fat_percent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visceral_fat_score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skeletal_muscle_mass_kg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basal_metabolic_rate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bmi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whr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whtr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bri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central_obesity_flag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w:t>
        <w:br/>
        <w:t xml:space="preserve">  sarcopenia_risk_flag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w:t>
        <w:br/>
        <w:t xml:space="preserve">  metabolic_burden_score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CURRENT_TIMESTAMP</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source serif 4" w:cs="source serif 4" w:ascii="source serif 4" w:hAnsi="source serif 4"/>
          <w:b/>
          <w:color w:val="000000"/>
        </w:rPr>
        <w:t xml:space="preserve">Extensions to existing client_scans:</w:t>
      </w:r>
    </w:p>
    <w:p>
      <w:pPr>
        <w:pStyle w:val="SourceCode"/>
        <w:shd w:val="clear" w:fill="F8F8FA"/>
        <w:spacing w:line="336" w:lineRule="auto"/>
      </w:pPr>
      <w:r>
        <w:rPr>
          <w:rStyle w:val="VerbatimChar"/>
          <w:rFonts w:eastAsia="menlo" w:cs="menlo" w:ascii="menlo" w:hAnsi="menlo"/>
          <w:color w:val="000000"/>
          <w:sz w:val="18"/>
        </w:rPr>
        <w:t xml:space="preserve">ALTER TABLE</w:t>
      </w:r>
      <w:r>
        <w:rPr>
          <w:rStyle w:val="VerbatimChar"/>
          <w:rFonts w:eastAsia="menlo" w:cs="menlo" w:ascii="menlo" w:hAnsi="menlo"/>
          <w:color w:val="000000"/>
          <w:sz w:val="18"/>
        </w:rPr>
        <w:t xml:space="preserve"> client_scans</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constitution_profile_id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36</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anthropometric_record_id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36</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wearable_summary            JSON,</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wearable_30d_trends         JSON,</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active_overlays             JSON,</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confidence_vector           JSON,</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contradiction_log           JSON,</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data_completeness_score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engine_version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constitution_model_version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wearable_mapping_version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part_vii_scoring_logic_technical_f5b9c0"/>
      <w:r>
        <w:rPr>
          <w:rFonts w:eastAsia="source serif 4" w:cs="source serif 4" w:ascii="source serif 4" w:hAnsi="source serif 4"/>
          <w:b/>
          <w:color w:val="000000"/>
          <w:sz w:val="24"/>
        </w:rPr>
        <w:t xml:space="preserve">Part VII — Scoring Logic: Technical Implementation</w:t>
      </w:r>
      <w:bookmarkEnd w:id="23"/>
    </w:p>
    <w:p>
      <w:pPr>
        <w:spacing w:line="360" w:before="315" w:after="105" w:lineRule="auto"/>
        <w:ind w:left="-30"/>
        <w:jc w:val="left"/>
      </w:pPr>
      <w:bookmarkStart w:id="24" w:name="bm_7_1_ccmq_converted_score_computation"/>
      <w:r>
        <w:rPr>
          <w:rFonts w:eastAsia="source serif 4" w:cs="source serif 4" w:ascii="source serif 4" w:hAnsi="source serif 4"/>
          <w:b/>
          <w:color w:val="000000"/>
          <w:sz w:val="24"/>
        </w:rPr>
        <w:t xml:space="preserve">7.1 CCMQ Converted Score Computation</w:t>
      </w:r>
      <w:bookmarkEnd w:id="24"/>
    </w:p>
    <w:p>
      <w:pPr>
        <w:pStyle w:val="SourceCode"/>
        <w:shd w:val="clear" w:fill="F8F8FA"/>
        <w:spacing w:line="336" w:lineRule="auto"/>
      </w:pP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compute_ccmq_converted_scores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responses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responses: list of 54 integers (1-5 each)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Subscale item indices and reverse items defined per official CCMQ instrument</w:t>
      </w:r>
      <w:r>
        <w:rPr>
          <w:rStyle w:val="VerbatimChar"/>
          <w:rFonts w:eastAsia="menlo" w:cs="menlo" w:ascii="menlo" w:hAnsi="menlo"/>
          <w:color w:val="000000"/>
          <w:sz w:val="18"/>
        </w:rPr>
        <w:t xml:space="preserve"/>
        <w:br/>
        <w:t xml:space="preserve">    SUBSCALE_CONFIG = {</w:t>
        <w:br/>
        <w:t xml:space="preserve">        </w:t>
      </w:r>
      <w:r>
        <w:rPr>
          <w:rStyle w:val="VerbatimChar"/>
          <w:rFonts w:eastAsia="menlo" w:cs="menlo" w:ascii="menlo" w:hAnsi="menlo"/>
          <w:color w:val="000000"/>
          <w:sz w:val="18"/>
        </w:rPr>
        <w:t xml:space="preserve">'pinghe'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'reverse'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54</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'qixu'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'reverse'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'yangxu'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'reverse'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'yinxu'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'reverse'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'tanshi'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'reverse'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'shire'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'reverse'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'xueyu'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'reverse'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'qiyu'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47</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'reverse'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'tebing'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'reverse'</w:t>
      </w:r>
      <w:r>
        <w:rPr>
          <w:rStyle w:val="VerbatimChar"/>
          <w:rFonts w:eastAsia="menlo" w:cs="menlo" w:ascii="menlo" w:hAnsi="menlo"/>
          <w:color w:val="000000"/>
          <w:sz w:val="18"/>
        </w:rPr>
        <w:t xml:space="preserve">: []}</w:t>
        <w:br/>
        <w:t xml:space="preserve">    }</w:t>
        <w:br/>
        <w:t xml:space="preserve">    scores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name, cfg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SUBSCALE_CONFIG.items():</w:t>
        <w:br/>
        <w:t xml:space="preserve">        items = cfg[</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br/>
        <w:t xml:space="preserve">        n =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(items)</w:t>
        <w:br/>
        <w:t xml:space="preserve">        raw_sum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idx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items:</w:t>
        <w:br/>
        <w:t xml:space="preserve">            v = responses[idx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idx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cfg[</w:t>
      </w:r>
      <w:r>
        <w:rPr>
          <w:rStyle w:val="VerbatimChar"/>
          <w:rFonts w:eastAsia="menlo" w:cs="menlo" w:ascii="menlo" w:hAnsi="menlo"/>
          <w:color w:val="000000"/>
          <w:sz w:val="18"/>
        </w:rPr>
        <w:t xml:space="preserve">'reverse'</w:t>
      </w:r>
      <w:r>
        <w:rPr>
          <w:rStyle w:val="VerbatimChar"/>
          <w:rFonts w:eastAsia="menlo" w:cs="menlo" w:ascii="menlo" w:hAnsi="menlo"/>
          <w:color w:val="000000"/>
          <w:sz w:val="18"/>
        </w:rPr>
        <w:t xml:space="preserve">]:</w:t>
        <w:br/>
        <w:t xml:space="preserve">                v = </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 - v</w:t>
        <w:br/>
        <w:t xml:space="preserve">            raw_sum += v</w:t>
        <w:br/>
        <w:t xml:space="preserve">        scores[name] =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(((raw_sum - n) / (n *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scores</w:t>
        <w:br/>
        <w:t xml:space="preserve"/>
      </w:r>
    </w:p>
    <w:p>
      <w:pPr>
        <w:spacing w:line="360" w:before="315" w:after="105" w:lineRule="auto"/>
        <w:ind w:left="-30"/>
        <w:jc w:val="left"/>
      </w:pPr>
      <w:bookmarkStart w:id="25" w:name="bm_7_2_constitution_classification"/>
      <w:r>
        <w:rPr>
          <w:rFonts w:eastAsia="source serif 4" w:cs="source serif 4" w:ascii="source serif 4" w:hAnsi="source serif 4"/>
          <w:b/>
          <w:color w:val="000000"/>
          <w:sz w:val="24"/>
        </w:rPr>
        <w:t xml:space="preserve">7.2 Constitution Classification</w:t>
      </w:r>
      <w:bookmarkEnd w:id="25"/>
    </w:p>
    <w:p>
      <w:pPr>
        <w:pStyle w:val="SourceCode"/>
        <w:shd w:val="clear" w:fill="F8F8FA"/>
        <w:spacing w:line="336" w:lineRule="auto"/>
      </w:pP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classify_constitution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scores</w:t>
      </w:r>
      <w:r>
        <w:rPr>
          <w:rStyle w:val="VerbatimChar"/>
          <w:rFonts w:eastAsia="menlo" w:cs="menlo" w:ascii="menlo" w:hAnsi="menlo"/>
          <w:color w:val="000000"/>
          <w:sz w:val="18"/>
        </w:rPr>
        <w:t xml:space="preserve">):</w:t>
        <w:br/>
        <w:t xml:space="preserve">    sorted_s = </w:t>
      </w:r>
      <w:r>
        <w:rPr>
          <w:rStyle w:val="VerbatimChar"/>
          <w:rFonts w:eastAsia="menlo" w:cs="menlo" w:ascii="menlo" w:hAnsi="menlo"/>
          <w:color w:val="000000"/>
          <w:sz w:val="18"/>
        </w:rPr>
        <w:t xml:space="preserve">sorted</w:t>
      </w:r>
      <w:r>
        <w:rPr>
          <w:rStyle w:val="VerbatimChar"/>
          <w:rFonts w:eastAsia="menlo" w:cs="menlo" w:ascii="menlo" w:hAnsi="menlo"/>
          <w:color w:val="000000"/>
          <w:sz w:val="18"/>
        </w:rPr>
        <w:t xml:space="preserve">(scores.items(), key=</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x: x[</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reverse=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primary, secondary =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br/>
        <w:t xml:space="preserve">    others_lt30 =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(v &lt;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k, v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scores.items()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k != </w:t>
      </w:r>
      <w:r>
        <w:rPr>
          <w:rStyle w:val="VerbatimChar"/>
          <w:rFonts w:eastAsia="menlo" w:cs="menlo" w:ascii="menlo" w:hAnsi="menlo"/>
          <w:color w:val="000000"/>
          <w:sz w:val="18"/>
        </w:rPr>
        <w:t xml:space="preserve">'pinghe'</w:t>
      </w:r>
      <w:r>
        <w:rPr>
          <w:rStyle w:val="VerbatimChar"/>
          <w:rFonts w:eastAsia="menlo" w:cs="menlo" w:ascii="menlo" w:hAnsi="menlo"/>
          <w:color w:val="000000"/>
          <w:sz w:val="18"/>
        </w:rPr>
        <w:t xml:space="preserve">)</w:t>
        <w:br/>
        <w:t xml:space="preserve">    others_lt40 =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(v &lt; </w:t>
      </w:r>
      <w:r>
        <w:rPr>
          <w:rStyle w:val="VerbatimChar"/>
          <w:rFonts w:eastAsia="menlo" w:cs="menlo" w:ascii="menlo" w:hAnsi="menlo"/>
          <w:color w:val="000000"/>
          <w:sz w:val="18"/>
        </w:rPr>
        <w:t xml:space="preserve">40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k, v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scores.items()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k != </w:t>
      </w:r>
      <w:r>
        <w:rPr>
          <w:rStyle w:val="VerbatimChar"/>
          <w:rFonts w:eastAsia="menlo" w:cs="menlo" w:ascii="menlo" w:hAnsi="menlo"/>
          <w:color w:val="000000"/>
          <w:sz w:val="18"/>
        </w:rPr>
        <w:t xml:space="preserve">'pinghe'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scores.get(</w:t>
      </w:r>
      <w:r>
        <w:rPr>
          <w:rStyle w:val="VerbatimChar"/>
          <w:rFonts w:eastAsia="menlo" w:cs="menlo" w:ascii="menlo" w:hAnsi="menlo"/>
          <w:color w:val="000000"/>
          <w:sz w:val="18"/>
        </w:rPr>
        <w:t xml:space="preserve">'pinghe'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others_lt30:</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'pinghe'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'secondary'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'profile_type'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'balanced'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'scores'</w:t>
      </w:r>
      <w:r>
        <w:rPr>
          <w:rStyle w:val="VerbatimChar"/>
          <w:rFonts w:eastAsia="menlo" w:cs="menlo" w:ascii="menlo" w:hAnsi="menlo"/>
          <w:color w:val="000000"/>
          <w:sz w:val="18"/>
        </w:rPr>
        <w:t xml:space="preserve">: scores}</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k, v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sorted_s: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k == </w:t>
      </w:r>
      <w:r>
        <w:rPr>
          <w:rStyle w:val="VerbatimChar"/>
          <w:rFonts w:eastAsia="menlo" w:cs="menlo" w:ascii="menlo" w:hAnsi="menlo"/>
          <w:color w:val="000000"/>
          <w:sz w:val="18"/>
        </w:rPr>
        <w:t xml:space="preserve">'pinghe'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continue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v &gt;= </w:t>
      </w:r>
      <w:r>
        <w:rPr>
          <w:rStyle w:val="VerbatimChar"/>
          <w:rFonts w:eastAsia="menlo" w:cs="menlo" w:ascii="menlo" w:hAnsi="menlo"/>
          <w:color w:val="000000"/>
          <w:sz w:val="18"/>
        </w:rPr>
        <w:t xml:space="preserve">40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primary </w:t>
      </w:r>
      <w:r>
        <w:rPr>
          <w:rStyle w:val="VerbatimChar"/>
          <w:rFonts w:eastAsia="menlo" w:cs="menlo" w:ascii="menlo" w:hAnsi="menlo"/>
          <w:color w:val="000000"/>
          <w:sz w:val="18"/>
        </w:rPr>
        <w:t xml:space="preserve">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primary = k</w:t>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v &gt;=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primary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secondary </w:t>
      </w:r>
      <w:r>
        <w:rPr>
          <w:rStyle w:val="VerbatimChar"/>
          <w:rFonts w:eastAsia="menlo" w:cs="menlo" w:ascii="menlo" w:hAnsi="menlo"/>
          <w:color w:val="000000"/>
          <w:sz w:val="18"/>
        </w:rPr>
        <w:t xml:space="preserve">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secondary = k; </w:t>
      </w:r>
      <w:r>
        <w:rPr>
          <w:rStyle w:val="VerbatimChar"/>
          <w:rFonts w:eastAsia="menlo" w:cs="menlo" w:ascii="menlo" w:hAnsi="menlo"/>
          <w:color w:val="000000"/>
          <w:sz w:val="18"/>
        </w:rPr>
        <w:t xml:space="preserve">break</w:t>
      </w:r>
      <w:r>
        <w:rPr>
          <w:rStyle w:val="VerbatimChar"/>
          <w:rFonts w:eastAsia="menlo" w:cs="menlo" w:ascii="menlo" w:hAnsi="menlo"/>
          <w:color w:val="000000"/>
          <w:sz w:val="18"/>
        </w:rPr>
        <w:t xml:space="preserve"/>
        <w:br/>
        <w:t xml:space="preserve">    profile_type = (</w:t>
      </w:r>
      <w:r>
        <w:rPr>
          <w:rStyle w:val="VerbatimChar"/>
          <w:rFonts w:eastAsia="menlo" w:cs="menlo" w:ascii="menlo" w:hAnsi="menlo"/>
          <w:color w:val="000000"/>
          <w:sz w:val="18"/>
        </w:rPr>
        <w:t xml:space="preserve">'mixed-dominant'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primary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secondary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'single-dominant'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primary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'basically-balanced'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scores.get(</w:t>
      </w:r>
      <w:r>
        <w:rPr>
          <w:rStyle w:val="VerbatimChar"/>
          <w:rFonts w:eastAsia="menlo" w:cs="menlo" w:ascii="menlo" w:hAnsi="menlo"/>
          <w:color w:val="000000"/>
          <w:sz w:val="18"/>
        </w:rPr>
        <w:t xml:space="preserve">'pinghe'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others_lt40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'indeterminate'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'primary'</w:t>
      </w:r>
      <w:r>
        <w:rPr>
          <w:rStyle w:val="VerbatimChar"/>
          <w:rFonts w:eastAsia="menlo" w:cs="menlo" w:ascii="menlo" w:hAnsi="menlo"/>
          <w:color w:val="000000"/>
          <w:sz w:val="18"/>
        </w:rPr>
        <w:t xml:space="preserve">: primary, </w:t>
      </w:r>
      <w:r>
        <w:rPr>
          <w:rStyle w:val="VerbatimChar"/>
          <w:rFonts w:eastAsia="menlo" w:cs="menlo" w:ascii="menlo" w:hAnsi="menlo"/>
          <w:color w:val="000000"/>
          <w:sz w:val="18"/>
        </w:rPr>
        <w:t xml:space="preserve">'secondary'</w:t>
      </w:r>
      <w:r>
        <w:rPr>
          <w:rStyle w:val="VerbatimChar"/>
          <w:rFonts w:eastAsia="menlo" w:cs="menlo" w:ascii="menlo" w:hAnsi="menlo"/>
          <w:color w:val="000000"/>
          <w:sz w:val="18"/>
        </w:rPr>
        <w:t xml:space="preserve">: secondary,</w:t>
        <w:br/>
        <w:t xml:space="preserve">            </w:t>
      </w:r>
      <w:r>
        <w:rPr>
          <w:rStyle w:val="VerbatimChar"/>
          <w:rFonts w:eastAsia="menlo" w:cs="menlo" w:ascii="menlo" w:hAnsi="menlo"/>
          <w:color w:val="000000"/>
          <w:sz w:val="18"/>
        </w:rPr>
        <w:t xml:space="preserve">'profile_type'</w:t>
      </w:r>
      <w:r>
        <w:rPr>
          <w:rStyle w:val="VerbatimChar"/>
          <w:rFonts w:eastAsia="menlo" w:cs="menlo" w:ascii="menlo" w:hAnsi="menlo"/>
          <w:color w:val="000000"/>
          <w:sz w:val="18"/>
        </w:rPr>
        <w:t xml:space="preserve">: profile_type, </w:t>
      </w:r>
      <w:r>
        <w:rPr>
          <w:rStyle w:val="VerbatimChar"/>
          <w:rFonts w:eastAsia="menlo" w:cs="menlo" w:ascii="menlo" w:hAnsi="menlo"/>
          <w:color w:val="000000"/>
          <w:sz w:val="18"/>
        </w:rPr>
        <w:t xml:space="preserve">'scores'</w:t>
      </w:r>
      <w:r>
        <w:rPr>
          <w:rStyle w:val="VerbatimChar"/>
          <w:rFonts w:eastAsia="menlo" w:cs="menlo" w:ascii="menlo" w:hAnsi="menlo"/>
          <w:color w:val="000000"/>
          <w:sz w:val="18"/>
        </w:rPr>
        <w:t xml:space="preserve">: scores}</w:t>
        <w:br/>
        <w:t xml:space="preserve"/>
      </w:r>
    </w:p>
    <w:p>
      <w:pPr>
        <w:spacing w:line="360" w:before="315" w:after="105" w:lineRule="auto"/>
        <w:ind w:left="-30"/>
        <w:jc w:val="left"/>
      </w:pPr>
      <w:bookmarkStart w:id="26" w:name="bm_7_3_bri_computation"/>
      <w:r>
        <w:rPr>
          <w:rFonts w:eastAsia="source serif 4" w:cs="source serif 4" w:ascii="source serif 4" w:hAnsi="source serif 4"/>
          <w:b/>
          <w:color w:val="000000"/>
          <w:sz w:val="24"/>
        </w:rPr>
        <w:t xml:space="preserve">7.3 BRI Computation</w:t>
      </w:r>
      <w:bookmarkEnd w:id="26"/>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math</w:t>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compute_bri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waist_cm, height_cm</w:t>
      </w:r>
      <w:r>
        <w:rPr>
          <w:rStyle w:val="VerbatimChar"/>
          <w:rFonts w:eastAsia="menlo" w:cs="menlo" w:ascii="menlo" w:hAnsi="menlo"/>
          <w:color w:val="000000"/>
          <w:sz w:val="18"/>
        </w:rPr>
        <w:t xml:space="preserve">):</w:t>
        <w:br/>
        <w:t xml:space="preserve">    wm = waist_cm /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w:br/>
        <w:t xml:space="preserve">    hm = height_cm /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w:br/>
        <w:t xml:space="preserve">    bri = </w:t>
      </w:r>
      <w:r>
        <w:rPr>
          <w:rStyle w:val="VerbatimChar"/>
          <w:rFonts w:eastAsia="menlo" w:cs="menlo" w:ascii="menlo" w:hAnsi="menlo"/>
          <w:color w:val="000000"/>
          <w:sz w:val="18"/>
        </w:rPr>
        <w:t xml:space="preserve">364.2</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365.5</w:t>
      </w:r>
      <w:r>
        <w:rPr>
          <w:rStyle w:val="VerbatimChar"/>
          <w:rFonts w:eastAsia="menlo" w:cs="menlo" w:ascii="menlo" w:hAnsi="menlo"/>
          <w:color w:val="000000"/>
          <w:sz w:val="18"/>
        </w:rPr>
        <w:t xml:space="preserve"> * math.sqrt(</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((wm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 math.pi))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0.5</w:t>
      </w:r>
      <w:r>
        <w:rPr>
          <w:rStyle w:val="VerbatimChar"/>
          <w:rFonts w:eastAsia="menlo" w:cs="menlo" w:ascii="menlo" w:hAnsi="menlo"/>
          <w:color w:val="000000"/>
          <w:sz w:val="18"/>
        </w:rPr>
        <w:t xml:space="preserve"> * hm)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(bri,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27" w:name="bm_7_4_wearable_overlay_logic"/>
      <w:r>
        <w:rPr>
          <w:rFonts w:eastAsia="source serif 4" w:cs="source serif 4" w:ascii="source serif 4" w:hAnsi="source serif 4"/>
          <w:b/>
          <w:color w:val="000000"/>
          <w:sz w:val="24"/>
        </w:rPr>
        <w:t xml:space="preserve">7.4 Wearable Overlay Logic</w:t>
      </w:r>
      <w:bookmarkEnd w:id="27"/>
    </w:p>
    <w:p>
      <w:pPr>
        <w:pStyle w:val="SourceCode"/>
        <w:shd w:val="clear" w:fill="F8F8FA"/>
        <w:spacing w:line="336" w:lineRule="auto"/>
      </w:pPr>
      <w:r>
        <w:rPr>
          <w:rStyle w:val="VerbatimChar"/>
          <w:rFonts w:eastAsia="menlo" w:cs="menlo" w:ascii="menlo" w:hAnsi="menlo"/>
          <w:color w:val="000000"/>
          <w:sz w:val="18"/>
        </w:rPr>
        <w:t xml:space="preserve">OVERLAY_TO_PATTERN_BOOST = {</w:t>
        <w:br/>
        <w:t xml:space="preserve">    </w:t>
      </w:r>
      <w:r>
        <w:rPr>
          <w:rStyle w:val="VerbatimChar"/>
          <w:rFonts w:eastAsia="menlo" w:cs="menlo" w:ascii="menlo" w:hAnsi="menlo"/>
          <w:color w:val="000000"/>
          <w:sz w:val="18"/>
        </w:rPr>
        <w:t xml:space="preserve">'heart_qi_xu_support'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0.12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'PATTERN_13'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0.06</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'qi_stagnation_support'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'yin_xu_sleep_disruption'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'PATTERN_11'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0.08</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'jing_yin_deficit'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0.07</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'yang_cold_tendency'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'PATTERN_12'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0.08</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'heat_accumulation_flag'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0.06</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'qi_xu_recovery_deficit'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'PATTERN_13'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0.08</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'heat_or_stagnation_flag'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0.06</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compute_wearable_overlay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wearable_30d</w:t>
      </w:r>
      <w:r>
        <w:rPr>
          <w:rStyle w:val="VerbatimChar"/>
          <w:rFonts w:eastAsia="menlo" w:cs="menlo" w:ascii="menlo" w:hAnsi="menlo"/>
          <w:color w:val="000000"/>
          <w:sz w:val="18"/>
        </w:rPr>
        <w:t xml:space="preserve">):</w:t>
        <w:br/>
        <w:t xml:space="preserve">    overlays =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wearable_30d.get(</w:t>
      </w:r>
      <w:r>
        <w:rPr>
          <w:rStyle w:val="VerbatimChar"/>
          <w:rFonts w:eastAsia="menlo" w:cs="menlo" w:ascii="menlo" w:hAnsi="menlo"/>
          <w:color w:val="000000"/>
          <w:sz w:val="18"/>
        </w:rPr>
        <w:t xml:space="preserve">'avg_rmssd'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99</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25</w:t>
      </w:r>
      <w:r>
        <w:rPr>
          <w:rStyle w:val="VerbatimChar"/>
          <w:rFonts w:eastAsia="menlo" w:cs="menlo" w:ascii="menlo" w:hAnsi="menlo"/>
          <w:color w:val="000000"/>
          <w:sz w:val="18"/>
        </w:rPr>
        <w:t xml:space="preserve">:</w:t>
        <w:br/>
        <w:t xml:space="preserve">        overlays[</w:t>
      </w:r>
      <w:r>
        <w:rPr>
          <w:rStyle w:val="VerbatimChar"/>
          <w:rFonts w:eastAsia="menlo" w:cs="menlo" w:ascii="menlo" w:hAnsi="menlo"/>
          <w:color w:val="000000"/>
          <w:sz w:val="18"/>
        </w:rPr>
        <w:t xml:space="preserve">'heart_qi_xu_support'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overlays[</w:t>
      </w:r>
      <w:r>
        <w:rPr>
          <w:rStyle w:val="VerbatimChar"/>
          <w:rFonts w:eastAsia="menlo" w:cs="menlo" w:ascii="menlo" w:hAnsi="menlo"/>
          <w:color w:val="000000"/>
          <w:sz w:val="18"/>
        </w:rPr>
        <w:t xml:space="preserve">'qi_stagnation_support'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wearable_30d.get(</w:t>
      </w:r>
      <w:r>
        <w:rPr>
          <w:rStyle w:val="VerbatimChar"/>
          <w:rFonts w:eastAsia="menlo" w:cs="menlo" w:ascii="menlo" w:hAnsi="menlo"/>
          <w:color w:val="000000"/>
          <w:sz w:val="18"/>
        </w:rPr>
        <w:t xml:space="preserve">'avg_resting_hr'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75</w:t>
      </w:r>
      <w:r>
        <w:rPr>
          <w:rStyle w:val="VerbatimChar"/>
          <w:rFonts w:eastAsia="menlo" w:cs="menlo" w:ascii="menlo" w:hAnsi="menlo"/>
          <w:color w:val="000000"/>
          <w:sz w:val="18"/>
        </w:rPr>
        <w:t xml:space="preserve">:</w:t>
        <w:br/>
        <w:t xml:space="preserve">        overlays[</w:t>
      </w:r>
      <w:r>
        <w:rPr>
          <w:rStyle w:val="VerbatimChar"/>
          <w:rFonts w:eastAsia="menlo" w:cs="menlo" w:ascii="menlo" w:hAnsi="menlo"/>
          <w:color w:val="000000"/>
          <w:sz w:val="18"/>
        </w:rPr>
        <w:t xml:space="preserve">'heat_or_stagnation_flag'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wearable_30d.get(</w:t>
      </w:r>
      <w:r>
        <w:rPr>
          <w:rStyle w:val="VerbatimChar"/>
          <w:rFonts w:eastAsia="menlo" w:cs="menlo" w:ascii="menlo" w:hAnsi="menlo"/>
          <w:color w:val="000000"/>
          <w:sz w:val="18"/>
        </w:rPr>
        <w:t xml:space="preserve">'avg_sleep_efficiency'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0.70</w:t>
      </w:r>
      <w:r>
        <w:rPr>
          <w:rStyle w:val="VerbatimChar"/>
          <w:rFonts w:eastAsia="menlo" w:cs="menlo" w:ascii="menlo" w:hAnsi="menlo"/>
          <w:color w:val="000000"/>
          <w:sz w:val="18"/>
        </w:rPr>
        <w:t xml:space="preserve">:</w:t>
        <w:br/>
        <w:t xml:space="preserve">        overlays[</w:t>
      </w:r>
      <w:r>
        <w:rPr>
          <w:rStyle w:val="VerbatimChar"/>
          <w:rFonts w:eastAsia="menlo" w:cs="menlo" w:ascii="menlo" w:hAnsi="menlo"/>
          <w:color w:val="000000"/>
          <w:sz w:val="18"/>
        </w:rPr>
        <w:t xml:space="preserve">'yin_xu_sleep_disruption'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wearable_30d.get(</w:t>
      </w:r>
      <w:r>
        <w:rPr>
          <w:rStyle w:val="VerbatimChar"/>
          <w:rFonts w:eastAsia="menlo" w:cs="menlo" w:ascii="menlo" w:hAnsi="menlo"/>
          <w:color w:val="000000"/>
          <w:sz w:val="18"/>
        </w:rPr>
        <w:t xml:space="preserve">'avg_deep_percent'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0.12</w:t>
      </w:r>
      <w:r>
        <w:rPr>
          <w:rStyle w:val="VerbatimChar"/>
          <w:rFonts w:eastAsia="menlo" w:cs="menlo" w:ascii="menlo" w:hAnsi="menlo"/>
          <w:color w:val="000000"/>
          <w:sz w:val="18"/>
        </w:rPr>
        <w:t xml:space="preserve">:</w:t>
        <w:br/>
        <w:t xml:space="preserve">        overlays[</w:t>
      </w:r>
      <w:r>
        <w:rPr>
          <w:rStyle w:val="VerbatimChar"/>
          <w:rFonts w:eastAsia="menlo" w:cs="menlo" w:ascii="menlo" w:hAnsi="menlo"/>
          <w:color w:val="000000"/>
          <w:sz w:val="18"/>
        </w:rPr>
        <w:t xml:space="preserve">'jing_yin_deficit'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wearable_30d.get(</w:t>
      </w:r>
      <w:r>
        <w:rPr>
          <w:rStyle w:val="VerbatimChar"/>
          <w:rFonts w:eastAsia="menlo" w:cs="menlo" w:ascii="menlo" w:hAnsi="menlo"/>
          <w:color w:val="000000"/>
          <w:sz w:val="18"/>
        </w:rPr>
        <w:t xml:space="preserve">'avg_temperature_deviation'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0.5</w:t>
      </w:r>
      <w:r>
        <w:rPr>
          <w:rStyle w:val="VerbatimChar"/>
          <w:rFonts w:eastAsia="menlo" w:cs="menlo" w:ascii="menlo" w:hAnsi="menlo"/>
          <w:color w:val="000000"/>
          <w:sz w:val="18"/>
        </w:rPr>
        <w:t xml:space="preserve">:</w:t>
        <w:br/>
        <w:t xml:space="preserve">        overlays[</w:t>
      </w:r>
      <w:r>
        <w:rPr>
          <w:rStyle w:val="VerbatimChar"/>
          <w:rFonts w:eastAsia="menlo" w:cs="menlo" w:ascii="menlo" w:hAnsi="menlo"/>
          <w:color w:val="000000"/>
          <w:sz w:val="18"/>
        </w:rPr>
        <w:t xml:space="preserve">'heat_accumulation_flag'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wearable_30d.get(</w:t>
      </w:r>
      <w:r>
        <w:rPr>
          <w:rStyle w:val="VerbatimChar"/>
          <w:rFonts w:eastAsia="menlo" w:cs="menlo" w:ascii="menlo" w:hAnsi="menlo"/>
          <w:color w:val="000000"/>
          <w:sz w:val="18"/>
        </w:rPr>
        <w:t xml:space="preserve">'avg_temperature_deviation'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0.3</w:t>
      </w:r>
      <w:r>
        <w:rPr>
          <w:rStyle w:val="VerbatimChar"/>
          <w:rFonts w:eastAsia="menlo" w:cs="menlo" w:ascii="menlo" w:hAnsi="menlo"/>
          <w:color w:val="000000"/>
          <w:sz w:val="18"/>
        </w:rPr>
        <w:t xml:space="preserve">:</w:t>
        <w:br/>
        <w:t xml:space="preserve">        overlays[</w:t>
      </w:r>
      <w:r>
        <w:rPr>
          <w:rStyle w:val="VerbatimChar"/>
          <w:rFonts w:eastAsia="menlo" w:cs="menlo" w:ascii="menlo" w:hAnsi="menlo"/>
          <w:color w:val="000000"/>
          <w:sz w:val="18"/>
        </w:rPr>
        <w:t xml:space="preserve">'yang_cold_tendency'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wearable_30d.get(</w:t>
      </w:r>
      <w:r>
        <w:rPr>
          <w:rStyle w:val="VerbatimChar"/>
          <w:rFonts w:eastAsia="menlo" w:cs="menlo" w:ascii="menlo" w:hAnsi="menlo"/>
          <w:color w:val="000000"/>
          <w:sz w:val="18"/>
        </w:rPr>
        <w:t xml:space="preserve">'avg_readiness_score'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99</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55</w:t>
      </w:r>
      <w:r>
        <w:rPr>
          <w:rStyle w:val="VerbatimChar"/>
          <w:rFonts w:eastAsia="menlo" w:cs="menlo" w:ascii="menlo" w:hAnsi="menlo"/>
          <w:color w:val="000000"/>
          <w:sz w:val="18"/>
        </w:rPr>
        <w:t xml:space="preserve">:</w:t>
        <w:br/>
        <w:t xml:space="preserve">        overlays[</w:t>
      </w:r>
      <w:r>
        <w:rPr>
          <w:rStyle w:val="VerbatimChar"/>
          <w:rFonts w:eastAsia="menlo" w:cs="menlo" w:ascii="menlo" w:hAnsi="menlo"/>
          <w:color w:val="000000"/>
          <w:sz w:val="18"/>
        </w:rPr>
        <w:t xml:space="preserve">'qi_xu_recovery_deficit'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overlays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apply_overlay_to_confidence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base_confidence, overlays</w:t>
      </w:r>
      <w:r>
        <w:rPr>
          <w:rStyle w:val="VerbatimChar"/>
          <w:rFonts w:eastAsia="menlo" w:cs="menlo" w:ascii="menlo" w:hAnsi="menlo"/>
          <w:color w:val="000000"/>
          <w:sz w:val="18"/>
        </w:rPr>
        <w:t xml:space="preserve">):</w:t>
        <w:br/>
        <w:t xml:space="preserve">    result = </w:t>
      </w:r>
      <w:r>
        <w:rPr>
          <w:rStyle w:val="VerbatimChar"/>
          <w:rFonts w:eastAsia="menlo" w:cs="menlo" w:ascii="menlo" w:hAnsi="menlo"/>
          <w:color w:val="000000"/>
          <w:sz w:val="18"/>
        </w:rPr>
        <w:t xml:space="preserve">dict</w:t>
      </w:r>
      <w:r>
        <w:rPr>
          <w:rStyle w:val="VerbatimChar"/>
          <w:rFonts w:eastAsia="menlo" w:cs="menlo" w:ascii="menlo" w:hAnsi="menlo"/>
          <w:color w:val="000000"/>
          <w:sz w:val="18"/>
        </w:rPr>
        <w:t xml:space="preserve">(base_confidence)</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key, patterns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OVERLAY_TO_PATTERN_BOOST.items():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overlays.get(key):</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pid, boost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patterns.items():</w:t>
        <w:br/>
        <w:t xml:space="preserve">                result[pid] =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result.get(pid,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boost),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result</w:t>
        <w:br/>
        <w:t xml:space="preserve"/>
      </w:r>
    </w:p>
    <w:p>
      <w:pPr>
        <w:spacing w:line="360" w:before="315" w:after="105" w:lineRule="auto"/>
        <w:ind w:left="-30"/>
        <w:jc w:val="left"/>
      </w:pPr>
      <w:bookmarkStart w:id="28" w:name="bm_7_5_confidence_model"/>
      <w:r>
        <w:rPr>
          <w:rFonts w:eastAsia="source serif 4" w:cs="source serif 4" w:ascii="source serif 4" w:hAnsi="source serif 4"/>
          <w:b/>
          <w:color w:val="000000"/>
          <w:sz w:val="24"/>
        </w:rPr>
        <w:t xml:space="preserve">7.5 Confidence Model</w:t>
      </w:r>
      <w:bookmarkEnd w:id="28"/>
    </w:p>
    <w:p>
      <w:pPr>
        <w:pStyle w:val="SourceCode"/>
        <w:shd w:val="clear" w:fill="F8F8FA"/>
        <w:spacing w:line="336" w:lineRule="auto"/>
      </w:pPr>
      <w:r>
        <w:rPr>
          <w:rStyle w:val="VerbatimChar"/>
          <w:rFonts w:eastAsia="menlo" w:cs="menlo" w:ascii="menlo" w:hAnsi="menlo"/>
          <w:color w:val="000000"/>
          <w:sz w:val="18"/>
        </w:rPr>
        <w:t xml:space="preserve">SOURCE_WEIGHTS = {</w:t>
      </w:r>
      <w:r>
        <w:rPr>
          <w:rStyle w:val="VerbatimChar"/>
          <w:rFonts w:eastAsia="menlo" w:cs="menlo" w:ascii="menlo" w:hAnsi="menlo"/>
          <w:color w:val="000000"/>
          <w:sz w:val="18"/>
        </w:rPr>
        <w:t xml:space="preserve">'qrma'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'gdv'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0.25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'ccmq'</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0.20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'anthropometric'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'wearable_30d'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'symptoms'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compute_confidence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inputs_present, overlays, data_recency_days</w:t>
      </w:r>
      <w:r>
        <w:rPr>
          <w:rStyle w:val="VerbatimChar"/>
          <w:rFonts w:eastAsia="menlo" w:cs="menlo" w:ascii="menlo" w:hAnsi="menlo"/>
          <w:color w:val="000000"/>
          <w:sz w:val="18"/>
        </w:rPr>
        <w:t xml:space="preserve">):</w:t>
        <w:br/>
        <w:t xml:space="preserve">    base =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(SOURCE_WEIGHTS.get(s,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inputs_present)</w:t>
        <w:br/>
        <w:t xml:space="preserve">    reasons = [</w:t>
      </w:r>
      <w:r>
        <w:rPr>
          <w:rStyle w:val="VerbatimChar"/>
          <w:rFonts w:eastAsia="menlo" w:cs="menlo" w:ascii="menlo" w:hAnsi="menlo"/>
          <w:color w:val="000000"/>
          <w:sz w:val="18"/>
        </w:rPr>
        <w:t xml:space="preserve">f'Supported by </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inputs_present]</w:t>
        <w:br/>
        <w:t xml:space="preserve">    penalties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source, days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data_recency_days.items():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days &gt; </w:t>
      </w:r>
      <w:r>
        <w:rPr>
          <w:rStyle w:val="VerbatimChar"/>
          <w:rFonts w:eastAsia="menlo" w:cs="menlo" w:ascii="menlo" w:hAnsi="menlo"/>
          <w:color w:val="000000"/>
          <w:sz w:val="18"/>
        </w:rPr>
        <w:t xml:space="preserve">90</w:t>
      </w:r>
      <w:r>
        <w:rPr>
          <w:rStyle w:val="VerbatimChar"/>
          <w:rFonts w:eastAsia="menlo" w:cs="menlo" w:ascii="menlo" w:hAnsi="menlo"/>
          <w:color w:val="000000"/>
          <w:sz w:val="18"/>
        </w:rPr>
        <w:t xml:space="preserve">: base -=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 penalties.append(</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data is </w:t>
      </w:r>
      <w:r>
        <w:rPr>
          <w:rStyle w:val="VerbatimChar"/>
          <w:rFonts w:eastAsia="menlo" w:cs="menlo" w:ascii="menlo" w:hAnsi="menlo"/>
          <w:color w:val="000000"/>
          <w:sz w:val="18"/>
        </w:rPr>
        <w:t xml:space="preserve">{days}</w:t>
      </w:r>
      <w:r>
        <w:rPr>
          <w:rStyle w:val="VerbatimChar"/>
          <w:rFonts w:eastAsia="menlo" w:cs="menlo" w:ascii="menlo" w:hAnsi="menlo"/>
          <w:color w:val="000000"/>
          <w:sz w:val="18"/>
        </w:rPr>
        <w:t xml:space="preserve"> days old'</w:t>
      </w:r>
      <w:r>
        <w:rPr>
          <w:rStyle w:val="VerbatimChar"/>
          <w:rFonts w:eastAsia="menlo" w:cs="menlo" w:ascii="menlo" w:hAnsi="menlo"/>
          <w:color w:val="000000"/>
          <w:sz w:val="18"/>
        </w:rPr>
        <w:t xml:space="preserve">)</w:t>
        <w:br/>
        <w:t xml:space="preserve">    contradictions = overlays.get(</w:t>
      </w:r>
      <w:r>
        <w:rPr>
          <w:rStyle w:val="VerbatimChar"/>
          <w:rFonts w:eastAsia="menlo" w:cs="menlo" w:ascii="menlo" w:hAnsi="menlo"/>
          <w:color w:val="000000"/>
          <w:sz w:val="18"/>
        </w:rPr>
        <w:t xml:space="preserve">'contradictions'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contradictions:</w:t>
        <w:br/>
        <w:t xml:space="preserve">        base -= </w:t>
      </w:r>
      <w:r>
        <w:rPr>
          <w:rStyle w:val="VerbatimChar"/>
          <w:rFonts w:eastAsia="menlo" w:cs="menlo" w:ascii="menlo" w:hAnsi="menlo"/>
          <w:color w:val="000000"/>
          <w:sz w:val="18"/>
        </w:rPr>
        <w:t xml:space="preserve">0.10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(contradictions),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penalties.append(</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len(contradictions)}</w:t>
      </w:r>
      <w:r>
        <w:rPr>
          <w:rStyle w:val="VerbatimChar"/>
          <w:rFonts w:eastAsia="menlo" w:cs="menlo" w:ascii="menlo" w:hAnsi="menlo"/>
          <w:color w:val="000000"/>
          <w:sz w:val="18"/>
        </w:rPr>
        <w:t xml:space="preserve"> contradiction(s) detected'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'confidence'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base)),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'reasons'</w:t>
      </w:r>
      <w:r>
        <w:rPr>
          <w:rStyle w:val="VerbatimChar"/>
          <w:rFonts w:eastAsia="menlo" w:cs="menlo" w:ascii="menlo" w:hAnsi="menlo"/>
          <w:color w:val="000000"/>
          <w:sz w:val="18"/>
        </w:rPr>
        <w:t xml:space="preserve">: reasons, </w:t>
      </w:r>
      <w:r>
        <w:rPr>
          <w:rStyle w:val="VerbatimChar"/>
          <w:rFonts w:eastAsia="menlo" w:cs="menlo" w:ascii="menlo" w:hAnsi="menlo"/>
          <w:color w:val="000000"/>
          <w:sz w:val="18"/>
        </w:rPr>
        <w:t xml:space="preserve">'penalties'</w:t>
      </w:r>
      <w:r>
        <w:rPr>
          <w:rStyle w:val="VerbatimChar"/>
          <w:rFonts w:eastAsia="menlo" w:cs="menlo" w:ascii="menlo" w:hAnsi="menlo"/>
          <w:color w:val="000000"/>
          <w:sz w:val="18"/>
        </w:rPr>
        <w:t xml:space="preserve">: penalties,</w:t>
        <w:br/>
        <w:t xml:space="preserve">        </w:t>
      </w:r>
      <w:r>
        <w:rPr>
          <w:rStyle w:val="VerbatimChar"/>
          <w:rFonts w:eastAsia="menlo" w:cs="menlo" w:ascii="menlo" w:hAnsi="menlo"/>
          <w:color w:val="000000"/>
          <w:sz w:val="18"/>
        </w:rPr>
        <w:t xml:space="preserve">'data_completeness_score'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(inputs_present) /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(SOURCE_WEIGHTS),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t>
        <w:br/>
        <w:t xml:space="preserve"/>
      </w:r>
    </w:p>
    <w:p>
      <w:pPr>
        <w:spacing w:line="360" w:before="315" w:after="105" w:lineRule="auto"/>
        <w:ind w:left="-30"/>
        <w:jc w:val="left"/>
      </w:pPr>
      <w:bookmarkStart w:id="29" w:name="bm_7_6_contradiction_detection"/>
      <w:r>
        <w:rPr>
          <w:rFonts w:eastAsia="source serif 4" w:cs="source serif 4" w:ascii="source serif 4" w:hAnsi="source serif 4"/>
          <w:b/>
          <w:color w:val="000000"/>
          <w:sz w:val="24"/>
        </w:rPr>
        <w:t xml:space="preserve">7.6 Contradiction Detection</w:t>
      </w:r>
      <w:bookmarkEnd w:id="29"/>
    </w:p>
    <w:p>
      <w:pPr>
        <w:pStyle w:val="SourceCode"/>
        <w:shd w:val="clear" w:fill="F8F8FA"/>
        <w:spacing w:line="336" w:lineRule="auto"/>
      </w:pP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detect_contradictions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constitution, anthropometric, wearable</w:t>
      </w:r>
      <w:r>
        <w:rPr>
          <w:rStyle w:val="VerbatimChar"/>
          <w:rFonts w:eastAsia="menlo" w:cs="menlo" w:ascii="menlo" w:hAnsi="menlo"/>
          <w:color w:val="000000"/>
          <w:sz w:val="18"/>
        </w:rPr>
        <w:t xml:space="preserve">):</w:t>
        <w:br/>
        <w:t xml:space="preserve">    contradictions =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(anthropometric.get(</w:t>
      </w:r>
      <w:r>
        <w:rPr>
          <w:rStyle w:val="VerbatimChar"/>
          <w:rFonts w:eastAsia="menlo" w:cs="menlo" w:ascii="menlo" w:hAnsi="menlo"/>
          <w:color w:val="000000"/>
          <w:sz w:val="18"/>
        </w:rPr>
        <w:t xml:space="preserve">'body_fat_percent'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w:br/>
        <w:t xml:space="preserve">            constitution[</w:t>
      </w:r>
      <w:r>
        <w:rPr>
          <w:rStyle w:val="VerbatimChar"/>
          <w:rFonts w:eastAsia="menlo" w:cs="menlo" w:ascii="menlo" w:hAnsi="menlo"/>
          <w:color w:val="000000"/>
          <w:sz w:val="18"/>
        </w:rPr>
        <w:t xml:space="preserve">'scores'</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'tanshi'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w:t>
        <w:br/>
        <w:t xml:space="preserve">        contradictions.append({</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'anthropometric_constitution_mismatch'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'Low body fat but high Phlegm-Damp score. Consider mixed pattern or Qi deficiency-driven Phlegm.'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(wearable.get(</w:t>
      </w:r>
      <w:r>
        <w:rPr>
          <w:rStyle w:val="VerbatimChar"/>
          <w:rFonts w:eastAsia="menlo" w:cs="menlo" w:ascii="menlo" w:hAnsi="menlo"/>
          <w:color w:val="000000"/>
          <w:sz w:val="18"/>
        </w:rPr>
        <w:t xml:space="preserve">'avg_rmssd'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constitution[</w:t>
      </w:r>
      <w:r>
        <w:rPr>
          <w:rStyle w:val="VerbatimChar"/>
          <w:rFonts w:eastAsia="menlo" w:cs="menlo" w:ascii="menlo" w:hAnsi="menlo"/>
          <w:color w:val="000000"/>
          <w:sz w:val="18"/>
        </w:rPr>
        <w:t xml:space="preserve">'scores'</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'qixu'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65</w:t>
      </w:r>
      <w:r>
        <w:rPr>
          <w:rStyle w:val="VerbatimChar"/>
          <w:rFonts w:eastAsia="menlo" w:cs="menlo" w:ascii="menlo" w:hAnsi="menlo"/>
          <w:color w:val="000000"/>
          <w:sz w:val="18"/>
        </w:rPr>
        <w:t xml:space="preserve">):</w:t>
        <w:br/>
        <w:t xml:space="preserve">        contradictions.append({</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'hrv_qi_xu_divergence'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'Good HRV but high Qi Deficiency score. Consider acute vs chronic state or compensatory response.'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(constitution[</w:t>
      </w:r>
      <w:r>
        <w:rPr>
          <w:rStyle w:val="VerbatimChar"/>
          <w:rFonts w:eastAsia="menlo" w:cs="menlo" w:ascii="menlo" w:hAnsi="menlo"/>
          <w:color w:val="000000"/>
          <w:sz w:val="18"/>
        </w:rPr>
        <w:t xml:space="preserve">'scores'</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'yangxu'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w:br/>
        <w:t xml:space="preserve">            wearable.get(</w:t>
      </w:r>
      <w:r>
        <w:rPr>
          <w:rStyle w:val="VerbatimChar"/>
          <w:rFonts w:eastAsia="menlo" w:cs="menlo" w:ascii="menlo" w:hAnsi="menlo"/>
          <w:color w:val="000000"/>
          <w:sz w:val="18"/>
        </w:rPr>
        <w:t xml:space="preserve">'avg_temperature_deviation'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0.4</w:t>
      </w:r>
      <w:r>
        <w:rPr>
          <w:rStyle w:val="VerbatimChar"/>
          <w:rFonts w:eastAsia="menlo" w:cs="menlo" w:ascii="menlo" w:hAnsi="menlo"/>
          <w:color w:val="000000"/>
          <w:sz w:val="18"/>
        </w:rPr>
        <w:t xml:space="preserve">):</w:t>
        <w:br/>
        <w:t xml:space="preserve">        contradictions.append({</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'thermal_pattern_contradiction'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'Yang Deficiency expected cold presentation but elevated wearable temp. Investigate inflammatory overlay.'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contradictions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part_viii_api_integration_and_ing_ec2981"/>
      <w:r>
        <w:rPr>
          <w:rFonts w:eastAsia="source serif 4" w:cs="source serif 4" w:ascii="source serif 4" w:hAnsi="source serif 4"/>
          <w:b/>
          <w:color w:val="000000"/>
          <w:sz w:val="24"/>
        </w:rPr>
        <w:t xml:space="preserve">Part VIII — API Integration and Ingestion Pipeline</w:t>
      </w:r>
      <w:bookmarkEnd w:id="30"/>
    </w:p>
    <w:p>
      <w:pPr>
        <w:spacing w:line="360" w:before="315" w:after="105" w:lineRule="auto"/>
        <w:ind w:left="-30"/>
        <w:jc w:val="left"/>
      </w:pPr>
      <w:bookmarkStart w:id="31" w:name="bm_8_1_intake_endpoints"/>
      <w:r>
        <w:rPr>
          <w:rFonts w:eastAsia="source serif 4" w:cs="source serif 4" w:ascii="source serif 4" w:hAnsi="source serif 4"/>
          <w:b/>
          <w:color w:val="000000"/>
          <w:sz w:val="24"/>
        </w:rPr>
        <w:t xml:space="preserve">8.1 Intake Endpoints</w:t>
      </w:r>
      <w:bookmarkEnd w:id="31"/>
    </w:p>
    <w:p>
      <w:pPr>
        <w:pStyle w:val="SourceCode"/>
        <w:shd w:val="clear" w:fill="F8F8FA"/>
        <w:spacing w:line="336" w:lineRule="auto"/>
      </w:pPr>
      <w:r>
        <w:rPr>
          <w:rStyle w:val="VerbatimChar"/>
          <w:rFonts w:eastAsia="menlo" w:cs="menlo" w:ascii="menlo" w:hAnsi="menlo"/>
          <w:color w:val="000000"/>
          <w:sz w:val="18"/>
        </w:rPr>
        <w:t xml:space="preserve">POST /v1/intake/constitution/ccmq</w:t>
        <w:br/>
        <w:t xml:space="preserve">  Body: { client_id, ccmq_responses: [54 items], ccmq_version, assessed_at }</w:t>
        <w:br/>
        <w:t xml:space="preserve"/>
        <w:br/>
        <w:t xml:space="preserve">POST /v1/intake/anthropometrics</w:t>
        <w:br/>
        <w:t xml:space="preserve">  Body: { client_id, measured_at, method, height_cm, weight_kg, waist_cm, ... }</w:t>
        <w:br/>
        <w:t xml:space="preserve"/>
        <w:br/>
        <w:t xml:space="preserve">POST /v1/intake/wearables/oura</w:t>
        <w:br/>
        <w:t xml:space="preserve">  Body: { client_id, record_date, source_device: 'oura4', payload: {...} }</w:t>
        <w:br/>
        <w:t xml:space="preserve"/>
        <w:br/>
        <w:t xml:space="preserve">POST /v1/intake/wearables/polar</w:t>
        <w:br/>
        <w:t xml:space="preserve">  Body: { client_id, record_date, source_device: 'polarh10',</w:t>
        <w:br/>
        <w:t xml:space="preserve">          session_type: 'morning_5min_supine', payload: {...} }</w:t>
        <w:br/>
        <w:t xml:space="preserve"/>
        <w:br/>
        <w:t xml:space="preserve">POST /v1/intake/wearables/muse</w:t>
        <w:br/>
        <w:t xml:space="preserve">  Body: { client_id, session_date, source_device: 'muse2',</w:t>
        <w:br/>
        <w:t xml:space="preserve">          session_type: 'meditation', duration_min, payload: {...} }</w:t>
        <w:br/>
        <w:t xml:space="preserve"/>
      </w:r>
    </w:p>
    <w:p>
      <w:pPr>
        <w:spacing w:line="360" w:before="315" w:after="105" w:lineRule="auto"/>
        <w:ind w:left="-30"/>
        <w:jc w:val="left"/>
      </w:pPr>
      <w:bookmarkStart w:id="32" w:name="bm_8_2_processing_pipeline_sequence"/>
      <w:r>
        <w:rPr>
          <w:rFonts w:eastAsia="source serif 4" w:cs="source serif 4" w:ascii="source serif 4" w:hAnsi="source serif 4"/>
          <w:b/>
          <w:color w:val="000000"/>
          <w:sz w:val="24"/>
        </w:rPr>
        <w:t xml:space="preserve">8.2 Processing Pipeline Sequence</w:t>
      </w:r>
      <w:bookmarkEnd w:id="32"/>
    </w:p>
    <w:p>
      <w:pPr>
        <w:pStyle w:val="SourceCode"/>
        <w:shd w:val="clear" w:fill="F8F8FA"/>
        <w:spacing w:line="336" w:lineRule="auto"/>
      </w:pPr>
      <w:r>
        <w:rPr>
          <w:rStyle w:val="VerbatimChar"/>
          <w:rFonts w:eastAsia="menlo" w:cs="menlo" w:ascii="menlo" w:hAnsi="menlo"/>
          <w:color w:val="000000"/>
          <w:sz w:val="18"/>
        </w:rPr>
        <w:t xml:space="preserve">1.  Data arrives at intake endpoint</w:t>
        <w:br/>
        <w:t xml:space="preserve">2.  Schema validation</w:t>
        <w:br/>
        <w:t xml:space="preserve">3.  Unit normalisation (cm, kg, ms, Celsius, UTC timestamps)</w:t>
        <w:br/>
        <w:t xml:space="preserve">4.  Raw payload stored with source tag and version</w:t>
        <w:br/>
        <w:t xml:space="preserve">5.  Derived metrics computed (BMI, BRI, WHtR, CCMQ converted scores, HRV trends)</w:t>
        <w:br/>
        <w:t xml:space="preserve">6.  Constitution scoring service triggered</w:t>
        <w:br/>
        <w:t xml:space="preserve">7.  Wearable overlay service triggered (requires &gt;= 14 days baseline)</w:t>
        <w:br/>
        <w:t xml:space="preserve">8.  Active pattern engine run (QRMA + GDV + modifiers)</w:t>
        <w:br/>
        <w:t xml:space="preserve">9.  Confidence model computed</w:t>
        <w:br/>
        <w:t xml:space="preserve">10. Contradiction detection run</w:t>
        <w:br/>
        <w:t xml:space="preserve">11. Versioned result object saved</w:t>
        <w:br/>
        <w:t xml:space="preserve">12. Narrative generation triggered (dual: practitioner + client)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part_ix_output_templates"/>
      <w:r>
        <w:rPr>
          <w:rFonts w:eastAsia="source serif 4" w:cs="source serif 4" w:ascii="source serif 4" w:hAnsi="source serif 4"/>
          <w:b/>
          <w:color w:val="000000"/>
          <w:sz w:val="24"/>
        </w:rPr>
        <w:t xml:space="preserve">Part IX — Output Templates</w:t>
      </w:r>
      <w:bookmarkEnd w:id="33"/>
    </w:p>
    <w:p>
      <w:pPr>
        <w:spacing w:line="360" w:before="315" w:after="105" w:lineRule="auto"/>
        <w:ind w:left="-30"/>
        <w:jc w:val="left"/>
      </w:pPr>
      <w:bookmarkStart w:id="34" w:name="bm_9_1_practitioner_facing_result_object"/>
      <w:r>
        <w:rPr>
          <w:rFonts w:eastAsia="source serif 4" w:cs="source serif 4" w:ascii="source serif 4" w:hAnsi="source serif 4"/>
          <w:b/>
          <w:color w:val="000000"/>
          <w:sz w:val="24"/>
        </w:rPr>
        <w:t xml:space="preserve">9.1 Practitioner-Facing Result Object</w:t>
      </w:r>
      <w:bookmarkEnd w:id="34"/>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"client_id"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"xxx"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"scan_id"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"yyy"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"engine_version"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"constitution_model_version"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"wearable_mapping_version"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"0.3.0"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"generated_at"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"2026-06-04T09:27:00+07:00"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"constitution"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"scores"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"pinghe"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"qixu"</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74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"yangxu"</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"yinxu"</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"tanshi"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"shire"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"xueyu"</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"qiyu"</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"tebing"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"primary"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"qixu"</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"secondary"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"tanshi"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"profile_type"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"mixed-dominant"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"confidence"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0.86</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"active_patterns"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"pattern_id"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"PATTERN_03"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"Spleen Qi Deficiency with Damp Accumulation"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"base_score"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0.71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"wearable_adjusted_score"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0.79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"source_breakdown"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"qrma"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0.42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"gdv"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0.21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"wearables"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"anthropometric"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"wearable_overlays"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"qi_xu_recovery_deficit"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"yin_xu_sleep_disruption"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"contradictions"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"confidence"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"overall"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0.84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"reasons"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"QRMA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"GDV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"CCMQ"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"30-day wearable trends"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"penalties"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"data_completeness_score"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0.83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5" w:name="bm_9_2_client_facing_narrative_template"/>
      <w:r>
        <w:rPr>
          <w:rFonts w:eastAsia="source serif 4" w:cs="source serif 4" w:ascii="source serif 4" w:hAnsi="source serif 4"/>
          <w:b/>
          <w:color w:val="000000"/>
          <w:sz w:val="24"/>
        </w:rPr>
        <w:t xml:space="preserve">9.2 Client-Facing Narrative Template</w:t>
      </w:r>
      <w:bookmarkEnd w:id="35"/>
    </w:p>
    <w:p>
      <w:pPr>
        <w:pStyle w:val="SourceCode"/>
        <w:shd w:val="clear" w:fill="F8F8FA"/>
        <w:spacing w:line="336" w:lineRule="auto"/>
      </w:pPr>
      <w:r>
        <w:rPr>
          <w:rStyle w:val="VerbatimChar"/>
          <w:rFonts w:eastAsia="menlo" w:cs="menlo" w:ascii="menlo" w:hAnsi="menlo"/>
          <w:color w:val="000000"/>
          <w:sz w:val="18"/>
        </w:rPr>
        <w:t xml:space="preserve">Based on all available information, your current health pattern shows a tendency</w:t>
        <w:br/>
        <w:t xml:space="preserve">toward [PRIMARY CONSTITUTION] as your baseline nature, with signs of [ACTIVE PATTERN]</w:t>
        <w:br/>
        <w:t xml:space="preserve">that are currently most active.</w:t>
        <w:br/>
        <w:t xml:space="preserve"/>
        <w:br/>
        <w:t xml:space="preserve">This does not mean you are ill — it means your body is showing a functional pattern</w:t>
        <w:br/>
        <w:t xml:space="preserve">that, with the right lifestyle adjustments, can be brought into better balance.</w:t>
        <w:br/>
        <w:t xml:space="preserve"/>
        <w:br/>
        <w:t xml:space="preserve">Key observations:</w:t>
        <w:br/>
        <w:t xml:space="preserve">- [Educational interpretation of primary pattern — plain language]</w:t>
        <w:br/>
        <w:t xml:space="preserve">- [Educational interpretation of active overlay — plain language]</w:t>
        <w:br/>
        <w:t xml:space="preserve">- [Wearable context — e.g. 'Your sleep and recovery over 30 days suggests...']</w:t>
        <w:br/>
        <w:t xml:space="preserve"/>
        <w:br/>
        <w:t xml:space="preserve">Practical guidance:</w:t>
        <w:br/>
        <w:t xml:space="preserve">- [1-2 dietary recommendations aligned with pattern]</w:t>
        <w:br/>
        <w:t xml:space="preserve">- [1 sleep/rest recommendation]</w:t>
        <w:br/>
        <w:t xml:space="preserve">- [1 activity recommendation]</w:t>
        <w:br/>
        <w:t xml:space="preserve">- [1 emotional/stress management suggestion]</w:t>
        <w:br/>
        <w:t xml:space="preserve"/>
        <w:br/>
        <w:t xml:space="preserve">Important: This is wellness education, not a medical diagnosis. If you are experiencing</w:t>
        <w:br/>
        <w:t xml:space="preserve">severe or worsening symptoms, please consult a licensed healthcare practitioner.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part_x_calibration_and_onboarding_9b6483"/>
      <w:r>
        <w:rPr>
          <w:rFonts w:eastAsia="source serif 4" w:cs="source serif 4" w:ascii="source serif 4" w:hAnsi="source serif 4"/>
          <w:b/>
          <w:color w:val="000000"/>
          <w:sz w:val="24"/>
        </w:rPr>
        <w:t xml:space="preserve">Part X — Calibration and Onboarding Protocol</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Complete CCMQ (54 items)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Complete anthropometric measurements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Begin wearing Oura continuously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 1–14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Oura baseline calibration (passive data collection)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 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Polar H10 morning 5-min supine HRV session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 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wearable-augmented report generated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 30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longitudinal trend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 90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Constitution reassessment option (CCMQ repeat)</w:t>
            </w:r>
          </w:p>
        </w:tc>
      </w:tr>
    </w:tbl>
    <w:p>
      <w:pPr>
        <w:spacing w:lineRule="auto"/>
      </w:pPr>
    </w:p>
    <w:p>
      <w:pPr>
        <w:spacing w:line="360" w:after="210" w:lineRule="auto"/>
      </w:pPr>
      <w:r>
        <w:rPr>
          <w:rFonts w:eastAsia="source serif 4" w:cs="source serif 4" w:ascii="source serif 4" w:hAnsi="source serif 4"/>
          <w:color w:val="000000"/>
        </w:rPr>
        <w:t xml:space="preserve">Published guidance confirms approximately </w:t>
      </w:r>
      <w:r>
        <w:rPr>
          <w:rFonts w:eastAsia="source serif 4" w:cs="source serif 4" w:ascii="source serif 4" w:hAnsi="source serif 4"/>
          <w:b/>
          <w:color w:val="000000"/>
        </w:rPr>
        <w:t xml:space="preserve">2 weeks</w:t>
      </w:r>
      <w:r>
        <w:rPr>
          <w:rFonts w:eastAsia="source serif 4" w:cs="source serif 4" w:ascii="source serif 4" w:hAnsi="source serif 4"/>
          <w:color w:val="000000"/>
        </w:rPr>
        <w:t xml:space="preserve"> of wearable calibration are needed before individual daily scores become individually interpretable for clinical trend-tracking.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part_xi_product_development_roadmap"/>
      <w:r>
        <w:rPr>
          <w:rFonts w:eastAsia="source serif 4" w:cs="source serif 4" w:ascii="source serif 4" w:hAnsi="source serif 4"/>
          <w:b/>
          <w:color w:val="000000"/>
          <w:sz w:val="24"/>
        </w:rPr>
        <w:t xml:space="preserve">Part XI — Product Development Roadmap</w:t>
      </w:r>
      <w:bookmarkEnd w:id="37"/>
    </w:p>
    <w:p>
      <w:pPr>
        <w:spacing w:line="360" w:before="315" w:after="105" w:lineRule="auto"/>
        <w:ind w:left="-30"/>
        <w:jc w:val="left"/>
      </w:pPr>
      <w:bookmarkStart w:id="38" w:name="phase_1_foundation_extension_immediate"/>
      <w:r>
        <w:rPr>
          <w:rFonts w:eastAsia="source serif 4" w:cs="source serif 4" w:ascii="source serif 4" w:hAnsi="source serif 4"/>
          <w:b/>
          <w:color w:val="000000"/>
          <w:sz w:val="24"/>
        </w:rPr>
        <w:t xml:space="preserve">Phase 1 — Foundation Extension (Immediate)</w:t>
      </w:r>
      <w:bookmarkEnd w:id="38"/>
    </w:p>
    <w:p>
      <w:pPr>
        <w:numPr>
          <w:ilvl w:val="0"/>
          <w:numId w:val="11"/>
        </w:numPr>
        <w:spacing w:line="360" w:before="105" w:after="105" w:lineRule="auto"/>
      </w:pPr>
      <w:r>
        <w:rPr>
          <w:rFonts w:eastAsia="source serif 4" w:cs="source serif 4" w:ascii="source serif 4" w:hAnsi="source serif 4"/>
          <w:color w:val="000000"/>
          <w:sz w:val="21"/>
        </w:rPr>
        <w:t xml:space="preserve">Deploy CCMQ as structured 54-item questionnaire</w:t>
      </w:r>
    </w:p>
    <w:p>
      <w:pPr>
        <w:numPr>
          <w:ilvl w:val="0"/>
          <w:numId w:val="11"/>
        </w:numPr>
        <w:spacing w:line="360" w:before="105" w:after="105" w:lineRule="auto"/>
      </w:pPr>
      <w:r>
        <w:rPr>
          <w:rFonts w:eastAsia="source serif 4" w:cs="source serif 4" w:ascii="source serif 4" w:hAnsi="source serif 4"/>
          <w:color w:val="000000"/>
          <w:sz w:val="21"/>
        </w:rPr>
        <w:t xml:space="preserve">Build anthropometric intake and derived metric computation</w:t>
      </w:r>
    </w:p>
    <w:p>
      <w:pPr>
        <w:numPr>
          <w:ilvl w:val="0"/>
          <w:numId w:val="11"/>
        </w:numPr>
        <w:spacing w:line="360" w:before="105" w:after="105" w:lineRule="auto"/>
      </w:pPr>
      <w:r>
        <w:rPr>
          <w:rFonts w:eastAsia="source serif 4" w:cs="source serif 4" w:ascii="source serif 4" w:hAnsi="source serif 4"/>
          <w:color w:val="000000"/>
          <w:sz w:val="21"/>
        </w:rPr>
        <w:t xml:space="preserve">Extend database schema per Part VI</w:t>
      </w:r>
    </w:p>
    <w:p>
      <w:pPr>
        <w:numPr>
          <w:ilvl w:val="0"/>
          <w:numId w:val="11"/>
        </w:numPr>
        <w:spacing w:line="360" w:before="105" w:after="105" w:lineRule="auto"/>
      </w:pPr>
      <w:r>
        <w:rPr>
          <w:rFonts w:eastAsia="source serif 4" w:cs="source serif 4" w:ascii="source serif 4" w:hAnsi="source serif 4"/>
          <w:color w:val="000000"/>
          <w:sz w:val="21"/>
        </w:rPr>
        <w:t xml:space="preserve">Implement constitution scoring service (rule-based first)</w:t>
      </w:r>
    </w:p>
    <w:p>
      <w:pPr>
        <w:numPr>
          <w:ilvl w:val="0"/>
          <w:numId w:val="11"/>
        </w:numPr>
        <w:spacing w:line="360" w:before="105" w:after="105" w:lineRule="auto"/>
      </w:pPr>
      <w:r>
        <w:rPr>
          <w:rFonts w:eastAsia="source serif 4" w:cs="source serif 4" w:ascii="source serif 4" w:hAnsi="source serif 4"/>
          <w:color w:val="000000"/>
          <w:sz w:val="21"/>
        </w:rPr>
        <w:t xml:space="preserve">Retain current QRMA-GDV active pattern engine as primary base</w:t>
      </w:r>
    </w:p>
    <w:p>
      <w:pPr>
        <w:spacing w:line="360" w:before="315" w:after="105" w:lineRule="auto"/>
        <w:ind w:left="-30"/>
        <w:jc w:val="left"/>
      </w:pPr>
      <w:bookmarkStart w:id="39" w:name="phase_2_longitudinal_wearable_int_d90c5e"/>
      <w:r>
        <w:rPr>
          <w:rFonts w:eastAsia="source serif 4" w:cs="source serif 4" w:ascii="source serif 4" w:hAnsi="source serif 4"/>
          <w:b/>
          <w:color w:val="000000"/>
          <w:sz w:val="24"/>
        </w:rPr>
        <w:t xml:space="preserve">Phase 2 — Longitudinal Wearable Integration</w:t>
      </w:r>
      <w:bookmarkEnd w:id="39"/>
    </w:p>
    <w:p>
      <w:pPr>
        <w:numPr>
          <w:ilvl w:val="0"/>
          <w:numId w:val="12"/>
        </w:numPr>
        <w:spacing w:line="360" w:before="105" w:after="105" w:lineRule="auto"/>
      </w:pPr>
      <w:r>
        <w:rPr>
          <w:rFonts w:eastAsia="source serif 4" w:cs="source serif 4" w:ascii="source serif 4" w:hAnsi="source serif 4"/>
          <w:color w:val="000000"/>
          <w:sz w:val="21"/>
        </w:rPr>
        <w:t xml:space="preserve">Integrate Oura Ring API</w:t>
      </w:r>
    </w:p>
    <w:p>
      <w:pPr>
        <w:numPr>
          <w:ilvl w:val="0"/>
          <w:numId w:val="12"/>
        </w:numPr>
        <w:spacing w:line="360" w:before="105" w:after="105" w:lineRule="auto"/>
      </w:pPr>
      <w:r>
        <w:rPr>
          <w:rFonts w:eastAsia="source serif 4" w:cs="source serif 4" w:ascii="source serif 4" w:hAnsi="source serif 4"/>
          <w:color w:val="000000"/>
          <w:sz w:val="21"/>
        </w:rPr>
        <w:t xml:space="preserve">Build daily wearable ingestion pipeline</w:t>
      </w:r>
    </w:p>
    <w:p>
      <w:pPr>
        <w:numPr>
          <w:ilvl w:val="0"/>
          <w:numId w:val="12"/>
        </w:numPr>
        <w:spacing w:line="360" w:before="105" w:after="105" w:lineRule="auto"/>
      </w:pPr>
      <w:r>
        <w:rPr>
          <w:rFonts w:eastAsia="source serif 4" w:cs="source serif 4" w:ascii="source serif 4" w:hAnsi="source serif 4"/>
          <w:color w:val="000000"/>
          <w:sz w:val="21"/>
        </w:rPr>
        <w:t xml:space="preserve">Compute 7-day and 30-day trend features</w:t>
      </w:r>
    </w:p>
    <w:p>
      <w:pPr>
        <w:numPr>
          <w:ilvl w:val="0"/>
          <w:numId w:val="12"/>
        </w:numPr>
        <w:spacing w:line="360" w:before="105" w:after="105" w:lineRule="auto"/>
      </w:pPr>
      <w:r>
        <w:rPr>
          <w:rFonts w:eastAsia="source serif 4" w:cs="source serif 4" w:ascii="source serif 4" w:hAnsi="source serif 4"/>
          <w:color w:val="000000"/>
          <w:sz w:val="21"/>
        </w:rPr>
        <w:t xml:space="preserve">Implement wearable overlay logic on pattern confidence</w:t>
      </w:r>
    </w:p>
    <w:p>
      <w:pPr>
        <w:spacing w:line="360" w:before="315" w:after="105" w:lineRule="auto"/>
        <w:ind w:left="-30"/>
        <w:jc w:val="left"/>
      </w:pPr>
      <w:bookmarkStart w:id="40" w:name="phase_3_precision_and_practitioner_layer"/>
      <w:r>
        <w:rPr>
          <w:rFonts w:eastAsia="source serif 4" w:cs="source serif 4" w:ascii="source serif 4" w:hAnsi="source serif 4"/>
          <w:b/>
          <w:color w:val="000000"/>
          <w:sz w:val="24"/>
        </w:rPr>
        <w:t xml:space="preserve">Phase 3 — Precision and Practitioner Layer</w:t>
      </w:r>
      <w:bookmarkEnd w:id="40"/>
    </w:p>
    <w:p>
      <w:pPr>
        <w:numPr>
          <w:ilvl w:val="0"/>
          <w:numId w:val="13"/>
        </w:numPr>
        <w:spacing w:line="360" w:before="105" w:after="105" w:lineRule="auto"/>
      </w:pPr>
      <w:r>
        <w:rPr>
          <w:rFonts w:eastAsia="source serif 4" w:cs="source serif 4" w:ascii="source serif 4" w:hAnsi="source serif 4"/>
          <w:color w:val="000000"/>
          <w:sz w:val="21"/>
        </w:rPr>
        <w:t xml:space="preserve">Integrate Polar H10 morning assessment protocol</w:t>
      </w:r>
    </w:p>
    <w:p>
      <w:pPr>
        <w:numPr>
          <w:ilvl w:val="0"/>
          <w:numId w:val="13"/>
        </w:numPr>
        <w:spacing w:line="360" w:before="105" w:after="105" w:lineRule="auto"/>
      </w:pPr>
      <w:r>
        <w:rPr>
          <w:rFonts w:eastAsia="source serif 4" w:cs="source serif 4" w:ascii="source serif 4" w:hAnsi="source serif 4"/>
          <w:color w:val="000000"/>
          <w:sz w:val="21"/>
        </w:rPr>
        <w:t xml:space="preserve">Build calibration and validation dashboards</w:t>
      </w:r>
    </w:p>
    <w:p>
      <w:pPr>
        <w:numPr>
          <w:ilvl w:val="0"/>
          <w:numId w:val="13"/>
        </w:numPr>
        <w:spacing w:line="360" w:before="105" w:after="105" w:lineRule="auto"/>
      </w:pPr>
      <w:r>
        <w:rPr>
          <w:rFonts w:eastAsia="source serif 4" w:cs="source serif 4" w:ascii="source serif 4" w:hAnsi="source serif 4"/>
          <w:color w:val="000000"/>
          <w:sz w:val="21"/>
        </w:rPr>
        <w:t xml:space="preserve">Deploy contradiction detection and surfacing</w:t>
      </w:r>
    </w:p>
    <w:p>
      <w:pPr>
        <w:numPr>
          <w:ilvl w:val="0"/>
          <w:numId w:val="13"/>
        </w:numPr>
        <w:spacing w:line="360" w:before="105" w:after="105" w:lineRule="auto"/>
      </w:pPr>
      <w:r>
        <w:rPr>
          <w:rFonts w:eastAsia="source serif 4" w:cs="source serif 4" w:ascii="source serif 4" w:hAnsi="source serif 4"/>
          <w:color w:val="000000"/>
          <w:sz w:val="21"/>
        </w:rPr>
        <w:t xml:space="preserve">Release practitioner explanation cards</w:t>
      </w:r>
    </w:p>
    <w:p>
      <w:pPr>
        <w:spacing w:line="360" w:before="315" w:after="105" w:lineRule="auto"/>
        <w:ind w:left="-30"/>
        <w:jc w:val="left"/>
      </w:pPr>
      <w:bookmarkStart w:id="41" w:name="phase_4_specialty_neuro_module"/>
      <w:r>
        <w:rPr>
          <w:rFonts w:eastAsia="source serif 4" w:cs="source serif 4" w:ascii="source serif 4" w:hAnsi="source serif 4"/>
          <w:b/>
          <w:color w:val="000000"/>
          <w:sz w:val="24"/>
        </w:rPr>
        <w:t xml:space="preserve">Phase 4 — Specialty Neuro Module</w:t>
      </w:r>
      <w:bookmarkEnd w:id="41"/>
    </w:p>
    <w:p>
      <w:pPr>
        <w:numPr>
          <w:ilvl w:val="0"/>
          <w:numId w:val="14"/>
        </w:numPr>
        <w:spacing w:line="360" w:before="105" w:after="105" w:lineRule="auto"/>
      </w:pPr>
      <w:r>
        <w:rPr>
          <w:rFonts w:eastAsia="source serif 4" w:cs="source serif 4" w:ascii="source serif 4" w:hAnsi="source serif 4"/>
          <w:color w:val="000000"/>
          <w:sz w:val="21"/>
        </w:rPr>
        <w:t xml:space="preserve">Integrate Muse 2 for insomnia, stress, meditation adherence, cognitive recovery</w:t>
      </w:r>
    </w:p>
    <w:p>
      <w:pPr>
        <w:numPr>
          <w:ilvl w:val="0"/>
          <w:numId w:val="14"/>
        </w:numPr>
        <w:spacing w:line="360" w:before="105" w:after="105" w:lineRule="auto"/>
      </w:pPr>
      <w:r>
        <w:rPr>
          <w:rFonts w:eastAsia="source serif 4" w:cs="source serif 4" w:ascii="source serif 4" w:hAnsi="source serif 4"/>
          <w:color w:val="000000"/>
          <w:sz w:val="21"/>
        </w:rPr>
        <w:t xml:space="preserve">Keep optional — not core</w:t>
      </w:r>
    </w:p>
    <w:p>
      <w:pPr>
        <w:spacing w:line="360" w:before="315" w:after="105" w:lineRule="auto"/>
        <w:ind w:left="-30"/>
        <w:jc w:val="left"/>
      </w:pPr>
      <w:bookmarkStart w:id="42" w:name="phase_5_learning_system"/>
      <w:r>
        <w:rPr>
          <w:rFonts w:eastAsia="source serif 4" w:cs="source serif 4" w:ascii="source serif 4" w:hAnsi="source serif 4"/>
          <w:b/>
          <w:color w:val="000000"/>
          <w:sz w:val="24"/>
        </w:rPr>
        <w:t xml:space="preserve">Phase 5 — Learning System</w:t>
      </w:r>
      <w:bookmarkEnd w:id="42"/>
    </w:p>
    <w:p>
      <w:pPr>
        <w:numPr>
          <w:ilvl w:val="0"/>
          <w:numId w:val="15"/>
        </w:numPr>
        <w:spacing w:line="360" w:before="105" w:after="105" w:lineRule="auto"/>
      </w:pPr>
      <w:r>
        <w:rPr>
          <w:rFonts w:eastAsia="source serif 4" w:cs="source serif 4" w:ascii="source serif 4" w:hAnsi="source serif 4"/>
          <w:color w:val="000000"/>
          <w:sz w:val="21"/>
        </w:rPr>
        <w:t xml:space="preserve">Collect labelled longitudinal outcome data</w:t>
      </w:r>
    </w:p>
    <w:p>
      <w:pPr>
        <w:numPr>
          <w:ilvl w:val="0"/>
          <w:numId w:val="15"/>
        </w:numPr>
        <w:spacing w:line="360" w:before="105" w:after="105" w:lineRule="auto"/>
      </w:pPr>
      <w:r>
        <w:rPr>
          <w:rFonts w:eastAsia="source serif 4" w:cs="source serif 4" w:ascii="source serif 4" w:hAnsi="source serif 4"/>
          <w:color w:val="000000"/>
          <w:sz w:val="21"/>
        </w:rPr>
        <w:t xml:space="preserve">Compare constitution scores to 90-day follow-up results</w:t>
      </w:r>
    </w:p>
    <w:p>
      <w:pPr>
        <w:numPr>
          <w:ilvl w:val="0"/>
          <w:numId w:val="15"/>
        </w:numPr>
        <w:spacing w:line="360" w:before="105" w:after="105" w:lineRule="auto"/>
      </w:pPr>
      <w:r>
        <w:rPr>
          <w:rFonts w:eastAsia="source serif 4" w:cs="source serif 4" w:ascii="source serif 4" w:hAnsi="source serif 4"/>
          <w:color w:val="000000"/>
          <w:sz w:val="21"/>
        </w:rPr>
        <w:t xml:space="preserve">Machine learning overlay only after robust rule-based telemetry established</w:t>
      </w:r>
    </w:p>
    <w:p>
      <w:pPr>
        <w:numPr>
          <w:ilvl w:val="0"/>
          <w:numId w:val="15"/>
        </w:numPr>
        <w:spacing w:line="360" w:before="105" w:after="105" w:lineRule="auto"/>
      </w:pPr>
      <w:r>
        <w:rPr>
          <w:rFonts w:eastAsia="source serif 4" w:cs="source serif 4" w:ascii="source serif 4" w:hAnsi="source serif 4"/>
          <w:color w:val="000000"/>
          <w:sz w:val="21"/>
        </w:rPr>
        <w:t xml:space="preserve">Validate scoring rules against real-world outcomes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part_xii_safety_and_compliance_pr_af8f59"/>
      <w:r>
        <w:rPr>
          <w:rFonts w:eastAsia="source serif 4" w:cs="source serif 4" w:ascii="source serif 4" w:hAnsi="source serif 4"/>
          <w:b/>
          <w:color w:val="000000"/>
          <w:sz w:val="24"/>
        </w:rPr>
        <w:t xml:space="preserve">Part XII — Safety and Compliance Principles</w:t>
      </w:r>
      <w:bookmarkEnd w:id="43"/>
    </w:p>
    <w:p>
      <w:pPr>
        <w:numPr>
          <w:ilvl w:val="0"/>
          <w:numId w:val="16"/>
        </w:numPr>
        <w:spacing w:line="360" w:before="105" w:after="105" w:lineRule="auto"/>
      </w:pPr>
      <w:r>
        <w:rPr>
          <w:rFonts w:eastAsia="source serif 4" w:cs="source serif 4" w:ascii="source serif 4" w:hAnsi="source serif 4"/>
          <w:b/>
          <w:color w:val="000000"/>
          <w:sz w:val="21"/>
        </w:rPr>
        <w:t xml:space="preserve">Never frame any output as a medical diagnosis.</w:t>
      </w:r>
      <w:r>
        <w:rPr>
          <w:rFonts w:eastAsia="source serif 4" w:cs="source serif 4" w:ascii="source serif 4" w:hAnsi="source serif 4"/>
          <w:color w:val="000000"/>
          <w:sz w:val="21"/>
        </w:rPr>
        <w:t xml:space="preserve"> Use 'pattern tendency,' 'functional indication,' 'wellness education observation.'</w:t>
      </w:r>
    </w:p>
    <w:p>
      <w:pPr>
        <w:numPr>
          <w:ilvl w:val="0"/>
          <w:numId w:val="16"/>
        </w:numPr>
        <w:spacing w:line="360" w:before="105" w:after="105" w:lineRule="auto"/>
      </w:pPr>
      <w:r>
        <w:rPr>
          <w:rFonts w:eastAsia="source serif 4" w:cs="source serif 4" w:ascii="source serif 4" w:hAnsi="source serif 4"/>
          <w:b/>
          <w:color w:val="000000"/>
          <w:sz w:val="21"/>
        </w:rPr>
        <w:t xml:space="preserve">Always include a wellness disclaimer</w:t>
      </w:r>
      <w:r>
        <w:rPr>
          <w:rFonts w:eastAsia="source serif 4" w:cs="source serif 4" w:ascii="source serif 4" w:hAnsi="source serif 4"/>
          <w:color w:val="000000"/>
          <w:sz w:val="21"/>
        </w:rPr>
        <w:t xml:space="preserve"> in client-facing output.</w:t>
      </w:r>
    </w:p>
    <w:p>
      <w:pPr>
        <w:numPr>
          <w:ilvl w:val="0"/>
          <w:numId w:val="16"/>
        </w:numPr>
        <w:spacing w:line="360" w:before="105" w:after="105" w:lineRule="auto"/>
      </w:pPr>
      <w:r>
        <w:rPr>
          <w:rFonts w:eastAsia="source serif 4" w:cs="source serif 4" w:ascii="source serif 4" w:hAnsi="source serif 4"/>
          <w:b/>
          <w:color w:val="000000"/>
          <w:sz w:val="21"/>
        </w:rPr>
        <w:t xml:space="preserve">Downgrade confidence</w:t>
      </w:r>
      <w:r>
        <w:rPr>
          <w:rFonts w:eastAsia="source serif 4" w:cs="source serif 4" w:ascii="source serif 4" w:hAnsi="source serif 4"/>
          <w:color w:val="000000"/>
          <w:sz w:val="21"/>
        </w:rPr>
        <w:t xml:space="preserve"> when only one data source is present.</w:t>
      </w:r>
    </w:p>
    <w:p>
      <w:pPr>
        <w:numPr>
          <w:ilvl w:val="0"/>
          <w:numId w:val="16"/>
        </w:numPr>
        <w:spacing w:line="360" w:before="105" w:after="105" w:lineRule="auto"/>
      </w:pPr>
      <w:r>
        <w:rPr>
          <w:rFonts w:eastAsia="source serif 4" w:cs="source serif 4" w:ascii="source serif 4" w:hAnsi="source serif 4"/>
          <w:b/>
          <w:color w:val="000000"/>
          <w:sz w:val="21"/>
        </w:rPr>
        <w:t xml:space="preserve">Surface contradictions</w:t>
      </w:r>
      <w:r>
        <w:rPr>
          <w:rFonts w:eastAsia="source serif 4" w:cs="source serif 4" w:ascii="source serif 4" w:hAnsi="source serif 4"/>
          <w:color w:val="000000"/>
          <w:sz w:val="21"/>
        </w:rPr>
        <w:t xml:space="preserve"> — never hide or average away conflicting signals.</w:t>
      </w:r>
    </w:p>
    <w:p>
      <w:pPr>
        <w:numPr>
          <w:ilvl w:val="0"/>
          <w:numId w:val="16"/>
        </w:numPr>
        <w:spacing w:line="360" w:before="105" w:after="105" w:lineRule="auto"/>
      </w:pPr>
      <w:r>
        <w:rPr>
          <w:rFonts w:eastAsia="source serif 4" w:cs="source serif 4" w:ascii="source serif 4" w:hAnsi="source serif 4"/>
          <w:b/>
          <w:color w:val="000000"/>
          <w:sz w:val="21"/>
        </w:rPr>
        <w:t xml:space="preserve">Red-flag routing:</w:t>
      </w:r>
      <w:r>
        <w:rPr>
          <w:rFonts w:eastAsia="source serif 4" w:cs="source serif 4" w:ascii="source serif 4" w:hAnsi="source serif 4"/>
          <w:color w:val="000000"/>
          <w:sz w:val="21"/>
        </w:rPr>
        <w:t xml:space="preserve"> Indicators of severe symptoms (chest pain, bleeding, extreme fatigue, rapid weight loss, neurological symptoms) must route to in-person evaluation recommendation immediately.</w:t>
      </w:r>
    </w:p>
    <w:p>
      <w:pPr>
        <w:numPr>
          <w:ilvl w:val="0"/>
          <w:numId w:val="16"/>
        </w:numPr>
        <w:spacing w:line="360" w:before="105" w:after="105" w:lineRule="auto"/>
      </w:pPr>
      <w:r>
        <w:rPr>
          <w:rFonts w:eastAsia="source serif 4" w:cs="source serif 4" w:ascii="source serif 4" w:hAnsi="source serif 4"/>
          <w:b/>
          <w:color w:val="000000"/>
          <w:sz w:val="21"/>
        </w:rPr>
        <w:t xml:space="preserve">Herbal and acupuncture recommendations</w:t>
      </w:r>
      <w:r>
        <w:rPr>
          <w:rFonts w:eastAsia="source serif 4" w:cs="source serif 4" w:ascii="source serif 4" w:hAnsi="source serif 4"/>
          <w:color w:val="000000"/>
          <w:sz w:val="21"/>
        </w:rPr>
        <w:t xml:space="preserve"> should be general educational. State clearly that individualised treatment requires in-person assessment of pulse, tongue, and full constitution by a licensed practitioner.</w:t>
      </w:r>
    </w:p>
    <w:p>
      <w:pPr>
        <w:numPr>
          <w:ilvl w:val="0"/>
          <w:numId w:val="16"/>
        </w:numPr>
        <w:spacing w:line="360" w:before="105" w:after="105" w:lineRule="auto"/>
      </w:pPr>
      <w:r>
        <w:rPr>
          <w:rFonts w:eastAsia="source serif 4" w:cs="source serif 4" w:ascii="source serif 4" w:hAnsi="source serif 4"/>
          <w:b/>
          <w:color w:val="000000"/>
          <w:sz w:val="21"/>
        </w:rPr>
        <w:t xml:space="preserve">Data recency gating:</w:t>
      </w:r>
      <w:r>
        <w:rPr>
          <w:rFonts w:eastAsia="source serif 4" w:cs="source serif 4" w:ascii="source serif 4" w:hAnsi="source serif 4"/>
          <w:color w:val="000000"/>
          <w:sz w:val="21"/>
        </w:rPr>
        <w:t xml:space="preserve"> QRMA scans older than 90 days, wearable data older than 30 days, and CCMQ assessments older than 6 months should be flagged as stale with reduced confidence contribution.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part_xiii_version_control_schema"/>
      <w:r>
        <w:rPr>
          <w:rFonts w:eastAsia="source serif 4" w:cs="source serif 4" w:ascii="source serif 4" w:hAnsi="source serif 4"/>
          <w:b/>
          <w:color w:val="000000"/>
          <w:sz w:val="24"/>
        </w:rPr>
        <w:t xml:space="preserve">Part XIII — Version Control Schema</w:t>
      </w:r>
      <w:bookmarkEnd w:id="44"/>
    </w:p>
    <w:p>
      <w:pPr>
        <w:spacing w:line="360" w:after="210" w:lineRule="auto"/>
      </w:pPr>
      <w:r>
        <w:rPr>
          <w:rFonts w:eastAsia="source serif 4" w:cs="source serif 4" w:ascii="source serif 4" w:hAnsi="source serif 4"/>
          <w:color w:val="000000"/>
        </w:rPr>
        <w:t xml:space="preserve">Every result object must carry explicit version markers:</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"engine_version"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"constitution_model_version"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"wearable_mapping_version"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"0.3.0"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"narrative_template_version"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"5.2.1"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"ccmq_instrument_version"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"2016"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"scoring_rule_hash"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"sha256:abc123..."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"generated_at"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"2026-06-04T09:27:00+07:00"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part_xiv_what_the_next_ai_must_assume"/>
      <w:r>
        <w:rPr>
          <w:rFonts w:eastAsia="source serif 4" w:cs="source serif 4" w:ascii="source serif 4" w:hAnsi="source serif 4"/>
          <w:b/>
          <w:color w:val="000000"/>
          <w:sz w:val="24"/>
        </w:rPr>
        <w:t xml:space="preserve">Part XIV — What the Next AI Must Assume</w:t>
      </w:r>
      <w:bookmarkEnd w:id="45"/>
    </w:p>
    <w:p>
      <w:pPr>
        <w:numPr>
          <w:ilvl w:val="0"/>
          <w:numId w:val="17"/>
        </w:numPr>
        <w:spacing w:line="360" w:before="105" w:after="105" w:lineRule="auto"/>
      </w:pPr>
      <w:r>
        <w:rPr>
          <w:rFonts w:eastAsia="source serif 4" w:cs="source serif 4" w:ascii="source serif 4" w:hAnsi="source serif 4"/>
          <w:color w:val="000000"/>
          <w:sz w:val="21"/>
        </w:rPr>
        <w:t xml:space="preserve">QRMA-GDV engine is the backbone — extend, do not replace.</w:t>
      </w:r>
    </w:p>
    <w:p>
      <w:pPr>
        <w:numPr>
          <w:ilvl w:val="0"/>
          <w:numId w:val="17"/>
        </w:numPr>
        <w:spacing w:line="360" w:before="105" w:after="105" w:lineRule="auto"/>
      </w:pPr>
      <w:r>
        <w:rPr>
          <w:rFonts w:eastAsia="source serif 4" w:cs="source serif 4" w:ascii="source serif 4" w:hAnsi="source serif 4"/>
          <w:color w:val="000000"/>
          <w:sz w:val="21"/>
        </w:rPr>
        <w:t xml:space="preserve">Constitution is multi-score — never force a single label before scoring all nine.</w:t>
      </w:r>
    </w:p>
    <w:p>
      <w:pPr>
        <w:numPr>
          <w:ilvl w:val="0"/>
          <w:numId w:val="17"/>
        </w:numPr>
        <w:spacing w:line="360" w:before="105" w:after="105" w:lineRule="auto"/>
      </w:pPr>
      <w:r>
        <w:rPr>
          <w:rFonts w:eastAsia="source serif 4" w:cs="source serif 4" w:ascii="source serif 4" w:hAnsi="source serif 4"/>
          <w:color w:val="000000"/>
          <w:sz w:val="21"/>
        </w:rPr>
        <w:t xml:space="preserve">Anthropometrics are modifiers — they confirm patterns, they do not independently define them.</w:t>
      </w:r>
    </w:p>
    <w:p>
      <w:pPr>
        <w:numPr>
          <w:ilvl w:val="0"/>
          <w:numId w:val="17"/>
        </w:numPr>
        <w:spacing w:line="360" w:before="105" w:after="105" w:lineRule="auto"/>
      </w:pPr>
      <w:r>
        <w:rPr>
          <w:rFonts w:eastAsia="source serif 4" w:cs="source serif 4" w:ascii="source serif 4" w:hAnsi="source serif 4"/>
          <w:color w:val="000000"/>
          <w:sz w:val="21"/>
        </w:rPr>
        <w:t xml:space="preserve">Oura Ring is the first wearable — the most validated consumer device for overnight HRV and sleep (CCC 0.99).</w:t>
      </w:r>
    </w:p>
    <w:p>
      <w:pPr>
        <w:numPr>
          <w:ilvl w:val="0"/>
          <w:numId w:val="17"/>
        </w:numPr>
        <w:spacing w:line="360" w:before="105" w:after="105" w:lineRule="auto"/>
      </w:pPr>
      <w:r>
        <w:rPr>
          <w:rFonts w:eastAsia="source serif 4" w:cs="source serif 4" w:ascii="source serif 4" w:hAnsi="source serif 4"/>
          <w:color w:val="000000"/>
          <w:sz w:val="21"/>
        </w:rPr>
        <w:t xml:space="preserve">Polar H10 is the precision layer — the gold-standard reference for morning HRV protocols.</w:t>
      </w:r>
    </w:p>
    <w:p>
      <w:pPr>
        <w:numPr>
          <w:ilvl w:val="0"/>
          <w:numId w:val="17"/>
        </w:numPr>
        <w:spacing w:line="360" w:before="105" w:after="105" w:lineRule="auto"/>
      </w:pPr>
      <w:r>
        <w:rPr>
          <w:rFonts w:eastAsia="source serif 4" w:cs="source serif 4" w:ascii="source serif 4" w:hAnsi="source serif 4"/>
          <w:color w:val="000000"/>
          <w:sz w:val="21"/>
        </w:rPr>
        <w:t xml:space="preserve">Muse 2 is a specialty module — only for neuro/meditation/Shen-oriented programmes.</w:t>
      </w:r>
    </w:p>
    <w:p>
      <w:pPr>
        <w:numPr>
          <w:ilvl w:val="0"/>
          <w:numId w:val="17"/>
        </w:numPr>
        <w:spacing w:line="360" w:before="105" w:after="105" w:lineRule="auto"/>
      </w:pPr>
      <w:r>
        <w:rPr>
          <w:rFonts w:eastAsia="source serif 4" w:cs="source serif 4" w:ascii="source serif 4" w:hAnsi="source serif 4"/>
          <w:color w:val="000000"/>
          <w:sz w:val="21"/>
        </w:rPr>
        <w:t xml:space="preserve">All outputs must be explainable — scores, sources, thresholds, and reasons must be stored.</w:t>
      </w:r>
    </w:p>
    <w:p>
      <w:pPr>
        <w:numPr>
          <w:ilvl w:val="0"/>
          <w:numId w:val="17"/>
        </w:numPr>
        <w:spacing w:line="360" w:before="105" w:after="105" w:lineRule="auto"/>
      </w:pPr>
      <w:r>
        <w:rPr>
          <w:rFonts w:eastAsia="source serif 4" w:cs="source serif 4" w:ascii="source serif 4" w:hAnsi="source serif 4"/>
          <w:color w:val="000000"/>
          <w:sz w:val="21"/>
        </w:rPr>
        <w:t xml:space="preserve">Contradictions are clinically meaningful — surface, log, and explain them.</w:t>
      </w:r>
    </w:p>
    <w:p>
      <w:pPr>
        <w:numPr>
          <w:ilvl w:val="0"/>
          <w:numId w:val="17"/>
        </w:numPr>
        <w:spacing w:line="360" w:before="105" w:after="105" w:lineRule="auto"/>
      </w:pPr>
      <w:r>
        <w:rPr>
          <w:rFonts w:eastAsia="source serif 4" w:cs="source serif 4" w:ascii="source serif 4" w:hAnsi="source serif 4"/>
          <w:color w:val="000000"/>
          <w:sz w:val="21"/>
        </w:rPr>
        <w:t xml:space="preserve">Versions must be tracked — every result must be traceable to the exact rule set that produced it.</w:t>
      </w:r>
    </w:p>
    <w:p>
      <w:pPr>
        <w:numPr>
          <w:ilvl w:val="0"/>
          <w:numId w:val="17"/>
        </w:numPr>
        <w:spacing w:line="360" w:before="105" w:after="105" w:lineRule="auto"/>
      </w:pPr>
      <w:r>
        <w:rPr>
          <w:rFonts w:eastAsia="source serif 4" w:cs="source serif 4" w:ascii="source serif 4" w:hAnsi="source serif 4"/>
          <w:color w:val="000000"/>
          <w:sz w:val="21"/>
        </w:rPr>
        <w:t xml:space="preserve">Safety is non-negotiable — red flags route to clinical evaluation, never to automated conclusions.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sources"/>
      <w:r>
        <w:rPr>
          <w:rFonts w:eastAsia="source serif 4" w:cs="source serif 4" w:ascii="source serif 4" w:hAnsi="source serif 4"/>
          <w:b/>
          <w:color w:val="000000"/>
          <w:sz w:val="24"/>
        </w:rPr>
        <w:t xml:space="preserve">Sources</w:t>
      </w:r>
      <w:bookmarkEnd w:id="46"/>
    </w:p>
    <w:p>
      <w:pPr>
        <w:numPr>
          <w:ilvl w:val="0"/>
          <w:numId w:val="18"/>
        </w:numPr>
        <w:spacing w:line="360" w:before="105" w:after="105" w:lineRule="auto"/>
      </w:pPr>
      <w:r>
        <w:rPr>
          <w:rFonts w:eastAsia="source serif 4" w:cs="source serif 4" w:ascii="source serif 4" w:hAnsi="source serif 4"/>
          <w:color w:val="000000"/>
          <w:sz w:val="21"/>
        </w:rPr>
        <w:t xml:space="preserve">PMC3655622 — Validation of the CCMQ. Hong Kong cross-sectional study, 1,084 participants.</w:t>
      </w:r>
    </w:p>
    <w:p>
      <w:pPr>
        <w:numPr>
          <w:ilvl w:val="0"/>
          <w:numId w:val="18"/>
        </w:numPr>
        <w:spacing w:line="360" w:before="105" w:after="105" w:lineRule="auto"/>
      </w:pPr>
      <w:hyperlink r:id="rId5">
        <w:r>
          <w:rPr>
            <w:rFonts w:eastAsia="source sans 3" w:cs="source sans 3" w:ascii="source sans 3" w:hAnsi="source sans 3"/>
            <w:color w:val="#000"/>
            <w:sz w:val="21"/>
            <w:u w:val="single"/>
          </w:rPr>
          <w:t xml:space="preserve">Medicineandhealthukm.com</w:t>
        </w:r>
      </w:hyperlink>
      <w:r>
        <w:rPr>
          <w:rFonts w:eastAsia="source serif 4" w:cs="source serif 4" w:ascii="source serif 4" w:hAnsi="source serif 4"/>
          <w:color w:val="000000"/>
          <w:sz w:val="21"/>
        </w:rPr>
        <w:t xml:space="preserve"> (2023) — English CCMQ validation in Malaysia.</w:t>
      </w:r>
    </w:p>
    <w:p>
      <w:pPr>
        <w:numPr>
          <w:ilvl w:val="0"/>
          <w:numId w:val="18"/>
        </w:numPr>
        <w:spacing w:line="360" w:before="105" w:after="105" w:lineRule="auto"/>
      </w:pPr>
      <w:hyperlink r:id="rId6">
        <w:r>
          <w:rPr>
            <w:rFonts w:eastAsia="source sans 3" w:cs="source sans 3" w:ascii="source sans 3" w:hAnsi="source sans 3"/>
            <w:color w:val="#000"/>
            <w:sz w:val="21"/>
            <w:u w:val="single"/>
          </w:rPr>
          <w:t xml:space="preserve">Semanticscholar.org</w:t>
        </w:r>
      </w:hyperlink>
      <w:r>
        <w:rPr>
          <w:rFonts w:eastAsia="source serif 4" w:cs="source serif 4" w:ascii="source serif 4" w:hAnsi="source serif 4"/>
          <w:color w:val="000000"/>
          <w:sz w:val="21"/>
        </w:rPr>
        <w:t xml:space="preserve"> — Official CCMQ scoring formula and classification thresholds (instrument PDF).</w:t>
      </w:r>
    </w:p>
    <w:p>
      <w:pPr>
        <w:numPr>
          <w:ilvl w:val="0"/>
          <w:numId w:val="18"/>
        </w:numPr>
        <w:spacing w:line="360" w:before="105" w:after="105" w:lineRule="auto"/>
      </w:pPr>
      <w:r>
        <w:rPr>
          <w:rFonts w:eastAsia="source serif 4" w:cs="source serif 4" w:ascii="source serif 4" w:hAnsi="source serif 4"/>
          <w:color w:val="000000"/>
          <w:sz w:val="21"/>
        </w:rPr>
        <w:t xml:space="preserve">DOAJ / PMC12661724 (2025) — CCMQ prevalence study, 8,665 participants, CCMQ 2016 version.</w:t>
      </w:r>
    </w:p>
    <w:p>
      <w:pPr>
        <w:numPr>
          <w:ilvl w:val="0"/>
          <w:numId w:val="18"/>
        </w:numPr>
        <w:spacing w:line="360" w:before="105" w:after="105" w:lineRule="auto"/>
      </w:pPr>
      <w:r>
        <w:rPr>
          <w:rFonts w:eastAsia="source serif 4" w:cs="source serif 4" w:ascii="source serif 4" w:hAnsi="source serif 4"/>
          <w:color w:val="000000"/>
          <w:sz w:val="21"/>
        </w:rPr>
        <w:t xml:space="preserve">Frontiers in Medicine 10.3389/fmed.2026.1698576 — ML prediction of TCM constitution; SVM 99.47%, RFC 96.92%.</w:t>
      </w:r>
    </w:p>
    <w:p>
      <w:pPr>
        <w:numPr>
          <w:ilvl w:val="0"/>
          <w:numId w:val="18"/>
        </w:numPr>
        <w:spacing w:line="360" w:before="105" w:after="105" w:lineRule="auto"/>
      </w:pPr>
      <w:hyperlink r:id="rId7">
        <w:r>
          <w:rPr>
            <w:rFonts w:eastAsia="source sans 3" w:cs="source sans 3" w:ascii="source sans 3" w:hAnsi="source sans 3"/>
            <w:color w:val="#000"/>
            <w:sz w:val="21"/>
            <w:u w:val="single"/>
          </w:rPr>
          <w:t xml:space="preserve">Semanticscholar.org</w:t>
        </w:r>
      </w:hyperlink>
      <w:r>
        <w:rPr>
          <w:rFonts w:eastAsia="source serif 4" w:cs="source serif 4" w:ascii="source serif 4" w:hAnsi="source serif 4"/>
          <w:color w:val="000000"/>
          <w:sz w:val="21"/>
        </w:rPr>
        <w:t xml:space="preserve"> (2013) — Phlegm-dampness constitution and metabolic syndrome (epidemiological review).</w:t>
      </w:r>
    </w:p>
    <w:p>
      <w:pPr>
        <w:numPr>
          <w:ilvl w:val="0"/>
          <w:numId w:val="18"/>
        </w:numPr>
        <w:spacing w:line="360" w:before="105" w:after="105" w:lineRule="auto"/>
      </w:pPr>
      <w:r>
        <w:rPr>
          <w:rFonts w:eastAsia="source serif 4" w:cs="source serif 4" w:ascii="source serif 4" w:hAnsi="source serif 4"/>
          <w:color w:val="000000"/>
          <w:sz w:val="21"/>
        </w:rPr>
        <w:t xml:space="preserve">Wiley 10.1155/2017/7361896 — TCM body constitution and overweight/obesity; MLR study.</w:t>
      </w:r>
    </w:p>
    <w:p>
      <w:pPr>
        <w:numPr>
          <w:ilvl w:val="0"/>
          <w:numId w:val="18"/>
        </w:numPr>
        <w:spacing w:line="360" w:before="105" w:after="105" w:lineRule="auto"/>
      </w:pPr>
      <w:r>
        <w:rPr>
          <w:rFonts w:eastAsia="source serif 4" w:cs="source serif 4" w:ascii="source serif 4" w:hAnsi="source serif 4"/>
          <w:color w:val="000000"/>
          <w:sz w:val="21"/>
        </w:rPr>
        <w:t xml:space="preserve">PMC8324335 (2021) — TCM constitution and quality of life in SLE patients.</w:t>
      </w:r>
    </w:p>
    <w:p>
      <w:pPr>
        <w:numPr>
          <w:ilvl w:val="0"/>
          <w:numId w:val="18"/>
        </w:numPr>
        <w:spacing w:line="360" w:before="105" w:after="105" w:lineRule="auto"/>
      </w:pPr>
      <w:r>
        <w:rPr>
          <w:rFonts w:eastAsia="source serif 4" w:cs="source serif 4" w:ascii="source serif 4" w:hAnsi="source serif 4"/>
          <w:color w:val="000000"/>
          <w:sz w:val="21"/>
        </w:rPr>
        <w:t xml:space="preserve">PubMed 38975312 (2024) — TCM constitution scores and sarcopenia in older adults.</w:t>
      </w:r>
    </w:p>
    <w:p>
      <w:pPr>
        <w:numPr>
          <w:ilvl w:val="0"/>
          <w:numId w:val="18"/>
        </w:numPr>
        <w:spacing w:line="360" w:before="105" w:after="105" w:lineRule="auto"/>
      </w:pPr>
      <w:hyperlink r:id="rId8">
        <w:r>
          <w:rPr>
            <w:rFonts w:eastAsia="source sans 3" w:cs="source sans 3" w:ascii="source sans 3" w:hAnsi="source sans 3"/>
            <w:color w:val="#000"/>
            <w:sz w:val="21"/>
            <w:u w:val="single"/>
          </w:rPr>
          <w:t xml:space="preserve">E-century.us</w:t>
        </w:r>
      </w:hyperlink>
      <w:r>
        <w:rPr>
          <w:rFonts w:eastAsia="source serif 4" w:cs="source serif 4" w:ascii="source serif 4" w:hAnsi="source serif 4"/>
          <w:color w:val="000000"/>
          <w:sz w:val="21"/>
        </w:rPr>
        <w:t xml:space="preserve"> — TCM constitution associations with diabetes, hypertension, osteoarthrosis.</w:t>
      </w:r>
    </w:p>
    <w:p>
      <w:pPr>
        <w:numPr>
          <w:ilvl w:val="0"/>
          <w:numId w:val="18"/>
        </w:numPr>
        <w:spacing w:line="360" w:before="105" w:after="105" w:lineRule="auto"/>
      </w:pPr>
      <w:r>
        <w:rPr>
          <w:rFonts w:eastAsia="source serif 4" w:cs="source serif 4" w:ascii="source serif 4" w:hAnsi="source serif 4"/>
          <w:color w:val="000000"/>
          <w:sz w:val="21"/>
        </w:rPr>
        <w:t xml:space="preserve">Nature Scientific Reports 2024 (s41598-024-66262-z) — BRI OR=2.235 for metabolic syndrome.</w:t>
      </w:r>
    </w:p>
    <w:p>
      <w:pPr>
        <w:numPr>
          <w:ilvl w:val="0"/>
          <w:numId w:val="18"/>
        </w:numPr>
        <w:spacing w:line="360" w:before="105" w:after="105" w:lineRule="auto"/>
      </w:pPr>
      <w:hyperlink r:id="rId9">
        <w:r>
          <w:rPr>
            <w:rFonts w:eastAsia="source sans 3" w:cs="source sans 3" w:ascii="source sans 3" w:hAnsi="source sans 3"/>
            <w:color w:val="#000"/>
            <w:sz w:val="21"/>
            <w:u w:val="single"/>
          </w:rPr>
          <w:t xml:space="preserve">Ademaescuelauniversitaria.com</w:t>
        </w:r>
      </w:hyperlink>
      <w:r>
        <w:rPr>
          <w:rFonts w:eastAsia="source serif 4" w:cs="source serif 4" w:ascii="source serif 4" w:hAnsi="source serif 4"/>
          <w:color w:val="000000"/>
          <w:sz w:val="21"/>
        </w:rPr>
        <w:t xml:space="preserve"> PDF (2026) — WC AUC 0.947, visceral fat AUC 0.927 for MetS in 8,500+ Spanish workers.</w:t>
      </w:r>
    </w:p>
    <w:p>
      <w:pPr>
        <w:numPr>
          <w:ilvl w:val="0"/>
          <w:numId w:val="18"/>
        </w:numPr>
        <w:spacing w:line="360" w:before="105" w:after="105" w:lineRule="auto"/>
      </w:pPr>
      <w:r>
        <w:rPr>
          <w:rFonts w:eastAsia="source serif 4" w:cs="source serif 4" w:ascii="source serif 4" w:hAnsi="source serif 4"/>
          <w:color w:val="000000"/>
          <w:sz w:val="21"/>
        </w:rPr>
        <w:t xml:space="preserve">PMC11766436 (2025) — WHtR highest AUC (0.792/0.768) for MetS prediction in Korean adults.</w:t>
      </w:r>
    </w:p>
    <w:p>
      <w:pPr>
        <w:numPr>
          <w:ilvl w:val="0"/>
          <w:numId w:val="18"/>
        </w:numPr>
        <w:spacing w:line="360" w:before="105" w:after="105" w:lineRule="auto"/>
      </w:pPr>
      <w:hyperlink r:id="rId10">
        <w:r>
          <w:rPr>
            <w:rFonts w:eastAsia="source sans 3" w:cs="source sans 3" w:ascii="source sans 3" w:hAnsi="source sans 3"/>
            <w:color w:val="#000"/>
            <w:sz w:val="21"/>
            <w:u w:val="single"/>
          </w:rPr>
          <w:t xml:space="preserve">Physoc.onlinelibrary.wiley.com</w:t>
        </w:r>
      </w:hyperlink>
      <w:r>
        <w:rPr>
          <w:rFonts w:eastAsia="source serif 4" w:cs="source serif 4" w:ascii="source serif 4" w:hAnsi="source serif 4"/>
          <w:color w:val="000000"/>
          <w:sz w:val="21"/>
        </w:rPr>
        <w:t xml:space="preserve"> 10.14814/phy2.70527 (2025, Dial et al.) — Oura Ring CCC 0.99 against ECG-grade Polar H10 across 536 nights.</w:t>
      </w:r>
    </w:p>
    <w:p>
      <w:pPr>
        <w:numPr>
          <w:ilvl w:val="0"/>
          <w:numId w:val="18"/>
        </w:numPr>
        <w:spacing w:line="360" w:before="105" w:after="105" w:lineRule="auto"/>
      </w:pPr>
      <w:hyperlink r:id="rId11">
        <w:r>
          <w:rPr>
            <w:rFonts w:eastAsia="source sans 3" w:cs="source sans 3" w:ascii="source sans 3" w:hAnsi="source sans 3"/>
            <w:color w:val="#000"/>
            <w:sz w:val="21"/>
            <w:u w:val="single"/>
          </w:rPr>
          <w:t xml:space="preserve">Ouraring.com/blog/oura-most-accurate-for-hrv-resting-heart-rate</w:t>
        </w:r>
      </w:hyperlink>
      <w:r>
        <w:rPr>
          <w:rFonts w:eastAsia="source serif 4" w:cs="source serif 4" w:ascii="source serif 4" w:hAnsi="source serif 4"/>
          <w:color w:val="000000"/>
          <w:sz w:val="21"/>
        </w:rPr>
        <w:t xml:space="preserve"> (2025) — Peer-reviewed confirmation of Oura Gen3 and Oura 4 accuracy.</w:t>
      </w:r>
    </w:p>
    <w:p>
      <w:pPr>
        <w:numPr>
          <w:ilvl w:val="0"/>
          <w:numId w:val="18"/>
        </w:numPr>
        <w:spacing w:line="360" w:before="105" w:after="105" w:lineRule="auto"/>
      </w:pPr>
      <w:hyperlink r:id="rId12">
        <w:r>
          <w:rPr>
            <w:rFonts w:eastAsia="source sans 3" w:cs="source sans 3" w:ascii="source sans 3" w:hAnsi="source sans 3"/>
            <w:color w:val="#000"/>
            <w:sz w:val="21"/>
            <w:u w:val="single"/>
          </w:rPr>
          <w:t xml:space="preserve">Ouraring.com/blog/oura-ring-accuracy-validation-study-university-of-tokyo</w:t>
        </w:r>
      </w:hyperlink>
      <w:r>
        <w:rPr>
          <w:rFonts w:eastAsia="source serif 4" w:cs="source serif 4" w:ascii="source serif 4" w:hAnsi="source serif 4"/>
          <w:color w:val="000000"/>
          <w:sz w:val="21"/>
        </w:rPr>
        <w:t xml:space="preserve"> (2024) — University of Tokyo PSG validation; sensitivity 94.4–94.5%.</w:t>
      </w:r>
    </w:p>
    <w:p>
      <w:pPr>
        <w:numPr>
          <w:ilvl w:val="0"/>
          <w:numId w:val="18"/>
        </w:numPr>
        <w:spacing w:line="360" w:before="105" w:after="105" w:lineRule="auto"/>
      </w:pPr>
      <w:hyperlink r:id="rId13">
        <w:r>
          <w:rPr>
            <w:rFonts w:eastAsia="source sans 3" w:cs="source sans 3" w:ascii="source sans 3" w:hAnsi="source sans 3"/>
            <w:color w:val="#000"/>
            <w:sz w:val="21"/>
            <w:u w:val="single"/>
          </w:rPr>
          <w:t xml:space="preserve">Ouraring.com/blog/2024-sensors-oura-ring-validation-study</w:t>
        </w:r>
      </w:hyperlink>
      <w:r>
        <w:rPr>
          <w:rFonts w:eastAsia="source serif 4" w:cs="source serif 4" w:ascii="source serif 4" w:hAnsi="source serif 4"/>
          <w:color w:val="000000"/>
          <w:sz w:val="21"/>
        </w:rPr>
        <w:t xml:space="preserve"> (2024) — Brigham and Women's Hospital; Oura most accurate in four-stage sleep classification.</w:t>
      </w:r>
    </w:p>
    <w:p>
      <w:pPr>
        <w:numPr>
          <w:ilvl w:val="0"/>
          <w:numId w:val="18"/>
        </w:numPr>
        <w:spacing w:line="360" w:before="105" w:after="105" w:lineRule="auto"/>
      </w:pPr>
      <w:hyperlink r:id="rId14">
        <w:r>
          <w:rPr>
            <w:rFonts w:eastAsia="source sans 3" w:cs="source sans 3" w:ascii="source sans 3" w:hAnsi="source sans 3"/>
            <w:color w:val="#000"/>
            <w:sz w:val="21"/>
            <w:u w:val="single"/>
          </w:rPr>
          <w:t xml:space="preserve">Elementalhealthandnutrition.com.au</w:t>
        </w:r>
      </w:hyperlink>
      <w:r>
        <w:rPr>
          <w:rFonts w:eastAsia="source serif 4" w:cs="source serif 4" w:ascii="source serif 4" w:hAnsi="source serif 4"/>
          <w:color w:val="000000"/>
          <w:sz w:val="21"/>
        </w:rPr>
        <w:t xml:space="preserve"> (2026) — 2025–2026 wearable validation landscape summary.</w:t>
      </w:r>
    </w:p>
    <w:p>
      <w:pPr>
        <w:numPr>
          <w:ilvl w:val="0"/>
          <w:numId w:val="18"/>
        </w:numPr>
        <w:spacing w:line="360" w:before="105" w:after="105" w:lineRule="auto"/>
      </w:pPr>
      <w:r>
        <w:rPr>
          <w:rFonts w:eastAsia="source serif 4" w:cs="source serif 4" w:ascii="source serif 4" w:hAnsi="source serif 4"/>
          <w:color w:val="000000"/>
          <w:sz w:val="21"/>
        </w:rPr>
        <w:t xml:space="preserve">Nature Communications s41467-023-40977-5 (2023) — Wrist temperature amplitude as digital biomarker; 92,000 UK Biobank participants.</w:t>
      </w:r>
    </w:p>
    <w:p>
      <w:pPr>
        <w:numPr>
          <w:ilvl w:val="0"/>
          <w:numId w:val="18"/>
        </w:numPr>
        <w:spacing w:line="360" w:before="105" w:after="105" w:lineRule="auto"/>
      </w:pPr>
      <w:hyperlink r:id="rId15">
        <w:r>
          <w:rPr>
            <w:rFonts w:eastAsia="source sans 3" w:cs="source sans 3" w:ascii="source sans 3" w:hAnsi="source sans 3"/>
            <w:color w:val="#000"/>
            <w:sz w:val="21"/>
            <w:u w:val="single"/>
          </w:rPr>
          <w:t xml:space="preserve">Pennmedicine.org</w:t>
        </w:r>
      </w:hyperlink>
      <w:r>
        <w:rPr>
          <w:rFonts w:eastAsia="source serif 4" w:cs="source serif 4" w:ascii="source serif 4" w:hAnsi="source serif 4"/>
          <w:color w:val="000000"/>
          <w:sz w:val="21"/>
        </w:rPr>
        <w:t xml:space="preserve"> (2023) — Penn Medicine confirmation of wrist temperature as disease risk biomarker.</w:t>
      </w:r>
    </w:p>
    <w:p>
      <w:pPr>
        <w:numPr>
          <w:ilvl w:val="0"/>
          <w:numId w:val="18"/>
        </w:numPr>
        <w:spacing w:line="360" w:before="105" w:after="105" w:lineRule="auto"/>
      </w:pPr>
      <w:r>
        <w:rPr>
          <w:rFonts w:eastAsia="source serif 4" w:cs="source serif 4" w:ascii="source serif 4" w:hAnsi="source serif 4"/>
          <w:color w:val="000000"/>
          <w:sz w:val="21"/>
        </w:rPr>
        <w:t xml:space="preserve">PMC5900369 (2018) — HRV and stress meta-analysis.</w:t>
      </w:r>
    </w:p>
    <w:p>
      <w:pPr>
        <w:numPr>
          <w:ilvl w:val="0"/>
          <w:numId w:val="18"/>
        </w:numPr>
        <w:spacing w:line="360" w:before="105" w:after="105" w:lineRule="auto"/>
      </w:pPr>
      <w:hyperlink r:id="rId16">
        <w:r>
          <w:rPr>
            <w:rFonts w:eastAsia="source sans 3" w:cs="source sans 3" w:ascii="source sans 3" w:hAnsi="source sans 3"/>
            <w:color w:val="#000"/>
            <w:sz w:val="21"/>
            <w:u w:val="single"/>
          </w:rPr>
          <w:t xml:space="preserve">Hyperionhealth.ca</w:t>
        </w:r>
      </w:hyperlink>
      <w:r>
        <w:rPr>
          <w:rFonts w:eastAsia="source serif 4" w:cs="source serif 4" w:ascii="source serif 4" w:hAnsi="source serif 4"/>
          <w:color w:val="000000"/>
          <w:sz w:val="21"/>
        </w:rPr>
        <w:t xml:space="preserve"> (2024) — Comprehensive HRV biomarker review.</w:t>
      </w:r>
    </w:p>
    <w:p>
      <w:pPr>
        <w:numPr>
          <w:ilvl w:val="0"/>
          <w:numId w:val="18"/>
        </w:numPr>
        <w:spacing w:line="360" w:before="105" w:after="105" w:lineRule="auto"/>
      </w:pPr>
      <w:r>
        <w:rPr>
          <w:rFonts w:eastAsia="source serif 4" w:cs="source serif 4" w:ascii="source serif 4" w:hAnsi="source serif 4"/>
          <w:color w:val="000000"/>
          <w:sz w:val="21"/>
        </w:rPr>
        <w:t xml:space="preserve">Nesa.world (2025) — SDNN reference ranges for clinical use.</w:t>
      </w:r>
    </w:p>
    <w:p>
      <w:pPr>
        <w:numPr>
          <w:ilvl w:val="0"/>
          <w:numId w:val="18"/>
        </w:numPr>
        <w:spacing w:line="360" w:before="105" w:after="105" w:lineRule="auto"/>
      </w:pPr>
      <w:r>
        <w:rPr>
          <w:rFonts w:eastAsia="source serif 4" w:cs="source serif 4" w:ascii="source serif 4" w:hAnsi="source serif 4"/>
          <w:color w:val="000000"/>
          <w:sz w:val="21"/>
        </w:rPr>
        <w:t xml:space="preserve">PMC8221872 (2021) — Systematic review of HRV as diagnostic tool for Korean Constitutional Medicine.</w:t>
      </w:r>
    </w:p>
    <w:p>
      <w:pPr>
        <w:numPr>
          <w:ilvl w:val="0"/>
          <w:numId w:val="18"/>
        </w:numPr>
        <w:spacing w:line="360" w:before="105" w:after="105" w:lineRule="auto"/>
      </w:pPr>
      <w:r>
        <w:rPr>
          <w:rFonts w:eastAsia="source serif 4" w:cs="source serif 4" w:ascii="source serif 4" w:hAnsi="source serif 4"/>
          <w:color w:val="000000"/>
          <w:sz w:val="21"/>
        </w:rPr>
        <w:t xml:space="preserve">Wiley 10.1155/2021/1945488 — HRV and TCM Heart pattern; LF/HF as independent risk factor OR=0.474.</w:t>
      </w:r>
    </w:p>
    <w:p>
      <w:pPr>
        <w:numPr>
          <w:ilvl w:val="0"/>
          <w:numId w:val="18"/>
        </w:numPr>
        <w:spacing w:line="360" w:before="105" w:after="105" w:lineRule="auto"/>
      </w:pPr>
      <w:r>
        <w:rPr>
          <w:rFonts w:eastAsia="source serif 4" w:cs="source serif 4" w:ascii="source serif 4" w:hAnsi="source serif 4"/>
          <w:color w:val="000000"/>
          <w:sz w:val="21"/>
        </w:rPr>
        <w:t xml:space="preserve">PMC8837425 (2022) — Metabolic and immunity profiles of phlegm-damp constitution.</w:t>
      </w:r>
    </w:p>
    <w:p>
      <w:pPr>
        <w:numPr>
          <w:ilvl w:val="0"/>
          <w:numId w:val="18"/>
        </w:numPr>
        <w:spacing w:line="360" w:before="105" w:after="105" w:lineRule="auto"/>
      </w:pPr>
      <w:hyperlink r:id="rId17">
        <w:r>
          <w:rPr>
            <w:rFonts w:eastAsia="source sans 3" w:cs="source sans 3" w:ascii="source sans 3" w:hAnsi="source sans 3"/>
            <w:color w:val="#000"/>
            <w:sz w:val="21"/>
            <w:u w:val="single"/>
          </w:rPr>
          <w:t xml:space="preserve">Petersheng.com</w:t>
        </w:r>
      </w:hyperlink>
      <w:r>
        <w:rPr>
          <w:rFonts w:eastAsia="source serif 4" w:cs="source serif 4" w:ascii="source serif 4" w:hAnsi="source serif 4"/>
          <w:color w:val="000000"/>
          <w:sz w:val="21"/>
        </w:rPr>
        <w:t xml:space="preserve"> (2019) — Yin-Yang / sympathetic-parasympathetic clinical correspondence.</w:t>
      </w:r>
    </w:p>
    <w:p>
      <w:pPr>
        <w:numPr>
          <w:ilvl w:val="0"/>
          <w:numId w:val="18"/>
        </w:numPr>
        <w:spacing w:line="360" w:before="105" w:after="105" w:lineRule="auto"/>
      </w:pPr>
      <w:r>
        <w:rPr>
          <w:rFonts w:eastAsia="source serif 4" w:cs="source serif 4" w:ascii="source serif 4" w:hAnsi="source serif 4"/>
          <w:color w:val="000000"/>
          <w:sz w:val="21"/>
        </w:rPr>
        <w:t xml:space="preserve">PMC9459793 (2022) — Polar H10 validity for HRV analysis.</w:t>
      </w:r>
    </w:p>
    <w:p>
      <w:pPr>
        <w:numPr>
          <w:ilvl w:val="0"/>
          <w:numId w:val="18"/>
        </w:numPr>
        <w:spacing w:line="360" w:before="105" w:after="105" w:lineRule="auto"/>
      </w:pPr>
      <w:r>
        <w:rPr>
          <w:rFonts w:eastAsia="source serif 4" w:cs="source serif 4" w:ascii="source serif 4" w:hAnsi="source serif 4"/>
          <w:color w:val="000000"/>
          <w:sz w:val="21"/>
        </w:rPr>
        <w:t xml:space="preserve">PMC11419071 (2024) — Systematic review of EEG neurofeedback in mindfulness meditation.</w:t>
      </w:r>
    </w:p>
    <w:p>
      <w:pPr>
        <w:numPr>
          <w:ilvl w:val="0"/>
          <w:numId w:val="18"/>
        </w:numPr>
        <w:spacing w:line="360" w:before="105" w:after="105" w:lineRule="auto"/>
      </w:pPr>
      <w:r>
        <w:rPr>
          <w:rFonts w:eastAsia="source serif 4" w:cs="source serif 4" w:ascii="source serif 4" w:hAnsi="source serif 4"/>
          <w:color w:val="000000"/>
          <w:sz w:val="21"/>
        </w:rPr>
        <w:t xml:space="preserve">JMIR 10.2196/68204 (2025) — Consumer-grade Muse neurofeedback; alpha/theta training confirmed.</w:t>
      </w:r>
    </w:p>
    <w:p>
      <w:pPr>
        <w:numPr>
          <w:ilvl w:val="0"/>
          <w:numId w:val="18"/>
        </w:numPr>
        <w:spacing w:line="360" w:before="105" w:after="105" w:lineRule="auto"/>
      </w:pPr>
      <w:hyperlink r:id="rId18">
        <w:r>
          <w:rPr>
            <w:rFonts w:eastAsia="source sans 3" w:cs="source sans 3" w:ascii="source sans 3" w:hAnsi="source sans 3"/>
            <w:color w:val="#000"/>
            <w:sz w:val="21"/>
            <w:u w:val="single"/>
          </w:rPr>
          <w:t xml:space="preserve">Hunuuhealth.com</w:t>
        </w:r>
      </w:hyperlink>
      <w:r>
        <w:rPr>
          <w:rFonts w:eastAsia="source serif 4" w:cs="source serif 4" w:ascii="source serif 4" w:hAnsi="source serif 4"/>
          <w:color w:val="000000"/>
          <w:sz w:val="21"/>
        </w:rPr>
        <w:t xml:space="preserve"> — Oura temperature deviation clinical reference (0.5 degree C threshold).</w:t>
      </w:r>
    </w:p>
    <w:p>
      <w:pPr>
        <w:numPr>
          <w:ilvl w:val="0"/>
          <w:numId w:val="18"/>
        </w:numPr>
        <w:spacing w:line="360" w:before="105" w:after="105" w:lineRule="auto"/>
      </w:pPr>
      <w:hyperlink r:id="rId19">
        <w:r>
          <w:rPr>
            <w:rFonts w:eastAsia="source sans 3" w:cs="source sans 3" w:ascii="source sans 3" w:hAnsi="source sans 3"/>
            <w:color w:val="#000"/>
            <w:sz w:val="21"/>
            <w:u w:val="single"/>
          </w:rPr>
          <w:t xml:space="preserve">Ouraring.com/blog/how-oura-measures-temperature</w:t>
        </w:r>
      </w:hyperlink>
      <w:r>
        <w:rPr>
          <w:rFonts w:eastAsia="source serif 4" w:cs="source serif 4" w:ascii="source serif 4" w:hAnsi="source serif 4"/>
          <w:color w:val="000000"/>
          <w:sz w:val="21"/>
        </w:rPr>
        <w:t xml:space="preserve"> (2024) — Oura finger skin temperature measurement.</w:t>
      </w:r>
    </w:p>
    <w:p>
      <w:pPr>
        <w:numPr>
          <w:ilvl w:val="0"/>
          <w:numId w:val="18"/>
        </w:numPr>
        <w:spacing w:line="360" w:before="105" w:after="105" w:lineRule="auto"/>
      </w:pPr>
      <w:hyperlink r:id="rId20">
        <w:r>
          <w:rPr>
            <w:rFonts w:eastAsia="source sans 3" w:cs="source sans 3" w:ascii="source sans 3" w:hAnsi="source sans 3"/>
            <w:color w:val="#000"/>
            <w:sz w:val="21"/>
            <w:u w:val="single"/>
          </w:rPr>
          <w:t xml:space="preserve">Chronobiologyinmedicine.org</w:t>
        </w:r>
      </w:hyperlink>
      <w:r>
        <w:rPr>
          <w:rFonts w:eastAsia="source serif 4" w:cs="source serif 4" w:ascii="source serif 4" w:hAnsi="source serif 4"/>
          <w:color w:val="000000"/>
          <w:sz w:val="21"/>
        </w:rPr>
        <w:t xml:space="preserve"> (2025) — Wearable technology in circadian rhythm research.</w:t>
      </w:r>
    </w:p>
    <w:p>
      <w:pPr>
        <w:numPr>
          <w:ilvl w:val="0"/>
          <w:numId w:val="18"/>
        </w:numPr>
        <w:spacing w:line="360" w:before="105" w:after="105" w:lineRule="auto"/>
      </w:pPr>
      <w:hyperlink r:id="rId21">
        <w:r>
          <w:rPr>
            <w:rFonts w:eastAsia="source sans 3" w:cs="source sans 3" w:ascii="source sans 3" w:hAnsi="source sans 3"/>
            <w:color w:val="#000"/>
            <w:sz w:val="21"/>
            <w:u w:val="single"/>
          </w:rPr>
          <w:t xml:space="preserve">Logic-Layer-QRMA-expanded.md</w:t>
        </w:r>
      </w:hyperlink>
      <w:r>
        <w:rPr>
          <w:rFonts w:eastAsia="source serif 4" w:cs="source serif 4" w:ascii="source serif 4" w:hAnsi="source serif 4"/>
          <w:color w:val="000000"/>
          <w:sz w:val="21"/>
        </w:rPr>
        <w:t xml:space="preserve"> — Author not clearly stated; document title: Logic Layer Specification Document QRMA-GDV Health Intelligence Engine (May 2026).</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edicineandhealthukm.com" TargetMode="External"/><Relationship Id="rId6" Type="http://schemas.openxmlformats.org/officeDocument/2006/relationships/hyperlink" Target="http://Semanticscholar.org" TargetMode="External"/><Relationship Id="rId7" Type="http://schemas.openxmlformats.org/officeDocument/2006/relationships/hyperlink" Target="http://Semanticscholar.org" TargetMode="External"/><Relationship Id="rId8" Type="http://schemas.openxmlformats.org/officeDocument/2006/relationships/hyperlink" Target="http://E-century.us" TargetMode="External"/><Relationship Id="rId9" Type="http://schemas.openxmlformats.org/officeDocument/2006/relationships/hyperlink" Target="http://Ademaescuelauniversitaria.com" TargetMode="External"/><Relationship Id="rId10" Type="http://schemas.openxmlformats.org/officeDocument/2006/relationships/hyperlink" Target="http://Physoc.onlinelibrary.wiley.com" TargetMode="External"/><Relationship Id="rId11" Type="http://schemas.openxmlformats.org/officeDocument/2006/relationships/hyperlink" Target="http://Ouraring.com/blog/oura-most-accurate-for-hrv-resting-heart-rate" TargetMode="External"/><Relationship Id="rId12" Type="http://schemas.openxmlformats.org/officeDocument/2006/relationships/hyperlink" Target="http://Ouraring.com/blog/oura-ring-accuracy-validation-study-university-of-tokyo" TargetMode="External"/><Relationship Id="rId13" Type="http://schemas.openxmlformats.org/officeDocument/2006/relationships/hyperlink" Target="http://Ouraring.com/blog/2024-sensors-oura-ring-validation-study" TargetMode="External"/><Relationship Id="rId14" Type="http://schemas.openxmlformats.org/officeDocument/2006/relationships/hyperlink" Target="http://Elementalhealthandnutrition.com.au" TargetMode="External"/><Relationship Id="rId15" Type="http://schemas.openxmlformats.org/officeDocument/2006/relationships/hyperlink" Target="http://Pennmedicine.org" TargetMode="External"/><Relationship Id="rId16" Type="http://schemas.openxmlformats.org/officeDocument/2006/relationships/hyperlink" Target="http://Hyperionhealth.ca" TargetMode="External"/><Relationship Id="rId17" Type="http://schemas.openxmlformats.org/officeDocument/2006/relationships/hyperlink" Target="http://Petersheng.com" TargetMode="External"/><Relationship Id="rId18" Type="http://schemas.openxmlformats.org/officeDocument/2006/relationships/hyperlink" Target="http://Hunuuhealth.com" TargetMode="External"/><Relationship Id="rId19" Type="http://schemas.openxmlformats.org/officeDocument/2006/relationships/hyperlink" Target="http://Ouraring.com/blog/how-oura-measures-temperature" TargetMode="External"/><Relationship Id="rId20" Type="http://schemas.openxmlformats.org/officeDocument/2006/relationships/hyperlink" Target="http://Chronobiologyinmedicine.org" TargetMode="External"/><Relationship Id="rId21" Type="http://schemas.openxmlformats.org/officeDocument/2006/relationships/hyperlink" Target="http://Logic-Layer-QRMA-expanded.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2026-06-04T02:47:15.317Z</dcterms:created>
  <dcterms:modified xsi:type="dcterms:W3CDTF">2026-06-04T02:47:15.317Z</dcterms:modified>
</cp:coreProperties>
</file>