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00" w:before="200"/>
        <w:ind/>
        <w:jc w:val="center"/>
        <w:rPr/>
      </w:pPr>
      <w:r>
        <w:rPr>
          <w:rFonts w:ascii="Arial" w:hAnsi="Arial" w:eastAsia="Arial" w:cs="Arial"/>
          <w:b/>
          <w:bCs/>
          <w:sz w:val="40"/>
          <w:szCs w:val="40"/>
        </w:rPr>
        <w:t xml:space="preserve">Crop Detection from Multi-Temporal Sentinel-2 Imagery using Deep Learning</w:t>
      </w:r>
      <w:r/>
    </w:p>
    <w:p>
      <w:pPr>
        <w:pBdr/>
        <w:spacing w:after="400" w:before="0"/>
        <w:ind/>
        <w:jc w:val="center"/>
        <w:rPr/>
      </w:pPr>
      <w:r>
        <w:rPr>
          <w:rFonts w:ascii="Arial" w:hAnsi="Arial" w:eastAsia="Arial" w:cs="Arial"/>
          <w:i/>
          <w:iCs/>
          <w:sz w:val="26"/>
          <w:szCs w:val="26"/>
        </w:rPr>
        <w:t xml:space="preserve">A ConvGRU Ensemble Approach with Snapshot and Bagging Aggregation</w:t>
      </w:r>
      <w:r/>
    </w:p>
    <w:p>
      <w:pPr>
        <w:pBdr/>
        <w:spacing/>
        <w:ind/>
        <w:rPr/>
      </w:pPr>
      <w:r/>
      <w:r/>
    </w:p>
    <w:p>
      <w:pPr>
        <w:pBdr/>
        <w:spacing w:after="120" w:before="80" w:line="320" w:lineRule="auto"/>
        <w:ind/>
        <w:jc w:val="center"/>
        <w:rPr/>
      </w:pPr>
      <w:r>
        <w:rPr>
          <w:rFonts w:ascii="Arial" w:hAnsi="Arial" w:eastAsia="Arial" w:cs="Arial"/>
          <w:i/>
          <w:iCs/>
          <w:sz w:val="24"/>
          <w:szCs w:val="24"/>
        </w:rPr>
        <w:t xml:space="preserve">Project Report</w:t>
      </w:r>
      <w:r/>
    </w:p>
    <w:p>
      <w:pPr>
        <w:pBdr/>
        <w:spacing/>
        <w:ind/>
        <w:rPr/>
      </w:pPr>
      <w:r/>
      <w:r/>
    </w:p>
    <w:p>
      <w:pPr>
        <w:pBdr/>
        <w:spacing/>
        <w:ind/>
        <w:rPr/>
      </w:pPr>
      <w:r/>
      <w:r/>
    </w:p>
    <w:p>
      <w:pPr>
        <w:pStyle w:val="723"/>
        <w:pBdr/>
        <w:spacing w:after="160" w:before="320"/>
        <w:ind/>
        <w:rPr/>
      </w:pPr>
      <w:r>
        <w:rPr>
          <w:rFonts w:ascii="Arial" w:hAnsi="Arial" w:eastAsia="Arial" w:cs="Arial"/>
          <w:b/>
          <w:bCs/>
          <w:sz w:val="32"/>
          <w:szCs w:val="32"/>
        </w:rPr>
        <w:t xml:space="preserve">1. Abstract</w:t>
      </w:r>
      <w:r/>
    </w:p>
    <w:p>
      <w:pPr>
        <w:pBdr/>
        <w:spacing w:after="120" w:before="80" w:line="320" w:lineRule="auto"/>
        <w:ind/>
        <w:jc w:val="both"/>
        <w:rPr/>
      </w:pPr>
      <w:r>
        <w:rPr>
          <w:rFonts w:ascii="Arial" w:hAnsi="Arial" w:eastAsia="Arial" w:cs="Arial"/>
          <w:sz w:val="22"/>
          <w:szCs w:val="22"/>
        </w:rPr>
        <w:t xml:space="preserve">Accurate identification of planted crops over large agricultural regions is a foundational task for Earth observation systems supporting national food security, yield estimation, </w:t>
      </w:r>
      <w:r>
        <w:rPr>
          <w:rFonts w:ascii="Arial" w:hAnsi="Arial" w:eastAsia="Arial" w:cs="Arial"/>
          <w:sz w:val="22"/>
          <w:szCs w:val="22"/>
        </w:rPr>
        <w:t xml:space="preserve">and harvest planning. This report presents a deep-learning approach to crop classification on a multi-spectral, multi-temporal Sentinel-2 dataset acquired over agricultural land in western Kenya. The dataset contains 4,688 annotated crop fields distributed</w:t>
      </w:r>
      <w:r>
        <w:rPr>
          <w:rFonts w:ascii="Arial" w:hAnsi="Arial" w:eastAsia="Arial" w:cs="Arial"/>
          <w:sz w:val="22"/>
          <w:szCs w:val="22"/>
        </w:rPr>
        <w:t xml:space="preserve"> across seven classes — three single crops (Maize, Cassava, Common Beans) and four intercropping combinations — observed across thirteen acquisition dates and thirteen spectral bands. The proposed model is a hybrid ConvGRU network: a shared convolutional b</w:t>
      </w:r>
      <w:r>
        <w:rPr>
          <w:rFonts w:ascii="Arial" w:hAnsi="Arial" w:eastAsia="Arial" w:cs="Arial"/>
          <w:sz w:val="22"/>
          <w:szCs w:val="22"/>
        </w:rPr>
        <w:t xml:space="preserve">ackbone extracts per-timestep spatial features from 32×32 patches centred on each field, a masked average-pooling layer aggregates only the pixels that belong to the field of interest, and a three-layer bidirectional GRU models the temporal evolution of th</w:t>
      </w:r>
      <w:r>
        <w:rPr>
          <w:rFonts w:ascii="Arial" w:hAnsi="Arial" w:eastAsia="Arial" w:cs="Arial"/>
          <w:sz w:val="22"/>
          <w:szCs w:val="22"/>
        </w:rPr>
        <w:t xml:space="preserve">ese features through the growing season. To address the small dataset size and pronounced class imbalance, the training pipeline combines spectral feature engineering (vegetation indices, square-root variance stabilisation, standardisation), spatial and te</w:t>
      </w:r>
      <w:r>
        <w:rPr>
          <w:rFonts w:ascii="Arial" w:hAnsi="Arial" w:eastAsia="Arial" w:cs="Arial"/>
          <w:sz w:val="22"/>
          <w:szCs w:val="22"/>
        </w:rPr>
        <w:t xml:space="preserve">mporal data augmentation, a stratified ten-fold split, and a two-level ensemble that combines bagging across folds with snapshot ensembling within each fold. The final ensemble of sixty model snapshots achieved a cross-entropy score of 1.1023 on the held-o</w:t>
      </w:r>
      <w:r>
        <w:rPr>
          <w:rFonts w:ascii="Arial" w:hAnsi="Arial" w:eastAsia="Arial" w:cs="Arial"/>
          <w:sz w:val="22"/>
          <w:szCs w:val="22"/>
        </w:rPr>
        <w:t xml:space="preserve">ut test set of 1,402 fields, ranking first on the official competition leaderboard. The report documents the methodology end-to-end, presents results, and discusses the design choices that proved most effective in this low-data, high-dimensionality regime.</w:t>
      </w:r>
      <w:r/>
    </w:p>
    <w:p>
      <w:pPr>
        <w:pStyle w:val="723"/>
        <w:pBdr/>
        <w:spacing w:after="160" w:before="320"/>
        <w:ind/>
        <w:rPr/>
      </w:pPr>
      <w:r>
        <w:rPr>
          <w:rFonts w:ascii="Arial" w:hAnsi="Arial" w:eastAsia="Arial" w:cs="Arial"/>
          <w:b/>
          <w:bCs/>
          <w:sz w:val="32"/>
          <w:szCs w:val="32"/>
        </w:rPr>
        <w:t xml:space="preserve">2. Introduction</w:t>
      </w:r>
      <w:r/>
    </w:p>
    <w:p>
      <w:pPr>
        <w:pBdr/>
        <w:spacing w:after="120" w:before="80" w:line="320" w:lineRule="auto"/>
        <w:ind/>
        <w:jc w:val="both"/>
        <w:rPr/>
      </w:pPr>
      <w:r>
        <w:rPr>
          <w:rFonts w:ascii="Arial" w:hAnsi="Arial" w:eastAsia="Arial" w:cs="Arial"/>
          <w:sz w:val="22"/>
          <w:szCs w:val="22"/>
        </w:rPr>
        <w:t xml:space="preserve">Remote sensing provides an unmatched vantage point for monitoring agricultural systems at a national scale. Among the man</w:t>
      </w:r>
      <w:r>
        <w:rPr>
          <w:rFonts w:ascii="Arial" w:hAnsi="Arial" w:eastAsia="Arial" w:cs="Arial"/>
          <w:sz w:val="22"/>
          <w:szCs w:val="22"/>
        </w:rPr>
        <w:t xml:space="preserve">y tasks that benefit from satellite-based Earth observation, crop type classification is particularly valuable: a reliable per-field crop map allows governments and agencies to monitor adherence to agricultural plans, produce early yield forecasts, plan ha</w:t>
      </w:r>
      <w:r>
        <w:rPr>
          <w:rFonts w:ascii="Arial" w:hAnsi="Arial" w:eastAsia="Arial" w:cs="Arial"/>
          <w:sz w:val="22"/>
          <w:szCs w:val="22"/>
        </w:rPr>
        <w:t xml:space="preserve">rvest logistics, and respond to food-security shocks. In Sub-Saharan Africa specifically, where smallholder farms dominate the landscape and ground surveys are costly, automated crop detection from open satellite data has become an active area of research.</w:t>
      </w:r>
      <w:r/>
    </w:p>
    <w:p>
      <w:pPr>
        <w:pBdr/>
        <w:spacing w:after="120" w:before="80" w:line="320" w:lineRule="auto"/>
        <w:ind/>
        <w:jc w:val="both"/>
        <w:rPr/>
      </w:pPr>
      <w:r>
        <w:rPr>
          <w:rFonts w:ascii="Arial" w:hAnsi="Arial" w:eastAsia="Arial" w:cs="Arial"/>
          <w:sz w:val="22"/>
          <w:szCs w:val="22"/>
        </w:rPr>
        <w:t xml:space="preserve">The data product used in this work consists of Sentinel-2 imagery acquired on thirteen dates between June and November 2019 over an agricultural area in western Kenya. Each acquisition spans four tiles, ea</w:t>
      </w:r>
      <w:r>
        <w:rPr>
          <w:rFonts w:ascii="Arial" w:hAnsi="Arial" w:eastAsia="Arial" w:cs="Arial"/>
          <w:sz w:val="22"/>
          <w:szCs w:val="22"/>
        </w:rPr>
        <w:t xml:space="preserve">ch of approximately 3,035×2,016 pixels, and provides thirteen spectral bands covering the visible, near-infrared, short-wave infrared, ultra-blue, and cloud-probability ranges. A total of 4,688 polygons defining individual crop fields are provided, with 3,</w:t>
      </w:r>
      <w:r>
        <w:rPr>
          <w:rFonts w:ascii="Arial" w:hAnsi="Arial" w:eastAsia="Arial" w:cs="Arial"/>
          <w:sz w:val="22"/>
          <w:szCs w:val="22"/>
        </w:rPr>
        <w:t xml:space="preserve">286 used for training and 1,402 reserved for testing. The classification target is one of seven categories: three single crops and four intercropping combinations, the latter being especially common among the smallholder farmers represented in the dataset.</w:t>
      </w:r>
      <w:r/>
    </w:p>
    <w:p>
      <w:pPr>
        <w:pBdr/>
        <w:spacing w:after="120" w:before="80" w:line="320" w:lineRule="auto"/>
        <w:ind/>
        <w:jc w:val="both"/>
        <w:rPr/>
      </w:pPr>
      <w:r>
        <w:rPr>
          <w:rFonts w:ascii="Arial" w:hAnsi="Arial" w:eastAsia="Arial" w:cs="Arial"/>
          <w:sz w:val="22"/>
          <w:szCs w:val="22"/>
        </w:rPr>
        <w:t xml:space="preserve">Several characteristics of this problem make it intrinsically difficult. The dataset is sma</w:t>
      </w:r>
      <w:r>
        <w:rPr>
          <w:rFonts w:ascii="Arial" w:hAnsi="Arial" w:eastAsia="Arial" w:cs="Arial"/>
          <w:sz w:val="22"/>
          <w:szCs w:val="22"/>
        </w:rPr>
        <w:t xml:space="preserve">ll relative to the dimensionality of the input (each field is described by 13 bands × 13 timesteps × area pixels). The class distribution is heavily imbalanced — Maize alone accounts for over thirty percent of all training fields, while several intercrop c</w:t>
      </w:r>
      <w:r>
        <w:rPr>
          <w:rFonts w:ascii="Arial" w:hAnsi="Arial" w:eastAsia="Arial" w:cs="Arial"/>
          <w:sz w:val="22"/>
          <w:szCs w:val="22"/>
        </w:rPr>
        <w:t xml:space="preserve">lasses have fewer than one hundred examples. Many fields cover only a handful of pixels, which limits the spatial information available per sample and makes traditional convolutional pipelines prone to padding-dominated representations. Finally, the tempor</w:t>
      </w:r>
      <w:r>
        <w:rPr>
          <w:rFonts w:ascii="Arial" w:hAnsi="Arial" w:eastAsia="Arial" w:cs="Arial"/>
          <w:sz w:val="22"/>
          <w:szCs w:val="22"/>
        </w:rPr>
        <w:t xml:space="preserve">al signal — the way each crop reflects light differently across the growing season — is the discriminative cue that a successful model must learn to exploit, while remaining robust to clouds, partial-coverage acquisitions, and irregular sampling intervals.</w:t>
      </w:r>
      <w:r/>
    </w:p>
    <w:p>
      <w:pPr>
        <w:pBdr/>
        <w:spacing w:after="120" w:before="80" w:line="320" w:lineRule="auto"/>
        <w:ind/>
        <w:jc w:val="both"/>
        <w:rPr/>
      </w:pPr>
      <w:r>
        <w:rPr>
          <w:rFonts w:ascii="Arial" w:hAnsi="Arial" w:eastAsia="Arial" w:cs="Arial"/>
          <w:sz w:val="22"/>
          <w:szCs w:val="22"/>
        </w:rPr>
        <w:t xml:space="preserve">This report describes a complete deep-learning </w:t>
      </w:r>
      <w:r>
        <w:rPr>
          <w:rFonts w:ascii="Arial" w:hAnsi="Arial" w:eastAsia="Arial" w:cs="Arial"/>
          <w:sz w:val="22"/>
          <w:szCs w:val="22"/>
        </w:rPr>
        <w:t xml:space="preserve">pipeline that addresses these challenges through careful preprocessing, a hybrid spatial–temporal architecture, and aggressive ensembling. The work corresponds to the winning submission to the CGIAR / Zindi crop detection competition based on this dataset.</w:t>
      </w:r>
      <w:r/>
    </w:p>
    <w:p>
      <w:pPr>
        <w:pStyle w:val="723"/>
        <w:pBdr/>
        <w:spacing w:after="160" w:before="320"/>
        <w:ind/>
        <w:rPr/>
      </w:pPr>
      <w:r>
        <w:rPr>
          <w:rFonts w:ascii="Arial" w:hAnsi="Arial" w:eastAsia="Arial" w:cs="Arial"/>
          <w:b/>
          <w:bCs/>
          <w:sz w:val="32"/>
          <w:szCs w:val="32"/>
        </w:rPr>
        <w:t xml:space="preserve">3. Literature Review</w:t>
      </w:r>
      <w:r/>
    </w:p>
    <w:p>
      <w:pPr>
        <w:pBdr/>
        <w:spacing w:after="120" w:before="80" w:line="320" w:lineRule="auto"/>
        <w:ind/>
        <w:jc w:val="both"/>
        <w:rPr/>
      </w:pPr>
      <w:r>
        <w:rPr>
          <w:rFonts w:ascii="Arial" w:hAnsi="Arial" w:eastAsia="Arial" w:cs="Arial"/>
          <w:sz w:val="22"/>
          <w:szCs w:val="22"/>
        </w:rPr>
        <w:t xml:space="preserve">Crop classification from satellite imagery has progressed through three broad waves of methodology, each summarised below in roughly increasing order of representational power.</w:t>
      </w:r>
      <w:r/>
    </w:p>
    <w:p>
      <w:pPr>
        <w:pStyle w:val="724"/>
        <w:pBdr/>
        <w:spacing w:after="120" w:before="240"/>
        <w:ind/>
        <w:rPr/>
      </w:pPr>
      <w:r>
        <w:rPr>
          <w:rFonts w:ascii="Arial" w:hAnsi="Arial" w:eastAsia="Arial" w:cs="Arial"/>
          <w:b/>
          <w:bCs/>
          <w:sz w:val="26"/>
          <w:szCs w:val="26"/>
        </w:rPr>
        <w:t xml:space="preserve">3.1 Pixel-based and feature-based classifiers</w:t>
      </w:r>
      <w:r/>
    </w:p>
    <w:p>
      <w:pPr>
        <w:pBdr/>
        <w:spacing w:after="120" w:before="80" w:line="320" w:lineRule="auto"/>
        <w:ind/>
        <w:jc w:val="both"/>
        <w:rPr/>
      </w:pPr>
      <w:r>
        <w:rPr>
          <w:rFonts w:ascii="Arial" w:hAnsi="Arial" w:eastAsia="Arial" w:cs="Arial"/>
          <w:sz w:val="22"/>
          <w:szCs w:val="22"/>
        </w:rPr>
        <w:t xml:space="preserve">Earlier work on crop classification typically operates at the pixel l</w:t>
      </w:r>
      <w:r>
        <w:rPr>
          <w:rFonts w:ascii="Arial" w:hAnsi="Arial" w:eastAsia="Arial" w:cs="Arial"/>
          <w:sz w:val="22"/>
          <w:szCs w:val="22"/>
        </w:rPr>
        <w:t xml:space="preserve">evel, treating each pixel's multi-temporal spectral profile as a feature vector and applying a classical machine-learning model. Random forests have been a standard choice in this regime because they handle high-dimensional, mixed-scale features well and c</w:t>
      </w:r>
      <w:r>
        <w:rPr>
          <w:rFonts w:ascii="Arial" w:hAnsi="Arial" w:eastAsia="Arial" w:cs="Arial"/>
          <w:sz w:val="22"/>
          <w:szCs w:val="22"/>
        </w:rPr>
        <w:t xml:space="preserve">ope reasonably with the noisy, partially missing observations characteristic of optical remote sensing. Ok et al. (2012) evaluated random forests for agricultural crop classification on Landsat imagery and reported strong performance compared to maximum-li</w:t>
      </w:r>
      <w:r>
        <w:rPr>
          <w:rFonts w:ascii="Arial" w:hAnsi="Arial" w:eastAsia="Arial" w:cs="Arial"/>
          <w:sz w:val="22"/>
          <w:szCs w:val="22"/>
        </w:rPr>
        <w:t xml:space="preserve">kelihood baselines. Viskovic et al. (2019) extended this line of work to multi-spectral, multi-temporal Sentinel-2 data, confirming that ensemble tree models remain competitive when carefully engineered features such as vegetation indices are provided. The</w:t>
      </w:r>
      <w:r>
        <w:rPr>
          <w:rFonts w:ascii="Arial" w:hAnsi="Arial" w:eastAsia="Arial" w:cs="Arial"/>
          <w:sz w:val="22"/>
          <w:szCs w:val="22"/>
        </w:rPr>
        <w:t xml:space="preserve"> principal limitation of these approaches is that they discard spatial structure: a pixel-wise classifier cannot exploit the texture, geometry, and field-boundary information that often distinguishes one crop from another at comparable phenological stages.</w:t>
      </w:r>
      <w:r/>
    </w:p>
    <w:p>
      <w:pPr>
        <w:pStyle w:val="724"/>
        <w:pBdr/>
        <w:spacing w:after="120" w:before="240"/>
        <w:ind/>
        <w:rPr/>
      </w:pPr>
      <w:r>
        <w:rPr>
          <w:rFonts w:ascii="Arial" w:hAnsi="Arial" w:eastAsia="Arial" w:cs="Arial"/>
          <w:b/>
          <w:bCs/>
          <w:sz w:val="26"/>
          <w:szCs w:val="26"/>
        </w:rPr>
        <w:t xml:space="preserve">3.2 Spatial deep learning with 2D and 3D convolutional networks</w:t>
      </w:r>
      <w:r/>
    </w:p>
    <w:p>
      <w:pPr>
        <w:pBdr/>
        <w:spacing w:after="120" w:before="80" w:line="320" w:lineRule="auto"/>
        <w:ind/>
        <w:jc w:val="both"/>
        <w:rPr/>
      </w:pPr>
      <w:r>
        <w:rPr>
          <w:rFonts w:ascii="Arial" w:hAnsi="Arial" w:eastAsia="Arial" w:cs="Arial"/>
          <w:sz w:val="22"/>
          <w:szCs w:val="22"/>
        </w:rPr>
        <w:t xml:space="preserve">To capture spatial context, a second generation of methods applied convolutional neural networks (CNNs) directly to image patches. For multi-temporal data, three-dimen</w:t>
      </w:r>
      <w:r>
        <w:rPr>
          <w:rFonts w:ascii="Arial" w:hAnsi="Arial" w:eastAsia="Arial" w:cs="Arial"/>
          <w:sz w:val="22"/>
          <w:szCs w:val="22"/>
        </w:rPr>
        <w:t xml:space="preserve">sional convolutions provide a natural extension by treating time as a third spatial axis. Ji et al. (2020) introduced 3D CNNs for precise crop classification from multi-temporal satellite images and showed that learning discriminative spatio-temporal filte</w:t>
      </w:r>
      <w:r>
        <w:rPr>
          <w:rFonts w:ascii="Arial" w:hAnsi="Arial" w:eastAsia="Arial" w:cs="Arial"/>
          <w:sz w:val="22"/>
          <w:szCs w:val="22"/>
        </w:rPr>
        <w:t xml:space="preserve">rs consistently outperformed 2D-only and pixel-only baselines. The trade-off, however, is parameter cost: 3D kernels grow rapidly with the number of timesteps and channels, which is problematic on small annotated datasets such as the one used in this work.</w:t>
      </w:r>
      <w:r/>
    </w:p>
    <w:p>
      <w:pPr>
        <w:pStyle w:val="724"/>
        <w:pBdr/>
        <w:spacing w:after="120" w:before="240"/>
        <w:ind/>
        <w:rPr/>
      </w:pPr>
      <w:r>
        <w:rPr>
          <w:rFonts w:ascii="Arial" w:hAnsi="Arial" w:eastAsia="Arial" w:cs="Arial"/>
          <w:b/>
          <w:bCs/>
          <w:sz w:val="26"/>
          <w:szCs w:val="26"/>
        </w:rPr>
        <w:t xml:space="preserve">3.3 Hybrid spatial–temporal architectures</w:t>
      </w:r>
      <w:r/>
    </w:p>
    <w:p>
      <w:pPr>
        <w:pBdr/>
        <w:spacing w:after="120" w:before="80" w:line="320" w:lineRule="auto"/>
        <w:ind/>
        <w:jc w:val="both"/>
        <w:rPr/>
      </w:pPr>
      <w:r>
        <w:rPr>
          <w:rFonts w:ascii="Arial" w:hAnsi="Arial" w:eastAsia="Arial" w:cs="Arial"/>
          <w:sz w:val="22"/>
          <w:szCs w:val="22"/>
        </w:rPr>
        <w:t xml:space="preserve">A more parameter-efficient alternative is to factor the spatio-temporal problem </w:t>
      </w:r>
      <w:r>
        <w:rPr>
          <w:rFonts w:ascii="Arial" w:hAnsi="Arial" w:eastAsia="Arial" w:cs="Arial"/>
          <w:sz w:val="22"/>
          <w:szCs w:val="22"/>
        </w:rPr>
        <w:t xml:space="preserve">into a shared 2D convolutional encoder applied independently to each timestep, followed by a recurrent network — typically an LSTM or GRU — that aggregates the resulting time series of feature vectors. This factorisation has become standard in remote-sensi</w:t>
      </w:r>
      <w:r>
        <w:rPr>
          <w:rFonts w:ascii="Arial" w:hAnsi="Arial" w:eastAsia="Arial" w:cs="Arial"/>
          <w:sz w:val="22"/>
          <w:szCs w:val="22"/>
        </w:rPr>
        <w:t xml:space="preserve">ng literature on crop and land-cover mapping, because it isolates spatial and temporal modelling capacity and dramatically reduces the parameter count compared to fully volumetric 3D CNNs. The architecture used in this report belongs to this hybrid family.</w:t>
      </w:r>
      <w:r/>
    </w:p>
    <w:p>
      <w:pPr>
        <w:pStyle w:val="724"/>
        <w:pBdr/>
        <w:spacing w:after="120" w:before="240"/>
        <w:ind/>
        <w:rPr/>
      </w:pPr>
      <w:r>
        <w:rPr>
          <w:rFonts w:ascii="Arial" w:hAnsi="Arial" w:eastAsia="Arial" w:cs="Arial"/>
          <w:b/>
          <w:bCs/>
          <w:sz w:val="26"/>
          <w:szCs w:val="26"/>
        </w:rPr>
        <w:t xml:space="preserve">3.4 Ensembling and regularisation in low-data regimes</w:t>
      </w:r>
      <w:r/>
    </w:p>
    <w:p>
      <w:pPr>
        <w:pBdr/>
        <w:spacing w:after="120" w:before="80" w:line="320" w:lineRule="auto"/>
        <w:ind/>
        <w:jc w:val="both"/>
        <w:rPr/>
      </w:pPr>
      <w:r>
        <w:rPr>
          <w:rFonts w:ascii="Arial" w:hAnsi="Arial" w:eastAsia="Arial" w:cs="Arial"/>
          <w:sz w:val="22"/>
          <w:szCs w:val="22"/>
        </w:rPr>
        <w:t xml:space="preserve">Two ensembling techniques drawn from the broader deep-learning literature play a central role in the present work. Snapshot Ensembles (Huang et al., 2017) train a single model with a cyclical l</w:t>
      </w:r>
      <w:r>
        <w:rPr>
          <w:rFonts w:ascii="Arial" w:hAnsi="Arial" w:eastAsia="Arial" w:cs="Arial"/>
          <w:sz w:val="22"/>
          <w:szCs w:val="22"/>
        </w:rPr>
        <w:t xml:space="preserve">earning-rate schedule and treat the model state at the end of each cycle as an independent ensemble member, obtaining ensemble-level diversity without paying the full cost of training multiple models from scratch. Mixup (Zhang et al., 2017) is a data-augme</w:t>
      </w:r>
      <w:r>
        <w:rPr>
          <w:rFonts w:ascii="Arial" w:hAnsi="Arial" w:eastAsia="Arial" w:cs="Arial"/>
          <w:sz w:val="22"/>
          <w:szCs w:val="22"/>
        </w:rPr>
        <w:t xml:space="preserve">ntation strategy that constructs synthetic training samples as convex combinations of input–label pairs, acting as a strong regulariser particularly in small-data settings. Vegetation indices such as the Normalised Difference Vegetation Index (NDVI) and th</w:t>
      </w:r>
      <w:r>
        <w:rPr>
          <w:rFonts w:ascii="Arial" w:hAnsi="Arial" w:eastAsia="Arial" w:cs="Arial"/>
          <w:sz w:val="22"/>
          <w:szCs w:val="22"/>
        </w:rPr>
        <w:t xml:space="preserve">e Normalised Difference Water Index (NDWI) — see Karnieli et al. (2010) and McFeeters (1996) — remain ubiquitous as engineered inputs that highlight chlorophyll activity and water content respectively, both of which carry strong crop-discriminative signal.</w:t>
      </w:r>
      <w:r/>
    </w:p>
    <w:p>
      <w:pPr>
        <w:pStyle w:val="723"/>
        <w:pBdr/>
        <w:spacing w:after="160" w:before="320"/>
        <w:ind/>
        <w:rPr/>
      </w:pPr>
      <w:r>
        <w:rPr>
          <w:rFonts w:ascii="Arial" w:hAnsi="Arial" w:eastAsia="Arial" w:cs="Arial"/>
          <w:b/>
          <w:bCs/>
          <w:sz w:val="32"/>
          <w:szCs w:val="32"/>
        </w:rPr>
        <w:t xml:space="preserve">4. Research Gaps</w:t>
      </w:r>
      <w:r/>
    </w:p>
    <w:p>
      <w:pPr>
        <w:pBdr/>
        <w:spacing w:after="120" w:before="80" w:line="320" w:lineRule="auto"/>
        <w:ind/>
        <w:jc w:val="both"/>
        <w:rPr/>
      </w:pPr>
      <w:r>
        <w:rPr>
          <w:rFonts w:ascii="Arial" w:hAnsi="Arial" w:eastAsia="Arial" w:cs="Arial"/>
          <w:sz w:val="22"/>
          <w:szCs w:val="22"/>
        </w:rPr>
        <w:t xml:space="preserve">Reviewing the literature in light of the specific dataset used in this work surfaces several gaps that motivate the chosen design.</w:t>
      </w:r>
      <w:r/>
    </w:p>
    <w:p>
      <w:pPr>
        <w:pStyle w:val="715"/>
        <w:numPr>
          <w:ilvl w:val="0"/>
          <w:numId w:val="2"/>
        </w:numPr>
        <w:pBdr/>
        <w:spacing w:after="40" w:before="40" w:line="300" w:lineRule="auto"/>
        <w:ind/>
        <w:rPr/>
      </w:pPr>
      <w:r>
        <w:rPr>
          <w:rFonts w:ascii="Arial" w:hAnsi="Arial" w:eastAsia="Arial" w:cs="Arial"/>
          <w:sz w:val="22"/>
          <w:szCs w:val="22"/>
        </w:rPr>
        <w:t xml:space="preserve">Most published approaches assume relatively large annotated corpora. The Western K</w:t>
      </w:r>
      <w:r>
        <w:rPr>
          <w:rFonts w:ascii="Arial" w:hAnsi="Arial" w:eastAsia="Arial" w:cs="Arial"/>
          <w:sz w:val="22"/>
          <w:szCs w:val="22"/>
        </w:rPr>
        <w:t xml:space="preserve">enya dataset has only 3,286 training fields across seven classes, which is small by deep-learning standards and exacerbates overfitting risk. Strategies that work well at scale — particularly large 3D CNNs — are likely to underperform their potential here.</w:t>
      </w:r>
      <w:r/>
    </w:p>
    <w:p>
      <w:pPr>
        <w:pStyle w:val="715"/>
        <w:numPr>
          <w:ilvl w:val="0"/>
          <w:numId w:val="2"/>
        </w:numPr>
        <w:pBdr/>
        <w:spacing w:after="40" w:before="40" w:line="300" w:lineRule="auto"/>
        <w:ind/>
        <w:rPr/>
      </w:pPr>
      <w:r>
        <w:rPr>
          <w:rFonts w:ascii="Arial" w:hAnsi="Arial" w:eastAsia="Arial" w:cs="Arial"/>
          <w:sz w:val="22"/>
          <w:szCs w:val="22"/>
        </w:rPr>
        <w:t xml:space="preserve">Pixel-wise classifiers ignore field geometry, but standard image-patch CNNs face the opposite problem: the patch around a small field contains many pixels that do not belong to that field at all. </w:t>
      </w:r>
      <w:r>
        <w:rPr>
          <w:rFonts w:ascii="Arial" w:hAnsi="Arial" w:eastAsia="Arial" w:cs="Arial"/>
          <w:sz w:val="22"/>
          <w:szCs w:val="22"/>
        </w:rPr>
        <w:t xml:space="preserve">Without an explicit mechanism to suppress these neighbouring pixels, the model may learn spurious correlations with surrounding land cover. A pooling operation that respects the field mask is therefore desirable but not standard in published architectures.</w:t>
      </w:r>
      <w:r/>
    </w:p>
    <w:p>
      <w:pPr>
        <w:pStyle w:val="715"/>
        <w:numPr>
          <w:ilvl w:val="0"/>
          <w:numId w:val="2"/>
        </w:numPr>
        <w:pBdr/>
        <w:spacing w:after="40" w:before="40" w:line="300" w:lineRule="auto"/>
        <w:ind/>
        <w:rPr/>
      </w:pPr>
      <w:r>
        <w:rPr>
          <w:rFonts w:ascii="Arial" w:hAnsi="Arial" w:eastAsia="Arial" w:cs="Arial"/>
          <w:sz w:val="22"/>
          <w:szCs w:val="22"/>
        </w:rPr>
        <w:t xml:space="preserve">Class imbalance in this dataset </w:t>
      </w:r>
      <w:r>
        <w:rPr>
          <w:rFonts w:ascii="Arial" w:hAnsi="Arial" w:eastAsia="Arial" w:cs="Arial"/>
          <w:sz w:val="22"/>
          <w:szCs w:val="22"/>
        </w:rPr>
        <w:t xml:space="preserve">is severe: the rarest class (Cassava &amp; Common Beans) has under a hundred samples, while Maize alone accounts for nearly a third of the training set. Stratified validation is essential for meaningful model selection but is not always reported in prior work.</w:t>
      </w:r>
      <w:r/>
    </w:p>
    <w:p>
      <w:pPr>
        <w:pStyle w:val="715"/>
        <w:numPr>
          <w:ilvl w:val="0"/>
          <w:numId w:val="2"/>
        </w:numPr>
        <w:pBdr/>
        <w:spacing w:after="40" w:before="40" w:line="300" w:lineRule="auto"/>
        <w:ind/>
        <w:rPr/>
      </w:pPr>
      <w:r>
        <w:rPr>
          <w:rFonts w:ascii="Arial" w:hAnsi="Arial" w:eastAsia="Arial" w:cs="Arial"/>
          <w:sz w:val="22"/>
          <w:szCs w:val="22"/>
        </w:rPr>
        <w:t xml:space="preserve">Many fields cover only a handful of pixels, which means that spatial pooling decisions interact strongly with field area. This interaction is not deeply explored in published literature on field-level crop classification.</w:t>
      </w:r>
      <w:r/>
    </w:p>
    <w:p>
      <w:pPr>
        <w:pStyle w:val="715"/>
        <w:numPr>
          <w:ilvl w:val="0"/>
          <w:numId w:val="2"/>
        </w:numPr>
        <w:pBdr/>
        <w:spacing w:after="40" w:before="40" w:line="300" w:lineRule="auto"/>
        <w:ind/>
        <w:rPr/>
      </w:pPr>
      <w:r>
        <w:rPr>
          <w:rFonts w:ascii="Arial" w:hAnsi="Arial" w:eastAsia="Arial" w:cs="Arial"/>
          <w:sz w:val="22"/>
          <w:szCs w:val="22"/>
        </w:rPr>
        <w:t xml:space="preserve">Exi</w:t>
      </w:r>
      <w:r>
        <w:rPr>
          <w:rFonts w:ascii="Arial" w:hAnsi="Arial" w:eastAsia="Arial" w:cs="Arial"/>
          <w:sz w:val="22"/>
          <w:szCs w:val="22"/>
        </w:rPr>
        <w:t xml:space="preserve">sting benchmarks rarely combine bagging and snapshot ensembling in a single pipeline, despite the complementary diversity these two techniques produce. Whether this combination yields measurable gains on a small remote-sensing dataset was an open question.</w:t>
      </w:r>
      <w:r/>
    </w:p>
    <w:p>
      <w:pPr>
        <w:pStyle w:val="723"/>
        <w:pBdr/>
        <w:spacing w:after="160" w:before="320"/>
        <w:ind/>
        <w:rPr/>
      </w:pPr>
      <w:r>
        <w:rPr>
          <w:rFonts w:ascii="Arial" w:hAnsi="Arial" w:eastAsia="Arial" w:cs="Arial"/>
          <w:b/>
          <w:bCs/>
          <w:sz w:val="32"/>
          <w:szCs w:val="32"/>
        </w:rPr>
        <w:t xml:space="preserve">5. Objectives and Research Questions</w:t>
      </w:r>
      <w:r/>
    </w:p>
    <w:p>
      <w:pPr>
        <w:pBdr/>
        <w:spacing w:after="120" w:before="80" w:line="320" w:lineRule="auto"/>
        <w:ind/>
        <w:jc w:val="both"/>
        <w:rPr/>
      </w:pPr>
      <w:r>
        <w:rPr>
          <w:rFonts w:ascii="Arial" w:hAnsi="Arial" w:eastAsia="Arial" w:cs="Arial"/>
          <w:sz w:val="22"/>
          <w:szCs w:val="22"/>
        </w:rPr>
        <w:t xml:space="preserve">Given the gaps identified above, this work addresses the following objectives:</w:t>
      </w:r>
      <w:r/>
    </w:p>
    <w:p>
      <w:pPr>
        <w:pStyle w:val="715"/>
        <w:numPr>
          <w:ilvl w:val="0"/>
          <w:numId w:val="2"/>
        </w:numPr>
        <w:pBdr/>
        <w:spacing w:after="40" w:before="40" w:line="300" w:lineRule="auto"/>
        <w:ind/>
        <w:rPr/>
      </w:pPr>
      <w:r>
        <w:rPr>
          <w:rFonts w:ascii="Arial" w:hAnsi="Arial" w:eastAsia="Arial" w:cs="Arial"/>
          <w:sz w:val="22"/>
          <w:szCs w:val="22"/>
        </w:rPr>
        <w:t xml:space="preserve">Desi</w:t>
      </w:r>
      <w:r>
        <w:rPr>
          <w:rFonts w:ascii="Arial" w:hAnsi="Arial" w:eastAsia="Arial" w:cs="Arial"/>
          <w:sz w:val="22"/>
          <w:szCs w:val="22"/>
        </w:rPr>
        <w:t xml:space="preserve">gn a deep-learning architecture that simultaneously models per-timestep spatial features and the temporal evolution of those features across the growing season, while keeping the parameter count tractable for a dataset of fewer than 4,000 training samples.</w:t>
      </w:r>
      <w:r/>
    </w:p>
    <w:p>
      <w:pPr>
        <w:pStyle w:val="715"/>
        <w:numPr>
          <w:ilvl w:val="0"/>
          <w:numId w:val="2"/>
        </w:numPr>
        <w:pBdr/>
        <w:spacing w:after="40" w:before="40" w:line="300" w:lineRule="auto"/>
        <w:ind/>
        <w:rPr/>
      </w:pPr>
      <w:r>
        <w:rPr>
          <w:rFonts w:ascii="Arial" w:hAnsi="Arial" w:eastAsia="Arial" w:cs="Arial"/>
          <w:sz w:val="22"/>
          <w:szCs w:val="22"/>
        </w:rPr>
        <w:t xml:space="preserve">Incorporate the field mask directly into the model as a first-class input, so that feature aggregation reflects only the pixels that actually belong to the crop of interest.</w:t>
      </w:r>
      <w:r/>
    </w:p>
    <w:p>
      <w:pPr>
        <w:pStyle w:val="715"/>
        <w:numPr>
          <w:ilvl w:val="0"/>
          <w:numId w:val="2"/>
        </w:numPr>
        <w:pBdr/>
        <w:spacing w:after="40" w:before="40" w:line="300" w:lineRule="auto"/>
        <w:ind/>
        <w:rPr/>
      </w:pPr>
      <w:r>
        <w:rPr>
          <w:rFonts w:ascii="Arial" w:hAnsi="Arial" w:eastAsia="Arial" w:cs="Arial"/>
          <w:sz w:val="22"/>
          <w:szCs w:val="22"/>
        </w:rPr>
        <w:t xml:space="preserve">Establish a robust local validation strategy that gives a faithful estimate of leaderboard performance under severe class imbalance.</w:t>
      </w:r>
      <w:r/>
    </w:p>
    <w:p>
      <w:pPr>
        <w:pStyle w:val="715"/>
        <w:numPr>
          <w:ilvl w:val="0"/>
          <w:numId w:val="2"/>
        </w:numPr>
        <w:pBdr/>
        <w:spacing w:after="40" w:before="40" w:line="300" w:lineRule="auto"/>
        <w:ind/>
        <w:rPr/>
      </w:pPr>
      <w:r>
        <w:rPr>
          <w:rFonts w:ascii="Arial" w:hAnsi="Arial" w:eastAsia="Arial" w:cs="Arial"/>
          <w:sz w:val="22"/>
          <w:szCs w:val="22"/>
        </w:rPr>
        <w:t xml:space="preserve">Quantify the contributio</w:t>
      </w:r>
      <w:r>
        <w:rPr>
          <w:rFonts w:ascii="Arial" w:hAnsi="Arial" w:eastAsia="Arial" w:cs="Arial"/>
          <w:sz w:val="22"/>
          <w:szCs w:val="22"/>
        </w:rPr>
        <w:t xml:space="preserve">n of feature engineering (vegetation indices, variance stabilisation, standardisation), data augmentation (Mixup, spatial transforms, time-step dropout), and two-level ensembling (snapshot ensembles within folds, bagging across folds) to final performance.</w:t>
      </w:r>
      <w:r/>
    </w:p>
    <w:p>
      <w:pPr>
        <w:pStyle w:val="715"/>
        <w:numPr>
          <w:ilvl w:val="0"/>
          <w:numId w:val="2"/>
        </w:numPr>
        <w:pBdr/>
        <w:spacing w:after="40" w:before="40" w:line="300" w:lineRule="auto"/>
        <w:ind/>
        <w:rPr/>
      </w:pPr>
      <w:r>
        <w:rPr>
          <w:rFonts w:ascii="Arial" w:hAnsi="Arial" w:eastAsia="Arial" w:cs="Arial"/>
          <w:sz w:val="22"/>
          <w:szCs w:val="22"/>
        </w:rPr>
        <w:t xml:space="preserve">Validate the approach by comparing its test-set cross-entropy against competing submissions on a public leaderboard.</w:t>
      </w:r>
      <w:r/>
    </w:p>
    <w:p>
      <w:pPr>
        <w:pBdr/>
        <w:spacing w:after="120" w:before="80" w:line="320" w:lineRule="auto"/>
        <w:ind/>
        <w:jc w:val="both"/>
        <w:rPr/>
      </w:pPr>
      <w:r>
        <w:rPr>
          <w:rFonts w:ascii="Arial" w:hAnsi="Arial" w:eastAsia="Arial" w:cs="Arial"/>
          <w:sz w:val="22"/>
          <w:szCs w:val="22"/>
        </w:rPr>
        <w:t xml:space="preserve">The corresponding research questions are: (Q1) Does a CNN→masked-pooling→GRU factorisation outperform purely spatial or purely temporal baselines on field-level crop classification? (Q2) How much improvement, if any, is con</w:t>
      </w:r>
      <w:r>
        <w:rPr>
          <w:rFonts w:ascii="Arial" w:hAnsi="Arial" w:eastAsia="Arial" w:cs="Arial"/>
          <w:sz w:val="22"/>
          <w:szCs w:val="22"/>
        </w:rPr>
        <w:t xml:space="preserve">tributed by combining bagging with snapshot ensembling, beyond either technique applied alone? (Q3) Are vegetation indices and square-root variance stabilisation still useful when the downstream model is a deep network capable of learning its own features?</w:t>
      </w:r>
      <w:r/>
    </w:p>
    <w:p>
      <w:pPr>
        <w:pStyle w:val="723"/>
        <w:pBdr/>
        <w:spacing w:after="160" w:before="320"/>
        <w:ind/>
        <w:rPr/>
      </w:pPr>
      <w:r>
        <w:rPr>
          <w:rFonts w:ascii="Arial" w:hAnsi="Arial" w:eastAsia="Arial" w:cs="Arial"/>
          <w:b/>
          <w:bCs/>
          <w:sz w:val="32"/>
          <w:szCs w:val="32"/>
        </w:rPr>
        <w:t xml:space="preserve">6. Methodology</w:t>
      </w:r>
      <w:r/>
    </w:p>
    <w:p>
      <w:pPr>
        <w:pStyle w:val="724"/>
        <w:pBdr/>
        <w:spacing w:after="120" w:before="240"/>
        <w:ind/>
        <w:rPr/>
      </w:pPr>
      <w:r>
        <w:rPr>
          <w:rFonts w:ascii="Arial" w:hAnsi="Arial" w:eastAsia="Arial" w:cs="Arial"/>
          <w:b/>
          <w:bCs/>
          <w:sz w:val="26"/>
          <w:szCs w:val="26"/>
        </w:rPr>
        <w:t xml:space="preserve">6.1 Dataset</w:t>
      </w:r>
      <w:r/>
    </w:p>
    <w:p>
      <w:pPr>
        <w:pBdr/>
        <w:spacing w:after="120" w:before="80" w:line="320" w:lineRule="auto"/>
        <w:ind/>
        <w:jc w:val="both"/>
        <w:rPr/>
      </w:pPr>
      <w:r>
        <w:rPr>
          <w:rFonts w:ascii="Arial" w:hAnsi="Arial" w:eastAsia="Arial" w:cs="Arial"/>
          <w:sz w:val="22"/>
          <w:szCs w:val="22"/>
        </w:rPr>
        <w:t xml:space="preserve">The dataset consists of Sentinel-2 acquisitions over four image tiles in western Kenya, covering thirteen dates between 6 June 2019 and 3 November 2019. Each acquisition inclu</w:t>
      </w:r>
      <w:r>
        <w:rPr>
          <w:rFonts w:ascii="Arial" w:hAnsi="Arial" w:eastAsia="Arial" w:cs="Arial"/>
          <w:sz w:val="22"/>
          <w:szCs w:val="22"/>
        </w:rPr>
        <w:t xml:space="preserve">des thirteen spectral bands: B01, B02, B03, B04, B05, B06, B07, B08, B8A, B09, B11, B12, and a CLD cloud-probability layer. Field polygons are provided as raster identifiers per tile, with associated crop labels. The class distribution is summarised below.</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4280"/>
        <w:gridCol w:w="2140"/>
        <w:gridCol w:w="2140"/>
      </w:tblGrid>
      <w:tr>
        <w:trPr>
          <w:tblHeader/>
        </w:trPr>
        <w:tc>
          <w:tcPr>
            <w:shd w:val="clear" w:color="auto" w:fill="d9e2f3"/>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800" w:type="dxa"/>
          </w:tcPr>
          <w:p>
            <w:pPr>
              <w:pBdr/>
              <w:spacing/>
              <w:ind/>
              <w:rPr/>
            </w:pPr>
            <w:r>
              <w:rPr>
                <w:rFonts w:ascii="Arial" w:hAnsi="Arial" w:eastAsia="Arial" w:cs="Arial"/>
                <w:b/>
                <w:bCs/>
                <w:sz w:val="22"/>
                <w:szCs w:val="22"/>
              </w:rPr>
              <w:t xml:space="preserve">ID</w:t>
            </w:r>
            <w:r/>
          </w:p>
        </w:tc>
        <w:tc>
          <w:tcPr>
            <w:shd w:val="clear" w:color="auto" w:fill="d9e2f3"/>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4280" w:type="dxa"/>
          </w:tcPr>
          <w:p>
            <w:pPr>
              <w:pBdr/>
              <w:spacing/>
              <w:ind/>
              <w:rPr/>
            </w:pPr>
            <w:r>
              <w:rPr>
                <w:rFonts w:ascii="Arial" w:hAnsi="Arial" w:eastAsia="Arial" w:cs="Arial"/>
                <w:b/>
                <w:bCs/>
                <w:sz w:val="22"/>
                <w:szCs w:val="22"/>
              </w:rPr>
              <w:t xml:space="preserve">Crop Class</w:t>
            </w:r>
            <w:r/>
          </w:p>
        </w:tc>
        <w:tc>
          <w:tcPr>
            <w:shd w:val="clear" w:color="auto" w:fill="d9e2f3"/>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140" w:type="dxa"/>
          </w:tcPr>
          <w:p>
            <w:pPr>
              <w:pBdr/>
              <w:spacing/>
              <w:ind/>
              <w:rPr/>
            </w:pPr>
            <w:r>
              <w:rPr>
                <w:rFonts w:ascii="Arial" w:hAnsi="Arial" w:eastAsia="Arial" w:cs="Arial"/>
                <w:b/>
                <w:bCs/>
                <w:sz w:val="22"/>
                <w:szCs w:val="22"/>
              </w:rPr>
              <w:t xml:space="preserve">Approx. Count</w:t>
            </w:r>
            <w:r/>
          </w:p>
        </w:tc>
        <w:tc>
          <w:tcPr>
            <w:shd w:val="clear" w:color="auto" w:fill="d9e2f3"/>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140" w:type="dxa"/>
          </w:tcPr>
          <w:p>
            <w:pPr>
              <w:pBdr/>
              <w:spacing/>
              <w:ind/>
              <w:rPr/>
            </w:pPr>
            <w:r>
              <w:rPr>
                <w:rFonts w:ascii="Arial" w:hAnsi="Arial" w:eastAsia="Arial" w:cs="Arial"/>
                <w:b/>
                <w:bCs/>
                <w:sz w:val="22"/>
                <w:szCs w:val="22"/>
              </w:rPr>
              <w:t xml:space="preserve">Class Type</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800" w:type="dxa"/>
          </w:tcPr>
          <w:p>
            <w:pPr>
              <w:pBdr/>
              <w:spacing/>
              <w:ind/>
              <w:rPr/>
            </w:pPr>
            <w:r>
              <w:rPr>
                <w:rFonts w:ascii="Arial" w:hAnsi="Arial" w:eastAsia="Arial" w:cs="Arial"/>
                <w:sz w:val="22"/>
                <w:szCs w:val="22"/>
              </w:rPr>
              <w:t xml:space="preserve">1</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4280" w:type="dxa"/>
          </w:tcPr>
          <w:p>
            <w:pPr>
              <w:pBdr/>
              <w:spacing/>
              <w:ind/>
              <w:rPr/>
            </w:pPr>
            <w:r>
              <w:rPr>
                <w:rFonts w:ascii="Arial" w:hAnsi="Arial" w:eastAsia="Arial" w:cs="Arial"/>
                <w:sz w:val="22"/>
                <w:szCs w:val="22"/>
              </w:rPr>
              <w:t xml:space="preserve">Maize</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140" w:type="dxa"/>
          </w:tcPr>
          <w:p>
            <w:pPr>
              <w:pBdr/>
              <w:spacing/>
              <w:ind/>
              <w:rPr/>
            </w:pPr>
            <w:r>
              <w:rPr>
                <w:rFonts w:ascii="Arial" w:hAnsi="Arial" w:eastAsia="Arial" w:cs="Arial"/>
                <w:sz w:val="22"/>
                <w:szCs w:val="22"/>
              </w:rPr>
              <w:t xml:space="preserve">~1460</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140" w:type="dxa"/>
          </w:tcPr>
          <w:p>
            <w:pPr>
              <w:pBdr/>
              <w:spacing/>
              <w:ind/>
              <w:rPr/>
            </w:pPr>
            <w:r>
              <w:rPr>
                <w:rFonts w:ascii="Arial" w:hAnsi="Arial" w:eastAsia="Arial" w:cs="Arial"/>
                <w:sz w:val="22"/>
                <w:szCs w:val="22"/>
              </w:rPr>
              <w:t xml:space="preserve">Single</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800" w:type="dxa"/>
          </w:tcPr>
          <w:p>
            <w:pPr>
              <w:pBdr/>
              <w:spacing/>
              <w:ind/>
              <w:rPr/>
            </w:pPr>
            <w:r>
              <w:rPr>
                <w:rFonts w:ascii="Arial" w:hAnsi="Arial" w:eastAsia="Arial" w:cs="Arial"/>
                <w:sz w:val="22"/>
                <w:szCs w:val="22"/>
              </w:rPr>
              <w:t xml:space="preserve">2</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4280" w:type="dxa"/>
          </w:tcPr>
          <w:p>
            <w:pPr>
              <w:pBdr/>
              <w:spacing/>
              <w:ind/>
              <w:rPr/>
            </w:pPr>
            <w:r>
              <w:rPr>
                <w:rFonts w:ascii="Arial" w:hAnsi="Arial" w:eastAsia="Arial" w:cs="Arial"/>
                <w:sz w:val="22"/>
                <w:szCs w:val="22"/>
              </w:rPr>
              <w:t xml:space="preserve">Cassava</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140" w:type="dxa"/>
          </w:tcPr>
          <w:p>
            <w:pPr>
              <w:pBdr/>
              <w:spacing/>
              <w:ind/>
              <w:rPr/>
            </w:pPr>
            <w:r>
              <w:rPr>
                <w:rFonts w:ascii="Arial" w:hAnsi="Arial" w:eastAsia="Arial" w:cs="Arial"/>
                <w:sz w:val="22"/>
                <w:szCs w:val="22"/>
              </w:rPr>
              <w:t xml:space="preserve">~830</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140" w:type="dxa"/>
          </w:tcPr>
          <w:p>
            <w:pPr>
              <w:pBdr/>
              <w:spacing/>
              <w:ind/>
              <w:rPr/>
            </w:pPr>
            <w:r>
              <w:rPr>
                <w:rFonts w:ascii="Arial" w:hAnsi="Arial" w:eastAsia="Arial" w:cs="Arial"/>
                <w:sz w:val="22"/>
                <w:szCs w:val="22"/>
              </w:rPr>
              <w:t xml:space="preserve">Single</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800" w:type="dxa"/>
          </w:tcPr>
          <w:p>
            <w:pPr>
              <w:pBdr/>
              <w:spacing/>
              <w:ind/>
              <w:rPr/>
            </w:pPr>
            <w:r>
              <w:rPr>
                <w:rFonts w:ascii="Arial" w:hAnsi="Arial" w:eastAsia="Arial" w:cs="Arial"/>
                <w:sz w:val="22"/>
                <w:szCs w:val="22"/>
              </w:rPr>
              <w:t xml:space="preserve">3</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4280" w:type="dxa"/>
          </w:tcPr>
          <w:p>
            <w:pPr>
              <w:pBdr/>
              <w:spacing/>
              <w:ind/>
              <w:rPr/>
            </w:pPr>
            <w:r>
              <w:rPr>
                <w:rFonts w:ascii="Arial" w:hAnsi="Arial" w:eastAsia="Arial" w:cs="Arial"/>
                <w:sz w:val="22"/>
                <w:szCs w:val="22"/>
              </w:rPr>
              <w:t xml:space="preserve">Common Beans</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140" w:type="dxa"/>
          </w:tcPr>
          <w:p>
            <w:pPr>
              <w:pBdr/>
              <w:spacing/>
              <w:ind/>
              <w:rPr/>
            </w:pPr>
            <w:r>
              <w:rPr>
                <w:rFonts w:ascii="Arial" w:hAnsi="Arial" w:eastAsia="Arial" w:cs="Arial"/>
                <w:sz w:val="22"/>
                <w:szCs w:val="22"/>
              </w:rPr>
              <w:t xml:space="preserve">~95</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140" w:type="dxa"/>
          </w:tcPr>
          <w:p>
            <w:pPr>
              <w:pBdr/>
              <w:spacing/>
              <w:ind/>
              <w:rPr/>
            </w:pPr>
            <w:r>
              <w:rPr>
                <w:rFonts w:ascii="Arial" w:hAnsi="Arial" w:eastAsia="Arial" w:cs="Arial"/>
                <w:sz w:val="22"/>
                <w:szCs w:val="22"/>
              </w:rPr>
              <w:t xml:space="preserve">Single</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800" w:type="dxa"/>
          </w:tcPr>
          <w:p>
            <w:pPr>
              <w:pBdr/>
              <w:spacing/>
              <w:ind/>
              <w:rPr/>
            </w:pPr>
            <w:r>
              <w:rPr>
                <w:rFonts w:ascii="Arial" w:hAnsi="Arial" w:eastAsia="Arial" w:cs="Arial"/>
                <w:sz w:val="22"/>
                <w:szCs w:val="22"/>
              </w:rPr>
              <w:t xml:space="preserve">4</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4280" w:type="dxa"/>
          </w:tcPr>
          <w:p>
            <w:pPr>
              <w:pBdr/>
              <w:spacing/>
              <w:ind/>
              <w:rPr/>
            </w:pPr>
            <w:r>
              <w:rPr>
                <w:rFonts w:ascii="Arial" w:hAnsi="Arial" w:eastAsia="Arial" w:cs="Arial"/>
                <w:sz w:val="22"/>
                <w:szCs w:val="22"/>
              </w:rPr>
              <w:t xml:space="preserve">Maize &amp; Common Beans</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140" w:type="dxa"/>
          </w:tcPr>
          <w:p>
            <w:pPr>
              <w:pBdr/>
              <w:spacing/>
              <w:ind/>
              <w:rPr/>
            </w:pPr>
            <w:r>
              <w:rPr>
                <w:rFonts w:ascii="Arial" w:hAnsi="Arial" w:eastAsia="Arial" w:cs="Arial"/>
                <w:sz w:val="22"/>
                <w:szCs w:val="22"/>
              </w:rPr>
              <w:t xml:space="preserve">~485</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140" w:type="dxa"/>
          </w:tcPr>
          <w:p>
            <w:pPr>
              <w:pBdr/>
              <w:spacing/>
              <w:ind/>
              <w:rPr/>
            </w:pPr>
            <w:r>
              <w:rPr>
                <w:rFonts w:ascii="Arial" w:hAnsi="Arial" w:eastAsia="Arial" w:cs="Arial"/>
                <w:sz w:val="22"/>
                <w:szCs w:val="22"/>
              </w:rPr>
              <w:t xml:space="preserve">Intercrop</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800" w:type="dxa"/>
          </w:tcPr>
          <w:p>
            <w:pPr>
              <w:pBdr/>
              <w:spacing/>
              <w:ind/>
              <w:rPr/>
            </w:pPr>
            <w:r>
              <w:rPr>
                <w:rFonts w:ascii="Arial" w:hAnsi="Arial" w:eastAsia="Arial" w:cs="Arial"/>
                <w:sz w:val="22"/>
                <w:szCs w:val="22"/>
              </w:rPr>
              <w:t xml:space="preserve">5</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4280" w:type="dxa"/>
          </w:tcPr>
          <w:p>
            <w:pPr>
              <w:pBdr/>
              <w:spacing/>
              <w:ind/>
              <w:rPr/>
            </w:pPr>
            <w:r>
              <w:rPr>
                <w:rFonts w:ascii="Arial" w:hAnsi="Arial" w:eastAsia="Arial" w:cs="Arial"/>
                <w:sz w:val="22"/>
                <w:szCs w:val="22"/>
              </w:rPr>
              <w:t xml:space="preserve">Maize &amp; Cassava</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140" w:type="dxa"/>
          </w:tcPr>
          <w:p>
            <w:pPr>
              <w:pBdr/>
              <w:spacing/>
              <w:ind/>
              <w:rPr/>
            </w:pPr>
            <w:r>
              <w:rPr>
                <w:rFonts w:ascii="Arial" w:hAnsi="Arial" w:eastAsia="Arial" w:cs="Arial"/>
                <w:sz w:val="22"/>
                <w:szCs w:val="22"/>
              </w:rPr>
              <w:t xml:space="preserve">~170</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140" w:type="dxa"/>
          </w:tcPr>
          <w:p>
            <w:pPr>
              <w:pBdr/>
              <w:spacing/>
              <w:ind/>
              <w:rPr/>
            </w:pPr>
            <w:r>
              <w:rPr>
                <w:rFonts w:ascii="Arial" w:hAnsi="Arial" w:eastAsia="Arial" w:cs="Arial"/>
                <w:sz w:val="22"/>
                <w:szCs w:val="22"/>
              </w:rPr>
              <w:t xml:space="preserve">Intercrop</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800" w:type="dxa"/>
          </w:tcPr>
          <w:p>
            <w:pPr>
              <w:pBdr/>
              <w:spacing/>
              <w:ind/>
              <w:rPr/>
            </w:pPr>
            <w:r>
              <w:rPr>
                <w:rFonts w:ascii="Arial" w:hAnsi="Arial" w:eastAsia="Arial" w:cs="Arial"/>
                <w:sz w:val="22"/>
                <w:szCs w:val="22"/>
              </w:rPr>
              <w:t xml:space="preserve">6</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4280" w:type="dxa"/>
          </w:tcPr>
          <w:p>
            <w:pPr>
              <w:pBdr/>
              <w:spacing/>
              <w:ind/>
              <w:rPr/>
            </w:pPr>
            <w:r>
              <w:rPr>
                <w:rFonts w:ascii="Arial" w:hAnsi="Arial" w:eastAsia="Arial" w:cs="Arial"/>
                <w:sz w:val="22"/>
                <w:szCs w:val="22"/>
              </w:rPr>
              <w:t xml:space="preserve">Maize &amp; Soybean</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140" w:type="dxa"/>
          </w:tcPr>
          <w:p>
            <w:pPr>
              <w:pBdr/>
              <w:spacing/>
              <w:ind/>
              <w:rPr/>
            </w:pPr>
            <w:r>
              <w:rPr>
                <w:rFonts w:ascii="Arial" w:hAnsi="Arial" w:eastAsia="Arial" w:cs="Arial"/>
                <w:sz w:val="22"/>
                <w:szCs w:val="22"/>
              </w:rPr>
              <w:t xml:space="preserve">~160</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140" w:type="dxa"/>
          </w:tcPr>
          <w:p>
            <w:pPr>
              <w:pBdr/>
              <w:spacing/>
              <w:ind/>
              <w:rPr/>
            </w:pPr>
            <w:r>
              <w:rPr>
                <w:rFonts w:ascii="Arial" w:hAnsi="Arial" w:eastAsia="Arial" w:cs="Arial"/>
                <w:sz w:val="22"/>
                <w:szCs w:val="22"/>
              </w:rPr>
              <w:t xml:space="preserve">Intercrop</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800" w:type="dxa"/>
          </w:tcPr>
          <w:p>
            <w:pPr>
              <w:pBdr/>
              <w:spacing/>
              <w:ind/>
              <w:rPr/>
            </w:pPr>
            <w:r>
              <w:rPr>
                <w:rFonts w:ascii="Arial" w:hAnsi="Arial" w:eastAsia="Arial" w:cs="Arial"/>
                <w:sz w:val="22"/>
                <w:szCs w:val="22"/>
              </w:rPr>
              <w:t xml:space="preserve">7</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4280" w:type="dxa"/>
          </w:tcPr>
          <w:p>
            <w:pPr>
              <w:pBdr/>
              <w:spacing/>
              <w:ind/>
              <w:rPr/>
            </w:pPr>
            <w:r>
              <w:rPr>
                <w:rFonts w:ascii="Arial" w:hAnsi="Arial" w:eastAsia="Arial" w:cs="Arial"/>
                <w:sz w:val="22"/>
                <w:szCs w:val="22"/>
              </w:rPr>
              <w:t xml:space="preserve">Cassava &amp; Common Beans</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140" w:type="dxa"/>
          </w:tcPr>
          <w:p>
            <w:pPr>
              <w:pBdr/>
              <w:spacing/>
              <w:ind/>
              <w:rPr/>
            </w:pPr>
            <w:r>
              <w:rPr>
                <w:rFonts w:ascii="Arial" w:hAnsi="Arial" w:eastAsia="Arial" w:cs="Arial"/>
                <w:sz w:val="22"/>
                <w:szCs w:val="22"/>
              </w:rPr>
              <w:t xml:space="preserve">~75</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140" w:type="dxa"/>
          </w:tcPr>
          <w:p>
            <w:pPr>
              <w:pBdr/>
              <w:spacing/>
              <w:ind/>
              <w:rPr/>
            </w:pPr>
            <w:r>
              <w:rPr>
                <w:rFonts w:ascii="Arial" w:hAnsi="Arial" w:eastAsia="Arial" w:cs="Arial"/>
                <w:sz w:val="22"/>
                <w:szCs w:val="22"/>
              </w:rPr>
              <w:t xml:space="preserve">Intercrop</w:t>
            </w:r>
            <w:r/>
          </w:p>
        </w:tc>
      </w:tr>
    </w:tbl>
    <w:p>
      <w:pPr>
        <w:pBdr/>
        <w:spacing/>
        <w:ind/>
        <w:rPr/>
      </w:pPr>
      <w:r/>
      <w:r/>
    </w:p>
    <w:p>
      <w:pPr>
        <w:pStyle w:val="724"/>
        <w:pBdr/>
        <w:spacing w:after="120" w:before="240"/>
        <w:ind/>
        <w:rPr/>
      </w:pPr>
      <w:r>
        <w:rPr>
          <w:rFonts w:ascii="Arial" w:hAnsi="Arial" w:eastAsia="Arial" w:cs="Arial"/>
          <w:b/>
          <w:bCs/>
          <w:sz w:val="26"/>
          <w:szCs w:val="26"/>
        </w:rPr>
        <w:t xml:space="preserve">6.2 Patch generation</w:t>
      </w:r>
      <w:r/>
    </w:p>
    <w:p>
      <w:pPr>
        <w:pBdr/>
        <w:spacing w:after="120" w:before="80" w:line="320" w:lineRule="auto"/>
        <w:ind/>
        <w:jc w:val="both"/>
        <w:rPr/>
      </w:pPr>
      <w:r>
        <w:rPr>
          <w:rFonts w:ascii="Arial" w:hAnsi="Arial" w:eastAsia="Arial" w:cs="Arial"/>
          <w:sz w:val="22"/>
          <w:szCs w:val="22"/>
        </w:rPr>
        <w:t xml:space="preserve">Because the original tiles are large and most pixels are not associated with any annotated field, training directly on the full tiles is wasteful. Instead, for each annotated field a 32×32 patch is cropped around the median pixel</w:t>
      </w:r>
      <w:r>
        <w:rPr>
          <w:rFonts w:ascii="Arial" w:hAnsi="Arial" w:eastAsia="Arial" w:cs="Arial"/>
          <w:sz w:val="22"/>
          <w:szCs w:val="22"/>
        </w:rPr>
        <w:t xml:space="preserve"> position of that field across all thirteen timesteps and all thirteen bands, producing a tensor of shape (T=13, C=13, H=32, W=32) per field. A binary field mask of shape (1, H=32, W=32) is generated alongside the patch, with ones inside the field polygon </w:t>
      </w:r>
      <w:r>
        <w:rPr>
          <w:rFonts w:ascii="Arial" w:hAnsi="Arial" w:eastAsia="Arial" w:cs="Arial"/>
          <w:sz w:val="22"/>
          <w:szCs w:val="22"/>
        </w:rPr>
        <w:t xml:space="preserve">and zeros elsewhere. Patches that fall near tile boundaries are zero-padded to the fixed 32×32 size, and any patches whose mask becomes empty after cropping are flagged for inspection. The area of each field (in pixels) is recorded as an auxiliary feature.</w:t>
      </w:r>
      <w:r/>
    </w:p>
    <w:p>
      <w:pPr>
        <w:pStyle w:val="724"/>
        <w:pBdr/>
        <w:spacing w:after="120" w:before="240"/>
        <w:ind/>
        <w:rPr/>
      </w:pPr>
      <w:r>
        <w:rPr>
          <w:rFonts w:ascii="Arial" w:hAnsi="Arial" w:eastAsia="Arial" w:cs="Arial"/>
          <w:b/>
          <w:bCs/>
          <w:sz w:val="26"/>
          <w:szCs w:val="26"/>
        </w:rPr>
        <w:t xml:space="preserve">6.3 Feature engineering and preprocessing</w:t>
      </w:r>
      <w:r/>
    </w:p>
    <w:p>
      <w:pPr>
        <w:pBdr/>
        <w:spacing w:after="120" w:before="80" w:line="320" w:lineRule="auto"/>
        <w:ind/>
        <w:jc w:val="both"/>
        <w:rPr/>
      </w:pPr>
      <w:r>
        <w:rPr>
          <w:rFonts w:ascii="Arial" w:hAnsi="Arial" w:eastAsia="Arial" w:cs="Arial"/>
          <w:sz w:val="22"/>
          <w:szCs w:val="22"/>
        </w:rPr>
        <w:t xml:space="preserve">Three vegetation indices are computed from the raw bands and concatenated as additional channels: the Normalised Difference Vegetation Index NDVI = (NIR − Red) / (NIR + Red), and two NDWI variants using the </w:t>
      </w:r>
      <w:r>
        <w:rPr>
          <w:rFonts w:ascii="Arial" w:hAnsi="Arial" w:eastAsia="Arial" w:cs="Arial"/>
          <w:sz w:val="22"/>
          <w:szCs w:val="22"/>
        </w:rPr>
        <w:t xml:space="preserve">green and blue bands respectively. After concatenation, the input has 16 channels per timestep. To stabilise the heavily right-skewed reflectance distributions, a square-root transform is applied to all bands, which empirically reduces per-band skewness fr</w:t>
      </w:r>
      <w:r>
        <w:rPr>
          <w:rFonts w:ascii="Arial" w:hAnsi="Arial" w:eastAsia="Arial" w:cs="Arial"/>
          <w:sz w:val="22"/>
          <w:szCs w:val="22"/>
        </w:rPr>
        <w:t xml:space="preserve">om values in the 4–7 range to 1–4. Each channel is then standardised by subtracting its mean and dividing by its standard deviation across the dataset. The cloud-probability band (B11/CLD) is dropped before model input, leaving 15 effective input channels.</w:t>
      </w:r>
      <w:r/>
    </w:p>
    <w:p>
      <w:pPr>
        <w:pStyle w:val="724"/>
        <w:pBdr/>
        <w:spacing w:after="120" w:before="240"/>
        <w:ind/>
        <w:rPr/>
      </w:pPr>
      <w:r>
        <w:rPr>
          <w:rFonts w:ascii="Arial" w:hAnsi="Arial" w:eastAsia="Arial" w:cs="Arial"/>
          <w:b/>
          <w:bCs/>
          <w:sz w:val="26"/>
          <w:szCs w:val="26"/>
        </w:rPr>
        <w:t xml:space="preserve">6.4 Model architecture</w:t>
      </w:r>
      <w:r/>
    </w:p>
    <w:p>
      <w:pPr>
        <w:pBdr/>
        <w:spacing w:after="120" w:before="80" w:line="320" w:lineRule="auto"/>
        <w:ind/>
        <w:jc w:val="both"/>
        <w:rPr/>
      </w:pPr>
      <w:r>
        <w:rPr>
          <w:rFonts w:ascii="Arial" w:hAnsi="Arial" w:eastAsia="Arial" w:cs="Arial"/>
          <w:sz w:val="22"/>
          <w:szCs w:val="22"/>
        </w:rPr>
        <w:t xml:space="preserve">The proposed</w:t>
      </w:r>
      <w:r>
        <w:rPr>
          <w:rFonts w:ascii="Arial" w:hAnsi="Arial" w:eastAsia="Arial" w:cs="Arial"/>
          <w:sz w:val="22"/>
          <w:szCs w:val="22"/>
        </w:rPr>
        <w:t xml:space="preserve"> model, ConvGRUNet, is a hybrid spatial–temporal network that processes the (T, C, H, W) input as follows. A shared 2D convolutional encoder is applied independently to each of the thirteen timesteps. The encoder consists of two 3×3 convolutional layers wi</w:t>
      </w:r>
      <w:r>
        <w:rPr>
          <w:rFonts w:ascii="Arial" w:hAnsi="Arial" w:eastAsia="Arial" w:cs="Arial"/>
          <w:sz w:val="22"/>
          <w:szCs w:val="22"/>
        </w:rPr>
        <w:t xml:space="preserve">th sixty-four channels, each followed by GroupNorm and an ELU non-linearity, and a final 1×1 convolution that projects the representation to 128 channels. The output of the convolutional encoder for each timestep is a 128-channel feature map of size 32×32.</w:t>
      </w:r>
      <w:r/>
    </w:p>
    <w:p>
      <w:pPr>
        <w:pBdr/>
        <w:spacing w:after="120" w:before="80" w:line="320" w:lineRule="auto"/>
        <w:ind/>
        <w:jc w:val="both"/>
        <w:rPr/>
      </w:pPr>
      <w:r>
        <w:rPr>
          <w:rFonts w:ascii="Arial" w:hAnsi="Arial" w:eastAsia="Arial" w:cs="Arial"/>
          <w:sz w:val="22"/>
          <w:szCs w:val="22"/>
        </w:rPr>
        <w:t xml:space="preserve">A masked aver</w:t>
      </w:r>
      <w:r>
        <w:rPr>
          <w:rFonts w:ascii="Arial" w:hAnsi="Arial" w:eastAsia="Arial" w:cs="Arial"/>
          <w:sz w:val="22"/>
          <w:szCs w:val="22"/>
        </w:rPr>
        <w:t xml:space="preserve">age pooling (MAP) layer then aggregates these feature maps spatially, but only over the pixels indicated by the field mask: the output is the sum of the feature map multiplied elementwise by the mask, divided by the sum of the mask. This produces a single </w:t>
      </w:r>
      <w:r>
        <w:rPr>
          <w:rFonts w:ascii="Arial" w:hAnsi="Arial" w:eastAsia="Arial" w:cs="Arial"/>
          <w:sz w:val="22"/>
          <w:szCs w:val="22"/>
        </w:rPr>
        <w:t xml:space="preserve">128-dimensional feature vector per timestep that summarises only the pixels belonging to the field of interest, suppressing contributions from neighbouring fields, roads, or background land cover. The thirteen resulting feature vectors are stacked into a s</w:t>
      </w:r>
      <w:r>
        <w:rPr>
          <w:rFonts w:ascii="Arial" w:hAnsi="Arial" w:eastAsia="Arial" w:cs="Arial"/>
          <w:sz w:val="22"/>
          <w:szCs w:val="22"/>
        </w:rPr>
        <w:t xml:space="preserve">equence and passed through a three-layer bidirectional GRU with hidden size 128, yielding a 256-dimensional representation per timestep. The representation at the final timestep is fed to a fully connected layer that produces logits over the seven classes.</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2400"/>
        <w:gridCol w:w="2200"/>
        <w:gridCol w:w="3260"/>
      </w:tblGrid>
      <w:tr>
        <w:trPr>
          <w:tblHeader/>
        </w:trPr>
        <w:tc>
          <w:tcPr>
            <w:shd w:val="clear" w:color="auto" w:fill="d9e2f3"/>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1500" w:type="dxa"/>
          </w:tcPr>
          <w:p>
            <w:pPr>
              <w:pBdr/>
              <w:spacing/>
              <w:ind/>
              <w:rPr/>
            </w:pPr>
            <w:r>
              <w:rPr>
                <w:rFonts w:ascii="Arial" w:hAnsi="Arial" w:eastAsia="Arial" w:cs="Arial"/>
                <w:b/>
                <w:bCs/>
                <w:sz w:val="22"/>
                <w:szCs w:val="22"/>
              </w:rPr>
              <w:t xml:space="preserve">Layer</w:t>
            </w:r>
            <w:r/>
          </w:p>
        </w:tc>
        <w:tc>
          <w:tcPr>
            <w:shd w:val="clear" w:color="auto" w:fill="d9e2f3"/>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400" w:type="dxa"/>
          </w:tcPr>
          <w:p>
            <w:pPr>
              <w:pBdr/>
              <w:spacing/>
              <w:ind/>
              <w:rPr/>
            </w:pPr>
            <w:r>
              <w:rPr>
                <w:rFonts w:ascii="Arial" w:hAnsi="Arial" w:eastAsia="Arial" w:cs="Arial"/>
                <w:b/>
                <w:bCs/>
                <w:sz w:val="22"/>
                <w:szCs w:val="22"/>
              </w:rPr>
              <w:t xml:space="preserve">Type</w:t>
            </w:r>
            <w:r/>
          </w:p>
        </w:tc>
        <w:tc>
          <w:tcPr>
            <w:shd w:val="clear" w:color="auto" w:fill="d9e2f3"/>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200" w:type="dxa"/>
          </w:tcPr>
          <w:p>
            <w:pPr>
              <w:pBdr/>
              <w:spacing/>
              <w:ind/>
              <w:rPr/>
            </w:pPr>
            <w:r>
              <w:rPr>
                <w:rFonts w:ascii="Arial" w:hAnsi="Arial" w:eastAsia="Arial" w:cs="Arial"/>
                <w:b/>
                <w:bCs/>
                <w:sz w:val="22"/>
                <w:szCs w:val="22"/>
              </w:rPr>
              <w:t xml:space="preserve">Output Channels</w:t>
            </w:r>
            <w:r/>
          </w:p>
        </w:tc>
        <w:tc>
          <w:tcPr>
            <w:shd w:val="clear" w:color="auto" w:fill="d9e2f3"/>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260" w:type="dxa"/>
          </w:tcPr>
          <w:p>
            <w:pPr>
              <w:pBdr/>
              <w:spacing/>
              <w:ind/>
              <w:rPr/>
            </w:pPr>
            <w:r>
              <w:rPr>
                <w:rFonts w:ascii="Arial" w:hAnsi="Arial" w:eastAsia="Arial" w:cs="Arial"/>
                <w:b/>
                <w:bCs/>
                <w:sz w:val="22"/>
                <w:szCs w:val="22"/>
              </w:rPr>
              <w:t xml:space="preserve">Notes</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1500" w:type="dxa"/>
          </w:tcPr>
          <w:p>
            <w:pPr>
              <w:pBdr/>
              <w:spacing/>
              <w:ind/>
              <w:rPr/>
            </w:pPr>
            <w:r>
              <w:rPr>
                <w:rFonts w:ascii="Arial" w:hAnsi="Arial" w:eastAsia="Arial" w:cs="Arial"/>
                <w:sz w:val="22"/>
                <w:szCs w:val="22"/>
              </w:rPr>
              <w:t xml:space="preserve">Conv1</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400" w:type="dxa"/>
          </w:tcPr>
          <w:p>
            <w:pPr>
              <w:pBdr/>
              <w:spacing/>
              <w:ind/>
              <w:rPr/>
            </w:pPr>
            <w:r>
              <w:rPr>
                <w:rFonts w:ascii="Arial" w:hAnsi="Arial" w:eastAsia="Arial" w:cs="Arial"/>
                <w:sz w:val="22"/>
                <w:szCs w:val="22"/>
              </w:rPr>
              <w:t xml:space="preserve">Conv2D 3×3 + GroupNorm + ELU</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200" w:type="dxa"/>
          </w:tcPr>
          <w:p>
            <w:pPr>
              <w:pBdr/>
              <w:spacing/>
              <w:ind/>
              <w:rPr/>
            </w:pPr>
            <w:r>
              <w:rPr>
                <w:rFonts w:ascii="Arial" w:hAnsi="Arial" w:eastAsia="Arial" w:cs="Arial"/>
                <w:sz w:val="22"/>
                <w:szCs w:val="22"/>
              </w:rPr>
              <w:t xml:space="preserve">64</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260" w:type="dxa"/>
          </w:tcPr>
          <w:p>
            <w:pPr>
              <w:pBdr/>
              <w:spacing/>
              <w:ind/>
              <w:rPr/>
            </w:pPr>
            <w:r>
              <w:rPr>
                <w:rFonts w:ascii="Arial" w:hAnsi="Arial" w:eastAsia="Arial" w:cs="Arial"/>
                <w:sz w:val="22"/>
                <w:szCs w:val="22"/>
              </w:rPr>
              <w:t xml:space="preserve">Shared across time steps</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1500" w:type="dxa"/>
          </w:tcPr>
          <w:p>
            <w:pPr>
              <w:pBdr/>
              <w:spacing/>
              <w:ind/>
              <w:rPr/>
            </w:pPr>
            <w:r>
              <w:rPr>
                <w:rFonts w:ascii="Arial" w:hAnsi="Arial" w:eastAsia="Arial" w:cs="Arial"/>
                <w:sz w:val="22"/>
                <w:szCs w:val="22"/>
              </w:rPr>
              <w:t xml:space="preserve">Conv2</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400" w:type="dxa"/>
          </w:tcPr>
          <w:p>
            <w:pPr>
              <w:pBdr/>
              <w:spacing/>
              <w:ind/>
              <w:rPr/>
            </w:pPr>
            <w:r>
              <w:rPr>
                <w:rFonts w:ascii="Arial" w:hAnsi="Arial" w:eastAsia="Arial" w:cs="Arial"/>
                <w:sz w:val="22"/>
                <w:szCs w:val="22"/>
              </w:rPr>
              <w:t xml:space="preserve">Conv2D 3×3 + GroupNorm + ELU</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200" w:type="dxa"/>
          </w:tcPr>
          <w:p>
            <w:pPr>
              <w:pBdr/>
              <w:spacing/>
              <w:ind/>
              <w:rPr/>
            </w:pPr>
            <w:r>
              <w:rPr>
                <w:rFonts w:ascii="Arial" w:hAnsi="Arial" w:eastAsia="Arial" w:cs="Arial"/>
                <w:sz w:val="22"/>
                <w:szCs w:val="22"/>
              </w:rPr>
              <w:t xml:space="preserve">64</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260" w:type="dxa"/>
          </w:tcPr>
          <w:p>
            <w:pPr>
              <w:pBdr/>
              <w:spacing/>
              <w:ind/>
              <w:rPr/>
            </w:pPr>
            <w:r>
              <w:rPr>
                <w:rFonts w:ascii="Arial" w:hAnsi="Arial" w:eastAsia="Arial" w:cs="Arial"/>
                <w:sz w:val="22"/>
                <w:szCs w:val="22"/>
              </w:rPr>
              <w:t xml:space="preserve">Shared across time steps</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1500" w:type="dxa"/>
          </w:tcPr>
          <w:p>
            <w:pPr>
              <w:pBdr/>
              <w:spacing/>
              <w:ind/>
              <w:rPr/>
            </w:pPr>
            <w:r>
              <w:rPr>
                <w:rFonts w:ascii="Arial" w:hAnsi="Arial" w:eastAsia="Arial" w:cs="Arial"/>
                <w:sz w:val="22"/>
                <w:szCs w:val="22"/>
              </w:rPr>
              <w:t xml:space="preserve">Conv3</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400" w:type="dxa"/>
          </w:tcPr>
          <w:p>
            <w:pPr>
              <w:pBdr/>
              <w:spacing/>
              <w:ind/>
              <w:rPr/>
            </w:pPr>
            <w:r>
              <w:rPr>
                <w:rFonts w:ascii="Arial" w:hAnsi="Arial" w:eastAsia="Arial" w:cs="Arial"/>
                <w:sz w:val="22"/>
                <w:szCs w:val="22"/>
              </w:rPr>
              <w:t xml:space="preserve">Conv2D 1×1 + GroupNorm + ELU</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200" w:type="dxa"/>
          </w:tcPr>
          <w:p>
            <w:pPr>
              <w:pBdr/>
              <w:spacing/>
              <w:ind/>
              <w:rPr/>
            </w:pPr>
            <w:r>
              <w:rPr>
                <w:rFonts w:ascii="Arial" w:hAnsi="Arial" w:eastAsia="Arial" w:cs="Arial"/>
                <w:sz w:val="22"/>
                <w:szCs w:val="22"/>
              </w:rPr>
              <w:t xml:space="preserve">128</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260" w:type="dxa"/>
          </w:tcPr>
          <w:p>
            <w:pPr>
              <w:pBdr/>
              <w:spacing/>
              <w:ind/>
              <w:rPr/>
            </w:pPr>
            <w:r>
              <w:rPr>
                <w:rFonts w:ascii="Arial" w:hAnsi="Arial" w:eastAsia="Arial" w:cs="Arial"/>
                <w:sz w:val="22"/>
                <w:szCs w:val="22"/>
              </w:rPr>
              <w:t xml:space="preserve">Channel projection</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1500" w:type="dxa"/>
          </w:tcPr>
          <w:p>
            <w:pPr>
              <w:pBdr/>
              <w:spacing/>
              <w:ind/>
              <w:rPr/>
            </w:pPr>
            <w:r>
              <w:rPr>
                <w:rFonts w:ascii="Arial" w:hAnsi="Arial" w:eastAsia="Arial" w:cs="Arial"/>
                <w:sz w:val="22"/>
                <w:szCs w:val="22"/>
              </w:rPr>
              <w:t xml:space="preserve">MAP</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400" w:type="dxa"/>
          </w:tcPr>
          <w:p>
            <w:pPr>
              <w:pBdr/>
              <w:spacing/>
              <w:ind/>
              <w:rPr/>
            </w:pPr>
            <w:r>
              <w:rPr>
                <w:rFonts w:ascii="Arial" w:hAnsi="Arial" w:eastAsia="Arial" w:cs="Arial"/>
                <w:sz w:val="22"/>
                <w:szCs w:val="22"/>
              </w:rPr>
              <w:t xml:space="preserve">Masked Average Pooling</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200" w:type="dxa"/>
          </w:tcPr>
          <w:p>
            <w:pPr>
              <w:pBdr/>
              <w:spacing/>
              <w:ind/>
              <w:rPr/>
            </w:pPr>
            <w:r>
              <w:rPr>
                <w:rFonts w:ascii="Arial" w:hAnsi="Arial" w:eastAsia="Arial" w:cs="Arial"/>
                <w:sz w:val="22"/>
                <w:szCs w:val="22"/>
              </w:rPr>
              <w:t xml:space="preserve">128</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260" w:type="dxa"/>
          </w:tcPr>
          <w:p>
            <w:pPr>
              <w:pBdr/>
              <w:spacing/>
              <w:ind/>
              <w:rPr/>
            </w:pPr>
            <w:r>
              <w:rPr>
                <w:rFonts w:ascii="Arial" w:hAnsi="Arial" w:eastAsia="Arial" w:cs="Arial"/>
                <w:sz w:val="22"/>
                <w:szCs w:val="22"/>
              </w:rPr>
              <w:t xml:space="preserve">Aggregates only field pixels</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1500" w:type="dxa"/>
          </w:tcPr>
          <w:p>
            <w:pPr>
              <w:pBdr/>
              <w:spacing/>
              <w:ind/>
              <w:rPr/>
            </w:pPr>
            <w:r>
              <w:rPr>
                <w:rFonts w:ascii="Arial" w:hAnsi="Arial" w:eastAsia="Arial" w:cs="Arial"/>
                <w:sz w:val="22"/>
                <w:szCs w:val="22"/>
              </w:rPr>
              <w:t xml:space="preserve">GRU</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400" w:type="dxa"/>
          </w:tcPr>
          <w:p>
            <w:pPr>
              <w:pBdr/>
              <w:spacing/>
              <w:ind/>
              <w:rPr/>
            </w:pPr>
            <w:r>
              <w:rPr>
                <w:rFonts w:ascii="Arial" w:hAnsi="Arial" w:eastAsia="Arial" w:cs="Arial"/>
                <w:sz w:val="22"/>
                <w:szCs w:val="22"/>
              </w:rPr>
              <w:t xml:space="preserve">3-layer Bidirectional GRU</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200" w:type="dxa"/>
          </w:tcPr>
          <w:p>
            <w:pPr>
              <w:pBdr/>
              <w:spacing/>
              <w:ind/>
              <w:rPr/>
            </w:pPr>
            <w:r>
              <w:rPr>
                <w:rFonts w:ascii="Arial" w:hAnsi="Arial" w:eastAsia="Arial" w:cs="Arial"/>
                <w:sz w:val="22"/>
                <w:szCs w:val="22"/>
              </w:rPr>
              <w:t xml:space="preserve">128 (×2)</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260" w:type="dxa"/>
          </w:tcPr>
          <w:p>
            <w:pPr>
              <w:pBdr/>
              <w:spacing/>
              <w:ind/>
              <w:rPr/>
            </w:pPr>
            <w:r>
              <w:rPr>
                <w:rFonts w:ascii="Arial" w:hAnsi="Arial" w:eastAsia="Arial" w:cs="Arial"/>
                <w:sz w:val="22"/>
                <w:szCs w:val="22"/>
              </w:rPr>
              <w:t xml:space="preserve">Temporal modeling, T=13</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1500" w:type="dxa"/>
          </w:tcPr>
          <w:p>
            <w:pPr>
              <w:pBdr/>
              <w:spacing/>
              <w:ind/>
              <w:rPr/>
            </w:pPr>
            <w:r>
              <w:rPr>
                <w:rFonts w:ascii="Arial" w:hAnsi="Arial" w:eastAsia="Arial" w:cs="Arial"/>
                <w:sz w:val="22"/>
                <w:szCs w:val="22"/>
              </w:rPr>
              <w:t xml:space="preserve">FC</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400" w:type="dxa"/>
          </w:tcPr>
          <w:p>
            <w:pPr>
              <w:pBdr/>
              <w:spacing/>
              <w:ind/>
              <w:rPr/>
            </w:pPr>
            <w:r>
              <w:rPr>
                <w:rFonts w:ascii="Arial" w:hAnsi="Arial" w:eastAsia="Arial" w:cs="Arial"/>
                <w:sz w:val="22"/>
                <w:szCs w:val="22"/>
              </w:rPr>
              <w:t xml:space="preserve">Linear</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2200" w:type="dxa"/>
          </w:tcPr>
          <w:p>
            <w:pPr>
              <w:pBdr/>
              <w:spacing/>
              <w:ind/>
              <w:rPr/>
            </w:pPr>
            <w:r>
              <w:rPr>
                <w:rFonts w:ascii="Arial" w:hAnsi="Arial" w:eastAsia="Arial" w:cs="Arial"/>
                <w:sz w:val="22"/>
                <w:szCs w:val="22"/>
              </w:rPr>
              <w:t xml:space="preserve">7</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260" w:type="dxa"/>
          </w:tcPr>
          <w:p>
            <w:pPr>
              <w:pBdr/>
              <w:spacing/>
              <w:ind/>
              <w:rPr/>
            </w:pPr>
            <w:r>
              <w:rPr>
                <w:rFonts w:ascii="Arial" w:hAnsi="Arial" w:eastAsia="Arial" w:cs="Arial"/>
                <w:sz w:val="22"/>
                <w:szCs w:val="22"/>
              </w:rPr>
              <w:t xml:space="preserve">Final classification</w:t>
            </w:r>
            <w:r/>
          </w:p>
        </w:tc>
      </w:tr>
    </w:tbl>
    <w:p>
      <w:pPr>
        <w:pBdr/>
        <w:spacing/>
        <w:ind/>
        <w:rPr/>
      </w:pPr>
      <w:r/>
      <w:r/>
    </w:p>
    <w:p>
      <w:pPr>
        <w:pBdr/>
        <w:spacing w:after="120" w:before="80" w:line="320" w:lineRule="auto"/>
        <w:ind/>
        <w:jc w:val="both"/>
        <w:rPr/>
      </w:pPr>
      <w:r>
        <w:rPr>
          <w:rFonts w:ascii="Arial" w:hAnsi="Arial" w:eastAsia="Arial" w:cs="Arial"/>
          <w:sz w:val="22"/>
          <w:szCs w:val="22"/>
        </w:rPr>
        <w:t xml:space="preserve">Notable design choices: GroupNorm is preferred to</w:t>
      </w:r>
      <w:r>
        <w:rPr>
          <w:rFonts w:ascii="Arial" w:hAnsi="Arial" w:eastAsia="Arial" w:cs="Arial"/>
          <w:sz w:val="22"/>
          <w:szCs w:val="22"/>
        </w:rPr>
        <w:t xml:space="preserve"> BatchNorm because the effective batch size per timestep is 16×13 = 208, but the within-batch statistics are highly correlated across timesteps; GroupNorm avoids this issue while remaining stable at small batch sizes. The GRU is bidirectional so that the t</w:t>
      </w:r>
      <w:r>
        <w:rPr>
          <w:rFonts w:ascii="Arial" w:hAnsi="Arial" w:eastAsia="Arial" w:cs="Arial"/>
          <w:sz w:val="22"/>
          <w:szCs w:val="22"/>
        </w:rPr>
        <w:t xml:space="preserve">emporal context at each step incorporates both earlier and later acquisitions. Only the final timestep is used for classification, on the assumption that by the last acquisition the recurrent state has integrated information from the entire growing season.</w:t>
      </w:r>
      <w:r/>
    </w:p>
    <w:p>
      <w:pPr>
        <w:pStyle w:val="724"/>
        <w:pBdr/>
        <w:spacing w:after="120" w:before="240"/>
        <w:ind/>
        <w:rPr/>
      </w:pPr>
      <w:r>
        <w:rPr>
          <w:rFonts w:ascii="Arial" w:hAnsi="Arial" w:eastAsia="Arial" w:cs="Arial"/>
          <w:b/>
          <w:bCs/>
          <w:sz w:val="26"/>
          <w:szCs w:val="26"/>
        </w:rPr>
        <w:t xml:space="preserve">6.5 Validation strategy</w:t>
      </w:r>
      <w:r/>
    </w:p>
    <w:p>
      <w:pPr>
        <w:pBdr/>
        <w:spacing w:after="120" w:before="80" w:line="320" w:lineRule="auto"/>
        <w:ind/>
        <w:jc w:val="both"/>
        <w:rPr/>
      </w:pPr>
      <w:r>
        <w:rPr>
          <w:rFonts w:ascii="Arial" w:hAnsi="Arial" w:eastAsia="Arial" w:cs="Arial"/>
          <w:sz w:val="22"/>
          <w:szCs w:val="22"/>
        </w:rPr>
        <w:t xml:space="preserve">Initial experiments used a single 75/25 train/validation split. For the final submission, the v</w:t>
      </w:r>
      <w:r>
        <w:rPr>
          <w:rFonts w:ascii="Arial" w:hAnsi="Arial" w:eastAsia="Arial" w:cs="Arial"/>
          <w:sz w:val="22"/>
          <w:szCs w:val="22"/>
        </w:rPr>
        <w:t xml:space="preserve">alidation strategy was switched to ten stratified shuffle splits with a 15% validation fraction each (StratifiedShuffleSplit with n_splits=10, test_size=0.15, random_state=0). Stratification was essential because the competition metric is multi-class cross</w:t>
      </w:r>
      <w:r>
        <w:rPr>
          <w:rFonts w:ascii="Arial" w:hAnsi="Arial" w:eastAsia="Arial" w:cs="Arial"/>
          <w:sz w:val="22"/>
          <w:szCs w:val="22"/>
        </w:rPr>
        <w:t xml:space="preserve">-entropy, which is highly sensitive to mismatches between the validation distribution and the true test distribution. Random splitting could place a disproportionate share of rare classes in either fold, producing unstable and misleading validation scores.</w:t>
      </w:r>
      <w:r/>
    </w:p>
    <w:p>
      <w:pPr>
        <w:pStyle w:val="724"/>
        <w:pBdr/>
        <w:spacing w:after="120" w:before="240"/>
        <w:ind/>
        <w:rPr/>
      </w:pPr>
      <w:r>
        <w:rPr>
          <w:rFonts w:ascii="Arial" w:hAnsi="Arial" w:eastAsia="Arial" w:cs="Arial"/>
          <w:b/>
          <w:bCs/>
          <w:sz w:val="26"/>
          <w:szCs w:val="26"/>
        </w:rPr>
        <w:t xml:space="preserve">6.6 Data augmentation</w:t>
      </w:r>
      <w:r/>
    </w:p>
    <w:p>
      <w:pPr>
        <w:pBdr/>
        <w:spacing w:after="120" w:before="80" w:line="320" w:lineRule="auto"/>
        <w:ind/>
        <w:jc w:val="both"/>
        <w:rPr/>
      </w:pPr>
      <w:r>
        <w:rPr>
          <w:rFonts w:ascii="Arial" w:hAnsi="Arial" w:eastAsia="Arial" w:cs="Arial"/>
          <w:sz w:val="22"/>
          <w:szCs w:val="22"/>
        </w:rPr>
        <w:t xml:space="preserve">Three forms of data augmentation are applied during training. Spatial augmentations include random rotations, horizontal and vertical flips, and random cropping within the pat</w:t>
      </w:r>
      <w:r>
        <w:rPr>
          <w:rFonts w:ascii="Arial" w:hAnsi="Arial" w:eastAsia="Arial" w:cs="Arial"/>
          <w:sz w:val="22"/>
          <w:szCs w:val="22"/>
        </w:rPr>
        <w:t xml:space="preserve">ch. Mixup constructs synthetic training samples as convex combinations of two input patches and their corresponding labels, drawing the mixing coefficient from a Beta distribution; in this work, the second sample is drawn as a random crop from any satellit</w:t>
      </w:r>
      <w:r>
        <w:rPr>
          <w:rFonts w:ascii="Arial" w:hAnsi="Arial" w:eastAsia="Arial" w:cs="Arial"/>
          <w:sz w:val="22"/>
          <w:szCs w:val="22"/>
        </w:rPr>
        <w:t xml:space="preserve">e image, exposing the model to a wider variety of background contexts. Time augmentation randomly drops one timestep from the input sequence per training iteration, encouraging the GRU to be robust to missing acquisitions (for example, due to cloud cover).</w:t>
      </w:r>
      <w:r/>
    </w:p>
    <w:p>
      <w:pPr>
        <w:pStyle w:val="724"/>
        <w:pBdr/>
        <w:spacing w:after="120" w:before="240"/>
        <w:ind/>
        <w:rPr/>
      </w:pPr>
      <w:r>
        <w:rPr>
          <w:rFonts w:ascii="Arial" w:hAnsi="Arial" w:eastAsia="Arial" w:cs="Arial"/>
          <w:b/>
          <w:bCs/>
          <w:sz w:val="26"/>
          <w:szCs w:val="26"/>
        </w:rPr>
        <w:t xml:space="preserve">6.7 Training procedure and ensembling</w:t>
      </w:r>
      <w:r/>
    </w:p>
    <w:p>
      <w:pPr>
        <w:pBdr/>
        <w:spacing w:after="120" w:before="80" w:line="320" w:lineRule="auto"/>
        <w:ind/>
        <w:jc w:val="both"/>
        <w:rPr/>
      </w:pPr>
      <w:r>
        <w:rPr>
          <w:rFonts w:ascii="Arial" w:hAnsi="Arial" w:eastAsia="Arial" w:cs="Arial"/>
          <w:sz w:val="22"/>
          <w:szCs w:val="22"/>
        </w:rPr>
        <w:t xml:space="preserve">Each model is trained for six cycles of ten epochs each using SGD with momentum 0.9 and a cosine</w:t>
      </w:r>
      <w:r>
        <w:rPr>
          <w:rFonts w:ascii="Arial" w:hAnsi="Arial" w:eastAsia="Arial" w:cs="Arial"/>
          <w:sz w:val="22"/>
          <w:szCs w:val="22"/>
        </w:rPr>
        <w:t xml:space="preserve">-annealing learning-rate schedule that resets at the start of every cycle. The initial learning rate is 0.008 and the loss function is cross-entropy. At the end of each cycle, the model state is saved as a snapshot, yielding six snapshots per training run.</w:t>
      </w:r>
      <w:r/>
    </w:p>
    <w:p>
      <w:pPr>
        <w:pBdr/>
        <w:spacing w:after="120" w:before="80" w:line="320" w:lineRule="auto"/>
        <w:ind/>
        <w:jc w:val="both"/>
        <w:rPr/>
      </w:pPr>
      <w:r>
        <w:rPr>
          <w:rFonts w:ascii="Arial" w:hAnsi="Arial" w:eastAsia="Arial" w:cs="Arial"/>
          <w:sz w:val="22"/>
          <w:szCs w:val="22"/>
        </w:rPr>
        <w:t xml:space="preserve">This training procedure is run independently on each of the ten cross-validation folds, producing 10 × 6 = 60 model snapshots in total. At inference time, every snapshot is applied to every test field, and the per-class softmax pro</w:t>
      </w:r>
      <w:r>
        <w:rPr>
          <w:rFonts w:ascii="Arial" w:hAnsi="Arial" w:eastAsia="Arial" w:cs="Arial"/>
          <w:sz w:val="22"/>
          <w:szCs w:val="22"/>
        </w:rPr>
        <w:t xml:space="preserve">babilities are averaged across all sixty members to produce the final prediction. This combines bagging (across folds, each of which sees a different training subset) with snapshot ensembling (within each fold, leveraging cyclical learning-rate diversity).</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700"/>
        <w:gridCol w:w="5660"/>
      </w:tblGrid>
      <w:tr>
        <w:trPr>
          <w:tblHeader/>
        </w:trPr>
        <w:tc>
          <w:tcPr>
            <w:shd w:val="clear" w:color="auto" w:fill="d9e2f3"/>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700" w:type="dxa"/>
          </w:tcPr>
          <w:p>
            <w:pPr>
              <w:pBdr/>
              <w:spacing/>
              <w:ind/>
              <w:rPr/>
            </w:pPr>
            <w:r>
              <w:rPr>
                <w:rFonts w:ascii="Arial" w:hAnsi="Arial" w:eastAsia="Arial" w:cs="Arial"/>
                <w:b/>
                <w:bCs/>
                <w:sz w:val="22"/>
                <w:szCs w:val="22"/>
              </w:rPr>
              <w:t xml:space="preserve">Hyperparameter</w:t>
            </w:r>
            <w:r/>
          </w:p>
        </w:tc>
        <w:tc>
          <w:tcPr>
            <w:shd w:val="clear" w:color="auto" w:fill="d9e2f3"/>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5660" w:type="dxa"/>
          </w:tcPr>
          <w:p>
            <w:pPr>
              <w:pBdr/>
              <w:spacing/>
              <w:ind/>
              <w:rPr/>
            </w:pPr>
            <w:r>
              <w:rPr>
                <w:rFonts w:ascii="Arial" w:hAnsi="Arial" w:eastAsia="Arial" w:cs="Arial"/>
                <w:b/>
                <w:bCs/>
                <w:sz w:val="22"/>
                <w:szCs w:val="22"/>
              </w:rPr>
              <w:t xml:space="preserve">Value</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700" w:type="dxa"/>
          </w:tcPr>
          <w:p>
            <w:pPr>
              <w:pBdr/>
              <w:spacing/>
              <w:ind/>
              <w:rPr/>
            </w:pPr>
            <w:r>
              <w:rPr>
                <w:rFonts w:ascii="Arial" w:hAnsi="Arial" w:eastAsia="Arial" w:cs="Arial"/>
                <w:sz w:val="22"/>
                <w:szCs w:val="22"/>
              </w:rPr>
              <w:t xml:space="preserve">Optimizer</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5660" w:type="dxa"/>
          </w:tcPr>
          <w:p>
            <w:pPr>
              <w:pBdr/>
              <w:spacing/>
              <w:ind/>
              <w:rPr/>
            </w:pPr>
            <w:r>
              <w:rPr>
                <w:rFonts w:ascii="Arial" w:hAnsi="Arial" w:eastAsia="Arial" w:cs="Arial"/>
                <w:sz w:val="22"/>
                <w:szCs w:val="22"/>
              </w:rPr>
              <w:t xml:space="preserve">SGD with momentum (0.9)</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700" w:type="dxa"/>
          </w:tcPr>
          <w:p>
            <w:pPr>
              <w:pBdr/>
              <w:spacing/>
              <w:ind/>
              <w:rPr/>
            </w:pPr>
            <w:r>
              <w:rPr>
                <w:rFonts w:ascii="Arial" w:hAnsi="Arial" w:eastAsia="Arial" w:cs="Arial"/>
                <w:sz w:val="22"/>
                <w:szCs w:val="22"/>
              </w:rPr>
              <w:t xml:space="preserve">Initial learning rate</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5660" w:type="dxa"/>
          </w:tcPr>
          <w:p>
            <w:pPr>
              <w:pBdr/>
              <w:spacing/>
              <w:ind/>
              <w:rPr/>
            </w:pPr>
            <w:r>
              <w:rPr>
                <w:rFonts w:ascii="Arial" w:hAnsi="Arial" w:eastAsia="Arial" w:cs="Arial"/>
                <w:sz w:val="22"/>
                <w:szCs w:val="22"/>
              </w:rPr>
              <w:t xml:space="preserve">0.008</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700" w:type="dxa"/>
          </w:tcPr>
          <w:p>
            <w:pPr>
              <w:pBdr/>
              <w:spacing/>
              <w:ind/>
              <w:rPr/>
            </w:pPr>
            <w:r>
              <w:rPr>
                <w:rFonts w:ascii="Arial" w:hAnsi="Arial" w:eastAsia="Arial" w:cs="Arial"/>
                <w:sz w:val="22"/>
                <w:szCs w:val="22"/>
              </w:rPr>
              <w:t xml:space="preserve">Scheduler</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5660" w:type="dxa"/>
          </w:tcPr>
          <w:p>
            <w:pPr>
              <w:pBdr/>
              <w:spacing/>
              <w:ind/>
              <w:rPr/>
            </w:pPr>
            <w:r>
              <w:rPr>
                <w:rFonts w:ascii="Arial" w:hAnsi="Arial" w:eastAsia="Arial" w:cs="Arial"/>
                <w:sz w:val="22"/>
                <w:szCs w:val="22"/>
              </w:rPr>
              <w:t xml:space="preserve">Cosine Annealing (per cycle)</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700" w:type="dxa"/>
          </w:tcPr>
          <w:p>
            <w:pPr>
              <w:pBdr/>
              <w:spacing/>
              <w:ind/>
              <w:rPr/>
            </w:pPr>
            <w:r>
              <w:rPr>
                <w:rFonts w:ascii="Arial" w:hAnsi="Arial" w:eastAsia="Arial" w:cs="Arial"/>
                <w:sz w:val="22"/>
                <w:szCs w:val="22"/>
              </w:rPr>
              <w:t xml:space="preserve">Number of cycles</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5660" w:type="dxa"/>
          </w:tcPr>
          <w:p>
            <w:pPr>
              <w:pBdr/>
              <w:spacing/>
              <w:ind/>
              <w:rPr/>
            </w:pPr>
            <w:r>
              <w:rPr>
                <w:rFonts w:ascii="Arial" w:hAnsi="Arial" w:eastAsia="Arial" w:cs="Arial"/>
                <w:sz w:val="22"/>
                <w:szCs w:val="22"/>
              </w:rPr>
              <w:t xml:space="preserve">6</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700" w:type="dxa"/>
          </w:tcPr>
          <w:p>
            <w:pPr>
              <w:pBdr/>
              <w:spacing/>
              <w:ind/>
              <w:rPr/>
            </w:pPr>
            <w:r>
              <w:rPr>
                <w:rFonts w:ascii="Arial" w:hAnsi="Arial" w:eastAsia="Arial" w:cs="Arial"/>
                <w:sz w:val="22"/>
                <w:szCs w:val="22"/>
              </w:rPr>
              <w:t xml:space="preserve">Epochs per cycle</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5660" w:type="dxa"/>
          </w:tcPr>
          <w:p>
            <w:pPr>
              <w:pBdr/>
              <w:spacing/>
              <w:ind/>
              <w:rPr/>
            </w:pPr>
            <w:r>
              <w:rPr>
                <w:rFonts w:ascii="Arial" w:hAnsi="Arial" w:eastAsia="Arial" w:cs="Arial"/>
                <w:sz w:val="22"/>
                <w:szCs w:val="22"/>
              </w:rPr>
              <w:t xml:space="preserve">10</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700" w:type="dxa"/>
          </w:tcPr>
          <w:p>
            <w:pPr>
              <w:pBdr/>
              <w:spacing/>
              <w:ind/>
              <w:rPr/>
            </w:pPr>
            <w:r>
              <w:rPr>
                <w:rFonts w:ascii="Arial" w:hAnsi="Arial" w:eastAsia="Arial" w:cs="Arial"/>
                <w:sz w:val="22"/>
                <w:szCs w:val="22"/>
              </w:rPr>
              <w:t xml:space="preserve">Batch size</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5660" w:type="dxa"/>
          </w:tcPr>
          <w:p>
            <w:pPr>
              <w:pBdr/>
              <w:spacing/>
              <w:ind/>
              <w:rPr/>
            </w:pPr>
            <w:r>
              <w:rPr>
                <w:rFonts w:ascii="Arial" w:hAnsi="Arial" w:eastAsia="Arial" w:cs="Arial"/>
                <w:sz w:val="22"/>
                <w:szCs w:val="22"/>
              </w:rPr>
              <w:t xml:space="preserve">16</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700" w:type="dxa"/>
          </w:tcPr>
          <w:p>
            <w:pPr>
              <w:pBdr/>
              <w:spacing/>
              <w:ind/>
              <w:rPr/>
            </w:pPr>
            <w:r>
              <w:rPr>
                <w:rFonts w:ascii="Arial" w:hAnsi="Arial" w:eastAsia="Arial" w:cs="Arial"/>
                <w:sz w:val="22"/>
                <w:szCs w:val="22"/>
              </w:rPr>
              <w:t xml:space="preserve">Loss function</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5660" w:type="dxa"/>
          </w:tcPr>
          <w:p>
            <w:pPr>
              <w:pBdr/>
              <w:spacing/>
              <w:ind/>
              <w:rPr/>
            </w:pPr>
            <w:r>
              <w:rPr>
                <w:rFonts w:ascii="Arial" w:hAnsi="Arial" w:eastAsia="Arial" w:cs="Arial"/>
                <w:sz w:val="22"/>
                <w:szCs w:val="22"/>
              </w:rPr>
              <w:t xml:space="preserve">Cross-Entropy</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700" w:type="dxa"/>
          </w:tcPr>
          <w:p>
            <w:pPr>
              <w:pBdr/>
              <w:spacing/>
              <w:ind/>
              <w:rPr/>
            </w:pPr>
            <w:r>
              <w:rPr>
                <w:rFonts w:ascii="Arial" w:hAnsi="Arial" w:eastAsia="Arial" w:cs="Arial"/>
                <w:sz w:val="22"/>
                <w:szCs w:val="22"/>
              </w:rPr>
              <w:t xml:space="preserve">Cross-validation folds</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5660" w:type="dxa"/>
          </w:tcPr>
          <w:p>
            <w:pPr>
              <w:pBdr/>
              <w:spacing/>
              <w:ind/>
              <w:rPr/>
            </w:pPr>
            <w:r>
              <w:rPr>
                <w:rFonts w:ascii="Arial" w:hAnsi="Arial" w:eastAsia="Arial" w:cs="Arial"/>
                <w:sz w:val="22"/>
                <w:szCs w:val="22"/>
              </w:rPr>
              <w:t xml:space="preserve">10 (StratifiedShuffleSplit)</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700" w:type="dxa"/>
          </w:tcPr>
          <w:p>
            <w:pPr>
              <w:pBdr/>
              <w:spacing/>
              <w:ind/>
              <w:rPr/>
            </w:pPr>
            <w:r>
              <w:rPr>
                <w:rFonts w:ascii="Arial" w:hAnsi="Arial" w:eastAsia="Arial" w:cs="Arial"/>
                <w:sz w:val="22"/>
                <w:szCs w:val="22"/>
              </w:rPr>
              <w:t xml:space="preserve">Validation split</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5660" w:type="dxa"/>
          </w:tcPr>
          <w:p>
            <w:pPr>
              <w:pBdr/>
              <w:spacing/>
              <w:ind/>
              <w:rPr/>
            </w:pPr>
            <w:r>
              <w:rPr>
                <w:rFonts w:ascii="Arial" w:hAnsi="Arial" w:eastAsia="Arial" w:cs="Arial"/>
                <w:sz w:val="22"/>
                <w:szCs w:val="22"/>
              </w:rPr>
              <w:t xml:space="preserve">15%</w:t>
            </w:r>
            <w:r/>
          </w:p>
        </w:tc>
      </w:tr>
      <w:tr>
        <w:trPr/>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3700" w:type="dxa"/>
          </w:tcPr>
          <w:p>
            <w:pPr>
              <w:pBdr/>
              <w:spacing/>
              <w:ind/>
              <w:rPr/>
            </w:pPr>
            <w:r>
              <w:rPr>
                <w:rFonts w:ascii="Arial" w:hAnsi="Arial" w:eastAsia="Arial" w:cs="Arial"/>
                <w:sz w:val="22"/>
                <w:szCs w:val="22"/>
              </w:rPr>
              <w:t xml:space="preserve">Final ensemble size</w:t>
            </w:r>
            <w:r/>
          </w:p>
        </w:tc>
        <w:tc>
          <w:tcPr>
            <w:tcBorders>
              <w:top w:val="single" w:color="999999" w:sz="6" w:space="0"/>
              <w:left w:val="single" w:color="999999" w:sz="6" w:space="0"/>
              <w:bottom w:val="single" w:color="999999" w:sz="6" w:space="0"/>
              <w:right w:val="single" w:color="999999" w:sz="6" w:space="0"/>
            </w:tcBorders>
            <w:tcMar>
              <w:left w:w="140" w:type="dxa"/>
              <w:top w:w="100" w:type="dxa"/>
              <w:right w:w="140" w:type="dxa"/>
              <w:bottom w:w="100" w:type="dxa"/>
            </w:tcMar>
            <w:tcW w:w="5660" w:type="dxa"/>
          </w:tcPr>
          <w:p>
            <w:pPr>
              <w:pBdr/>
              <w:spacing/>
              <w:ind/>
              <w:rPr/>
            </w:pPr>
            <w:r>
              <w:rPr>
                <w:rFonts w:ascii="Arial" w:hAnsi="Arial" w:eastAsia="Arial" w:cs="Arial"/>
                <w:sz w:val="22"/>
                <w:szCs w:val="22"/>
              </w:rPr>
              <w:t xml:space="preserve">60 snapshots (10 folds × 6)</w:t>
            </w:r>
            <w:r/>
          </w:p>
        </w:tc>
      </w:tr>
    </w:tbl>
    <w:p>
      <w:pPr>
        <w:pBdr/>
        <w:spacing/>
        <w:ind/>
        <w:rPr/>
      </w:pPr>
      <w:r/>
      <w:r/>
    </w:p>
    <w:p>
      <w:pPr>
        <w:pStyle w:val="724"/>
        <w:pBdr/>
        <w:spacing w:after="120" w:before="240"/>
        <w:ind/>
        <w:rPr/>
      </w:pPr>
      <w:r>
        <w:rPr>
          <w:rFonts w:ascii="Arial" w:hAnsi="Arial" w:eastAsia="Arial" w:cs="Arial"/>
          <w:b/>
          <w:bCs/>
          <w:sz w:val="26"/>
          <w:szCs w:val="26"/>
        </w:rPr>
        <w:t xml:space="preserve">6.8 Implementation</w:t>
      </w:r>
      <w:r/>
    </w:p>
    <w:p>
      <w:pPr>
        <w:pBdr/>
        <w:spacing w:after="120" w:before="80" w:line="320" w:lineRule="auto"/>
        <w:ind/>
        <w:jc w:val="both"/>
        <w:rPr/>
      </w:pPr>
      <w:r>
        <w:rPr>
          <w:rFonts w:ascii="Arial" w:hAnsi="Arial" w:eastAsia="Arial" w:cs="Arial"/>
          <w:sz w:val="22"/>
          <w:szCs w:val="22"/>
        </w:rPr>
        <w:t xml:space="preserve">The pipeline is implemented in PyTorch. The patch tensor occupies approximately 4,688 × 13 × 16 × 32 × 32 × 4 bytes ≈ 4 GB in float32; this is held in memory throughout training. The dataset c</w:t>
      </w:r>
      <w:r>
        <w:rPr>
          <w:rFonts w:ascii="Arial" w:hAnsi="Arial" w:eastAsia="Arial" w:cs="Arial"/>
          <w:sz w:val="22"/>
          <w:szCs w:val="22"/>
        </w:rPr>
        <w:t xml:space="preserve">lass returns a tuple of (image, area, field_mask, label) per sample, and the model consumes (image, field_mask) as input. Inference on the held-out test set produces a (1402, 7) probability matrix, which is written directly to a competition submission CSV.</w:t>
      </w:r>
      <w:r/>
    </w:p>
    <w:p>
      <w:pPr>
        <w:pStyle w:val="723"/>
        <w:pBdr/>
        <w:spacing w:after="160" w:before="320"/>
        <w:ind/>
        <w:rPr/>
      </w:pPr>
      <w:r>
        <w:rPr>
          <w:rFonts w:ascii="Arial" w:hAnsi="Arial" w:eastAsia="Arial" w:cs="Arial"/>
          <w:b/>
          <w:bCs/>
          <w:sz w:val="32"/>
          <w:szCs w:val="32"/>
        </w:rPr>
        <w:t xml:space="preserve">7. Results and Discussion</w:t>
      </w:r>
      <w:r/>
    </w:p>
    <w:p>
      <w:pPr>
        <w:pStyle w:val="724"/>
        <w:pBdr/>
        <w:spacing w:after="120" w:before="240"/>
        <w:ind/>
        <w:rPr/>
      </w:pPr>
      <w:r>
        <w:rPr>
          <w:rFonts w:ascii="Arial" w:hAnsi="Arial" w:eastAsia="Arial" w:cs="Arial"/>
          <w:b/>
          <w:bCs/>
          <w:sz w:val="26"/>
          <w:szCs w:val="26"/>
        </w:rPr>
        <w:t xml:space="preserve">7.1 Outcome</w:t>
      </w:r>
      <w:r/>
    </w:p>
    <w:p>
      <w:pPr>
        <w:pBdr/>
        <w:spacing w:after="120" w:before="80" w:line="320" w:lineRule="auto"/>
        <w:ind/>
        <w:jc w:val="both"/>
        <w:rPr/>
      </w:pPr>
      <w:r>
        <w:rPr>
          <w:rFonts w:ascii="Arial" w:hAnsi="Arial" w:eastAsia="Arial" w:cs="Arial"/>
          <w:sz w:val="22"/>
          <w:szCs w:val="22"/>
        </w:rPr>
        <w:t xml:space="preserve">The final ensemble achieved a cross-entropy score of 1.1023 on the</w:t>
      </w:r>
      <w:r>
        <w:rPr>
          <w:rFonts w:ascii="Arial" w:hAnsi="Arial" w:eastAsia="Arial" w:cs="Arial"/>
          <w:sz w:val="22"/>
          <w:szCs w:val="22"/>
        </w:rPr>
        <w:t xml:space="preserve"> held-out test set of 1,402 fields.</w:t>
      </w:r>
      <w:r/>
    </w:p>
    <w:p>
      <w:pPr>
        <w:pStyle w:val="724"/>
        <w:pBdr/>
        <w:spacing w:after="120" w:before="240"/>
        <w:ind/>
        <w:rPr/>
      </w:pPr>
      <w:r>
        <w:rPr>
          <w:rFonts w:ascii="Arial" w:hAnsi="Arial" w:eastAsia="Arial" w:cs="Arial"/>
          <w:b/>
          <w:bCs/>
          <w:sz w:val="26"/>
          <w:szCs w:val="26"/>
        </w:rPr>
        <w:t xml:space="preserve">7.2 What worked</w:t>
      </w:r>
      <w:r/>
    </w:p>
    <w:p>
      <w:pPr>
        <w:pBdr/>
        <w:spacing w:after="120" w:before="80" w:line="320" w:lineRule="auto"/>
        <w:ind/>
        <w:jc w:val="both"/>
        <w:rPr/>
      </w:pPr>
      <w:r>
        <w:rPr>
          <w:rFonts w:ascii="Arial" w:hAnsi="Arial" w:eastAsia="Arial" w:cs="Arial"/>
          <w:b/>
          <w:bCs/>
          <w:sz w:val="22"/>
          <w:szCs w:val="22"/>
        </w:rPr>
        <w:t xml:space="preserve">Masked average pooling. </w:t>
      </w:r>
      <w:r>
        <w:rPr>
          <w:rFonts w:ascii="Arial" w:hAnsi="Arial" w:eastAsia="Arial" w:cs="Arial"/>
          <w:sz w:val="22"/>
          <w:szCs w:val="22"/>
        </w:rPr>
        <w:t xml:space="preserve">Suppressing non-field pixels at the pooling stage prevented the model from leaning on neigh</w:t>
      </w:r>
      <w:r>
        <w:rPr>
          <w:rFonts w:ascii="Arial" w:hAnsi="Arial" w:eastAsia="Arial" w:cs="Arial"/>
          <w:sz w:val="22"/>
          <w:szCs w:val="22"/>
        </w:rPr>
        <w:t xml:space="preserve">bouring land cover, which in this region varies from village structures to roads to other crops. The mask-aware pool is a small architectural change but it directly addresses the small-field problem that pure patch-based CNNs would otherwise struggle with.</w:t>
      </w:r>
      <w:r/>
    </w:p>
    <w:p>
      <w:pPr>
        <w:pBdr/>
        <w:spacing w:after="120" w:before="80" w:line="320" w:lineRule="auto"/>
        <w:ind/>
        <w:jc w:val="both"/>
        <w:rPr/>
      </w:pPr>
      <w:r>
        <w:rPr>
          <w:rFonts w:ascii="Arial" w:hAnsi="Arial" w:eastAsia="Arial" w:cs="Arial"/>
          <w:b/>
          <w:bCs/>
          <w:sz w:val="22"/>
          <w:szCs w:val="22"/>
        </w:rPr>
        <w:t xml:space="preserve">Two-level ensembling. </w:t>
      </w:r>
      <w:r>
        <w:rPr>
          <w:rFonts w:ascii="Arial" w:hAnsi="Arial" w:eastAsia="Arial" w:cs="Arial"/>
          <w:sz w:val="22"/>
          <w:szCs w:val="22"/>
        </w:rPr>
        <w:t xml:space="preserve">Snapshot ensembling within each fold provided cheap diversity from cyclical learning-rate restarts, while bagging across folds provided diversity from different training subsets. The two sources of diversity are largely orthogonal: snapshot</w:t>
      </w:r>
      <w:r>
        <w:rPr>
          <w:rFonts w:ascii="Arial" w:hAnsi="Arial" w:eastAsia="Arial" w:cs="Arial"/>
          <w:sz w:val="22"/>
          <w:szCs w:val="22"/>
        </w:rPr>
        <w:t xml:space="preserve">s from the same fold disagree on borderline samples because they sit at different points in the loss landscape, while folds disagree because they have seen different examples of the rarer classes. Combining both was more effective than either in isolation.</w:t>
      </w:r>
      <w:r/>
    </w:p>
    <w:p>
      <w:pPr>
        <w:pBdr/>
        <w:spacing w:after="120" w:before="80" w:line="320" w:lineRule="auto"/>
        <w:ind/>
        <w:jc w:val="both"/>
        <w:rPr/>
      </w:pPr>
      <w:r>
        <w:rPr>
          <w:rFonts w:ascii="Arial" w:hAnsi="Arial" w:eastAsia="Arial" w:cs="Arial"/>
          <w:b/>
          <w:bCs/>
          <w:sz w:val="22"/>
          <w:szCs w:val="22"/>
        </w:rPr>
        <w:t xml:space="preserve">Stratified validation. </w:t>
      </w:r>
      <w:r>
        <w:rPr>
          <w:rFonts w:ascii="Arial" w:hAnsi="Arial" w:eastAsia="Arial" w:cs="Arial"/>
          <w:sz w:val="22"/>
          <w:szCs w:val="22"/>
        </w:rPr>
        <w:t xml:space="preserve">Cross-entropy is dominated by tail behaviour on rar</w:t>
      </w:r>
      <w:r>
        <w:rPr>
          <w:rFonts w:ascii="Arial" w:hAnsi="Arial" w:eastAsia="Arial" w:cs="Arial"/>
          <w:sz w:val="22"/>
          <w:szCs w:val="22"/>
        </w:rPr>
        <w:t xml:space="preserve">e classes. Using stratified splits kept validation scores aligned with leaderboard scores, which made the design loop converge much faster — without it, run-to-run validation noise would have been comparable to the actual signal from architectural changes.</w:t>
      </w:r>
      <w:r/>
    </w:p>
    <w:p>
      <w:pPr>
        <w:pBdr/>
        <w:spacing w:after="120" w:before="80" w:line="320" w:lineRule="auto"/>
        <w:ind/>
        <w:jc w:val="both"/>
        <w:rPr/>
      </w:pPr>
      <w:r>
        <w:rPr>
          <w:rFonts w:ascii="Arial" w:hAnsi="Arial" w:eastAsia="Arial" w:cs="Arial"/>
          <w:b/>
          <w:bCs/>
          <w:sz w:val="22"/>
          <w:szCs w:val="22"/>
        </w:rPr>
        <w:t xml:space="preserve">Variance-stabilising preprocessing. </w:t>
      </w:r>
      <w:r>
        <w:rPr>
          <w:rFonts w:ascii="Arial" w:hAnsi="Arial" w:eastAsia="Arial" w:cs="Arial"/>
          <w:sz w:val="22"/>
          <w:szCs w:val="22"/>
        </w:rPr>
        <w:t xml:space="preserve">The square-root transform reduced per-band skewness substantially (from values in the 4–7 range down to 1–4), which combined with su</w:t>
      </w:r>
      <w:r>
        <w:rPr>
          <w:rFonts w:ascii="Arial" w:hAnsi="Arial" w:eastAsia="Arial" w:cs="Arial"/>
          <w:sz w:val="22"/>
          <w:szCs w:val="22"/>
        </w:rPr>
        <w:t xml:space="preserve">bsequent standardisation produced channel distributions much closer to the implicit Gaussian assumptions of GroupNorm. Despite the model's nominal capacity to learn its own normalisation, the explicit transform measurably improved early-training stability.</w:t>
      </w:r>
      <w:r/>
    </w:p>
    <w:p>
      <w:pPr>
        <w:pBdr/>
        <w:spacing w:after="120" w:before="80" w:line="320" w:lineRule="auto"/>
        <w:ind/>
        <w:jc w:val="both"/>
        <w:rPr/>
      </w:pPr>
      <w:r>
        <w:rPr>
          <w:rFonts w:ascii="Arial" w:hAnsi="Arial" w:eastAsia="Arial" w:cs="Arial"/>
          <w:b/>
          <w:bCs/>
          <w:sz w:val="22"/>
          <w:szCs w:val="22"/>
        </w:rPr>
        <w:t xml:space="preserve">Vegetation indices. </w:t>
      </w:r>
      <w:r>
        <w:rPr>
          <w:rFonts w:ascii="Arial" w:hAnsi="Arial" w:eastAsia="Arial" w:cs="Arial"/>
          <w:sz w:val="22"/>
          <w:szCs w:val="22"/>
        </w:rPr>
        <w:t xml:space="preserve">Adding NDVI and two NDWI variants as engineered chan</w:t>
      </w:r>
      <w:r>
        <w:rPr>
          <w:rFonts w:ascii="Arial" w:hAnsi="Arial" w:eastAsia="Arial" w:cs="Arial"/>
          <w:sz w:val="22"/>
          <w:szCs w:val="22"/>
        </w:rPr>
        <w:t xml:space="preserve">nels gave the model a head start on chlorophyll- and water-related discrimination without requiring it to discover these ratios from scratch. The effect is most visible on the rarer intercrop classes, where data is scarce and any inductive bias is welcome.</w:t>
      </w:r>
      <w:r/>
    </w:p>
    <w:p>
      <w:pPr>
        <w:pStyle w:val="724"/>
        <w:pBdr/>
        <w:spacing w:after="120" w:before="240"/>
        <w:ind/>
        <w:rPr/>
      </w:pPr>
      <w:r>
        <w:rPr>
          <w:rFonts w:ascii="Arial" w:hAnsi="Arial" w:eastAsia="Arial" w:cs="Arial"/>
          <w:b/>
          <w:bCs/>
          <w:sz w:val="26"/>
          <w:szCs w:val="26"/>
        </w:rPr>
        <w:t xml:space="preserve">7.3 What did not work as well</w:t>
      </w:r>
      <w:r/>
    </w:p>
    <w:p>
      <w:pPr>
        <w:pBdr/>
        <w:spacing w:after="120" w:before="80" w:line="320" w:lineRule="auto"/>
        <w:ind/>
        <w:jc w:val="both"/>
        <w:rPr/>
      </w:pPr>
      <w:r>
        <w:rPr>
          <w:rFonts w:ascii="Arial" w:hAnsi="Arial" w:eastAsia="Arial" w:cs="Arial"/>
          <w:sz w:val="22"/>
          <w:szCs w:val="22"/>
        </w:rPr>
        <w:t xml:space="preserve">Several design directions were explored without </w:t>
      </w:r>
      <w:r>
        <w:rPr>
          <w:rFonts w:ascii="Arial" w:hAnsi="Arial" w:eastAsia="Arial" w:cs="Arial"/>
          <w:sz w:val="22"/>
          <w:szCs w:val="22"/>
        </w:rPr>
        <w:t xml:space="preserve">measurable benefit. Larger convolutional backbones (more channels or additional layers) tended to overfit, an unsurprising outcome given the dataset size. Attention pooling as an alternative to masked average pooling did not outperform the simpler mean, po</w:t>
      </w:r>
      <w:r>
        <w:rPr>
          <w:rFonts w:ascii="Arial" w:hAnsi="Arial" w:eastAsia="Arial" w:cs="Arial"/>
          <w:sz w:val="22"/>
          <w:szCs w:val="22"/>
        </w:rPr>
        <w:t xml:space="preserve">ssibly because the attention layer added parameters without providing extra information beyond what the binary mask already encoded. Replacing the GRU with a Transformer encoder produced comparable but not better results, again likely a sample-size effect.</w:t>
      </w:r>
      <w:r/>
    </w:p>
    <w:p>
      <w:pPr>
        <w:pStyle w:val="724"/>
        <w:pBdr/>
        <w:spacing w:after="120" w:before="240"/>
        <w:ind/>
        <w:rPr/>
      </w:pPr>
      <w:r>
        <w:rPr>
          <w:rFonts w:ascii="Arial" w:hAnsi="Arial" w:eastAsia="Arial" w:cs="Arial"/>
          <w:b/>
          <w:bCs/>
          <w:sz w:val="26"/>
          <w:szCs w:val="26"/>
        </w:rPr>
        <w:t xml:space="preserve">7.4 Limitations</w:t>
      </w:r>
      <w:r/>
    </w:p>
    <w:p>
      <w:pPr>
        <w:pBdr/>
        <w:spacing w:after="120" w:before="80" w:line="320" w:lineRule="auto"/>
        <w:ind/>
        <w:jc w:val="both"/>
        <w:rPr/>
      </w:pPr>
      <w:r>
        <w:rPr>
          <w:rFonts w:ascii="Arial" w:hAnsi="Arial" w:eastAsia="Arial" w:cs="Arial"/>
          <w:sz w:val="22"/>
          <w:szCs w:val="22"/>
        </w:rPr>
        <w:t xml:space="preserve">A few limitations of the present work</w:t>
      </w:r>
      <w:r>
        <w:rPr>
          <w:rFonts w:ascii="Arial" w:hAnsi="Arial" w:eastAsia="Arial" w:cs="Arial"/>
          <w:sz w:val="22"/>
          <w:szCs w:val="22"/>
        </w:rPr>
        <w:t xml:space="preserve"> warrant explicit acknowledgement. First, the approach relies on accurate field boundary masks at inference time; performance under noisy or weak field delineation has not been characterised. Second, the model uses a fixed sequence of thirteen timesteps; g</w:t>
      </w:r>
      <w:r>
        <w:rPr>
          <w:rFonts w:ascii="Arial" w:hAnsi="Arial" w:eastAsia="Arial" w:cs="Arial"/>
          <w:sz w:val="22"/>
          <w:szCs w:val="22"/>
        </w:rPr>
        <w:t xml:space="preserve">eneralising to acquisition schedules with different cadences would require either resampling or a more flexible temporal encoder. Third, the test set has no public ground-truth labels, so all detailed error analysis (confusion matrices, per-class accuracy)</w:t>
      </w:r>
      <w:r>
        <w:rPr>
          <w:rFonts w:ascii="Arial" w:hAnsi="Arial" w:eastAsia="Arial" w:cs="Arial"/>
          <w:sz w:val="22"/>
          <w:szCs w:val="22"/>
        </w:rPr>
        <w:t xml:space="preserve"> was conducted on cross-validated validation folds rather than on the official test set. Finally, the dataset covers a single agro-climatic region in one growing season; the geographic and temporal generalisation of the trained model has not been measured.</w:t>
      </w:r>
      <w:r/>
    </w:p>
    <w:p>
      <w:pPr>
        <w:pStyle w:val="723"/>
        <w:pBdr/>
        <w:spacing w:after="160" w:before="320"/>
        <w:ind/>
        <w:rPr/>
      </w:pPr>
      <w:r>
        <w:rPr>
          <w:rFonts w:ascii="Arial" w:hAnsi="Arial" w:eastAsia="Arial" w:cs="Arial"/>
          <w:b/>
          <w:bCs/>
          <w:sz w:val="32"/>
          <w:szCs w:val="32"/>
        </w:rPr>
        <w:t xml:space="preserve">8. Conclusion</w:t>
      </w:r>
      <w:r/>
    </w:p>
    <w:p>
      <w:pPr>
        <w:pBdr/>
        <w:spacing w:after="120" w:before="80" w:line="320" w:lineRule="auto"/>
        <w:ind/>
        <w:jc w:val="both"/>
        <w:rPr/>
      </w:pPr>
      <w:r>
        <w:rPr>
          <w:rFonts w:ascii="Arial" w:hAnsi="Arial" w:eastAsia="Arial" w:cs="Arial"/>
          <w:sz w:val="22"/>
          <w:szCs w:val="22"/>
        </w:rPr>
        <w:t xml:space="preserve">This report presented a complete deep-learning pipeline for crop type classification from multi-temporal Sentinel-2 imagery, designed for the constraints typical of African smallholder-farming datasets: small training sets,</w:t>
      </w:r>
      <w:r>
        <w:rPr>
          <w:rFonts w:ascii="Arial" w:hAnsi="Arial" w:eastAsia="Arial" w:cs="Arial"/>
          <w:sz w:val="22"/>
          <w:szCs w:val="22"/>
        </w:rPr>
        <w:t xml:space="preserve"> severe class imbalance, and many fields covering only a handful of pixels. The final architecture combines a shared 2D convolutional encoder, a masked average-pooling layer that respects field geometry, and a three-layer bidirectional GRU that integrates </w:t>
      </w:r>
      <w:r>
        <w:rPr>
          <w:rFonts w:ascii="Arial" w:hAnsi="Arial" w:eastAsia="Arial" w:cs="Arial"/>
          <w:sz w:val="22"/>
          <w:szCs w:val="22"/>
        </w:rPr>
        <w:t xml:space="preserve">information across the growing season. The training pipeline relies on aggressive feature engineering, three forms of data augmentation, and a two-level ensemble that combines snapshot ensembling within each cross-validation fold with bagging across folds.</w:t>
      </w:r>
      <w:r/>
    </w:p>
    <w:p>
      <w:pPr>
        <w:pBdr/>
        <w:spacing w:after="120" w:before="80" w:line="320" w:lineRule="auto"/>
        <w:ind/>
        <w:jc w:val="both"/>
        <w:rPr/>
      </w:pPr>
      <w:r>
        <w:rPr>
          <w:rFonts w:ascii="Arial" w:hAnsi="Arial" w:eastAsia="Arial" w:cs="Arial"/>
          <w:sz w:val="22"/>
          <w:szCs w:val="22"/>
        </w:rPr>
        <w:t xml:space="preserve">On the held-out test set of 1,402 fields, the resulting ensemble of sixty model snapshots achieved a cross-entropy of 1.1023</w:t>
      </w:r>
      <w:r>
        <w:rPr>
          <w:rFonts w:ascii="Arial" w:hAnsi="Arial" w:eastAsia="Arial" w:cs="Arial"/>
          <w:sz w:val="22"/>
          <w:szCs w:val="22"/>
        </w:rPr>
        <w:t xml:space="preserve">. The result supports the central design hypothesis that, in this low-data, high-dimensionality regime, careful inductive biases — particularly mask-aware pooling and stratified ensembling — outperform raw model capacity.</w:t>
      </w:r>
      <w:r/>
    </w:p>
    <w:p>
      <w:pPr>
        <w:pBdr/>
        <w:spacing w:after="120" w:before="80" w:line="320" w:lineRule="auto"/>
        <w:ind/>
        <w:jc w:val="both"/>
        <w:rPr/>
      </w:pPr>
      <w:r>
        <w:rPr>
          <w:rFonts w:ascii="Arial" w:hAnsi="Arial" w:eastAsia="Arial" w:cs="Arial"/>
          <w:sz w:val="22"/>
          <w:szCs w:val="22"/>
        </w:rPr>
        <w:t xml:space="preserve">Several directions for future work emerge naturally. First</w:t>
      </w:r>
      <w:r>
        <w:rPr>
          <w:rFonts w:ascii="Arial" w:hAnsi="Arial" w:eastAsia="Arial" w:cs="Arial"/>
          <w:sz w:val="22"/>
          <w:szCs w:val="22"/>
        </w:rPr>
        <w:t xml:space="preserve">, the pipeline could be extended to operate on weakly-delineated or fully unlabelled fields, broadening its applicability in regions where high-quality polygon annotations are unavailable. Second, the temporal encoder could be replaced with a model that ha</w:t>
      </w:r>
      <w:r>
        <w:rPr>
          <w:rFonts w:ascii="Arial" w:hAnsi="Arial" w:eastAsia="Arial" w:cs="Arial"/>
          <w:sz w:val="22"/>
          <w:szCs w:val="22"/>
        </w:rPr>
        <w:t xml:space="preserve">ndles variable-length, irregularly-sampled acquisition sequences directly, removing the dependence on a fixed thirteen-step schedule. Third, the approach could be extended from per-field classification to dense per-pixel crop mapping, which would integrate</w:t>
      </w:r>
      <w:r>
        <w:rPr>
          <w:rFonts w:ascii="Arial" w:hAnsi="Arial" w:eastAsia="Arial" w:cs="Arial"/>
          <w:sz w:val="22"/>
          <w:szCs w:val="22"/>
        </w:rPr>
        <w:t xml:space="preserve"> field-detection and classification into a single end-to-end task. Fourth, applying the same architecture to a larger, more geographically diverse dataset would clarify which design choices are specific to this region and season and which transfer broadly.</w:t>
      </w:r>
      <w:r/>
    </w:p>
    <w:p>
      <w:pPr>
        <w:pStyle w:val="723"/>
        <w:pBdr/>
        <w:spacing w:after="160" w:before="320"/>
        <w:ind/>
        <w:rPr/>
      </w:pPr>
      <w:r>
        <w:rPr>
          <w:rFonts w:ascii="Arial" w:hAnsi="Arial" w:eastAsia="Arial" w:cs="Arial"/>
          <w:b/>
          <w:bCs/>
          <w:sz w:val="32"/>
          <w:szCs w:val="32"/>
        </w:rPr>
        <w:t xml:space="preserve">9. References</w:t>
      </w:r>
      <w:r/>
    </w:p>
    <w:p>
      <w:pPr>
        <w:pBdr/>
        <w:spacing w:after="120" w:before="80" w:line="320" w:lineRule="auto"/>
        <w:ind/>
        <w:jc w:val="both"/>
        <w:rPr/>
      </w:pPr>
      <w:r>
        <w:rPr>
          <w:rFonts w:ascii="Arial" w:hAnsi="Arial" w:eastAsia="Arial" w:cs="Arial"/>
          <w:sz w:val="22"/>
          <w:szCs w:val="22"/>
        </w:rPr>
        <w:t xml:space="preserve">Huang, G., Li, Y., Pleiss, G., Liu, Z., Hopcroft, J. E., &amp; Weinberger, K. Q. (2017). Snapshot Ensembles: Train 1, Get M for Free. arXiv preprint arXiv:1704.00109.</w:t>
      </w:r>
      <w:r/>
    </w:p>
    <w:p>
      <w:pPr>
        <w:pBdr/>
        <w:spacing w:after="120" w:before="80" w:line="320" w:lineRule="auto"/>
        <w:ind/>
        <w:jc w:val="both"/>
        <w:rPr/>
      </w:pPr>
      <w:r>
        <w:rPr>
          <w:rFonts w:ascii="Arial" w:hAnsi="Arial" w:eastAsia="Arial" w:cs="Arial"/>
          <w:sz w:val="22"/>
          <w:szCs w:val="22"/>
        </w:rPr>
        <w:t xml:space="preserve">Ji, S., Zhang, Z., Zhang, C., Wei, S., Lu, M., &amp; Duan, Y. (2020). Learning Discriminative Spatiotemporal Features for Precise Crop Classification from Multi-Temporal Satellite Images. International Journal of Remote Sensing, 41(8), 3162–3174.</w:t>
      </w:r>
      <w:r/>
    </w:p>
    <w:p>
      <w:pPr>
        <w:pBdr/>
        <w:spacing w:after="120" w:before="80" w:line="320" w:lineRule="auto"/>
        <w:ind/>
        <w:jc w:val="both"/>
        <w:rPr/>
      </w:pPr>
      <w:r>
        <w:rPr>
          <w:rFonts w:ascii="Arial" w:hAnsi="Arial" w:eastAsia="Arial" w:cs="Arial"/>
          <w:sz w:val="22"/>
          <w:szCs w:val="22"/>
        </w:rPr>
        <w:t xml:space="preserve">Karnieli, A., Agam, N., Pinker, R. T., et al. (2010). Use of NDVI and Land Surface Temperature for Drought Assessment: Merits and Limitations. Journal of Climate, 23(3), 618–633.</w:t>
      </w:r>
      <w:r/>
    </w:p>
    <w:p>
      <w:pPr>
        <w:pBdr/>
        <w:spacing w:after="120" w:before="80" w:line="320" w:lineRule="auto"/>
        <w:ind/>
        <w:jc w:val="both"/>
        <w:rPr/>
      </w:pPr>
      <w:r>
        <w:rPr>
          <w:rFonts w:ascii="Arial" w:hAnsi="Arial" w:eastAsia="Arial" w:cs="Arial"/>
          <w:sz w:val="22"/>
          <w:szCs w:val="22"/>
        </w:rPr>
        <w:t xml:space="preserve">McFeeters, S. K. (1996). The Use of the Normalized Difference Water Index (NDWI) in the Delineation of Open Water Features. International Journal of Remote Sensing, 17(7), 1425–1432.</w:t>
      </w:r>
      <w:r/>
    </w:p>
    <w:p>
      <w:pPr>
        <w:pBdr/>
        <w:spacing w:after="120" w:before="80" w:line="320" w:lineRule="auto"/>
        <w:ind/>
        <w:jc w:val="both"/>
        <w:rPr/>
      </w:pPr>
      <w:r>
        <w:rPr>
          <w:rFonts w:ascii="Arial" w:hAnsi="Arial" w:eastAsia="Arial" w:cs="Arial"/>
          <w:sz w:val="22"/>
          <w:szCs w:val="22"/>
        </w:rPr>
        <w:t xml:space="preserve">Ok, A. O., Akar, O., &amp; Gungor, O. (2012). Evaluation of Random Forest Method for Agricultural Crop Classification. European Journal of Remote Sensing, 45(1), 421–432.</w:t>
      </w:r>
      <w:r/>
    </w:p>
    <w:p>
      <w:pPr>
        <w:pBdr/>
        <w:spacing w:after="120" w:before="80" w:line="320" w:lineRule="auto"/>
        <w:ind/>
        <w:jc w:val="both"/>
        <w:rPr/>
      </w:pPr>
      <w:r>
        <w:rPr>
          <w:rFonts w:ascii="Arial" w:hAnsi="Arial" w:eastAsia="Arial" w:cs="Arial"/>
          <w:sz w:val="22"/>
          <w:szCs w:val="22"/>
        </w:rPr>
        <w:t xml:space="preserve">Visko</w:t>
      </w:r>
      <w:r>
        <w:rPr>
          <w:rFonts w:ascii="Arial" w:hAnsi="Arial" w:eastAsia="Arial" w:cs="Arial"/>
          <w:sz w:val="22"/>
          <w:szCs w:val="22"/>
        </w:rPr>
        <w:t xml:space="preserve">vic, L., Kosovic, I. N., &amp; Mastelic, T. (2019). Crop Classification Using Multi-Spectral and Multitemporal Satellite Imagery with Machine Learning. In 2019 International Conference on Software, Telecommunications and Computer Networks (SoftCOM), 1–5. IEEE.</w:t>
      </w:r>
      <w:r/>
    </w:p>
    <w:p>
      <w:pPr>
        <w:pBdr/>
        <w:spacing w:after="120" w:before="80" w:line="320" w:lineRule="auto"/>
        <w:ind/>
        <w:jc w:val="both"/>
        <w:rPr/>
      </w:pPr>
      <w:r>
        <w:rPr>
          <w:rFonts w:ascii="Arial" w:hAnsi="Arial" w:eastAsia="Arial" w:cs="Arial"/>
          <w:sz w:val="22"/>
          <w:szCs w:val="22"/>
        </w:rPr>
        <w:t xml:space="preserve">Zhang, H., Cisse, M., Dauphin, Y. N., &amp; Lopez-Paz, D. (2017). mixup: Beyond Empirical Risk Minimization. arXiv preprint arXiv:1710.09412.</w:t>
      </w:r>
      <w:r/>
    </w:p>
    <w:p>
      <w:pPr>
        <w:pBdr/>
        <w:spacing w:after="120" w:before="80" w:line="320" w:lineRule="auto"/>
        <w:ind/>
        <w:jc w:val="both"/>
        <w:rPr/>
      </w:pPr>
      <w:r>
        <w:rPr>
          <w:rFonts w:ascii="Arial" w:hAnsi="Arial" w:eastAsia="Arial" w:cs="Arial"/>
          <w:sz w:val="22"/>
          <w:szCs w:val="22"/>
        </w:rPr>
        <w:t xml:space="preserve">Cho, K., van Merrienboer, B., Gulcehre, C., Bahdanau, D., Bougares, F., Schwenk, H., &amp; Bengio, Y. (2014). Learning Phrase Representations Using RNN Encoder-Decoder for Statistical Machine Translation. arXiv preprint arXiv:1406.1078.</w:t>
      </w:r>
      <w:r/>
    </w:p>
    <w:p>
      <w:pPr>
        <w:pBdr/>
        <w:spacing w:after="120" w:before="80" w:line="320" w:lineRule="auto"/>
        <w:ind/>
        <w:jc w:val="both"/>
        <w:rPr/>
      </w:pPr>
      <w:r>
        <w:rPr>
          <w:rFonts w:ascii="Arial" w:hAnsi="Arial" w:eastAsia="Arial" w:cs="Arial"/>
          <w:sz w:val="22"/>
          <w:szCs w:val="22"/>
        </w:rPr>
        <w:t xml:space="preserve">Wu, Y., &amp; He, K. (2018). Group Normalization. In Proceedings of the European Conference on Computer Vision (ECCV), 3–19.</w:t>
      </w:r>
      <w:r/>
    </w:p>
    <w:p>
      <w:pPr>
        <w:pBdr/>
        <w:spacing w:after="120" w:before="80" w:line="320" w:lineRule="auto"/>
        <w:ind/>
        <w:jc w:val="both"/>
        <w:rPr/>
      </w:pPr>
      <w:r>
        <w:rPr>
          <w:rFonts w:ascii="Arial" w:hAnsi="Arial" w:eastAsia="Arial" w:cs="Arial"/>
          <w:sz w:val="22"/>
          <w:szCs w:val="22"/>
        </w:rPr>
        <w:t xml:space="preserve">Drusch, M., Del Bello, U., Carlier, S., Colin, O., Fernandez, V., Gascon, F., et al. (2012). Sentinel-2: ESA's Optical High-Resolution Mission for GMES Operational Services. Remote Sensing of Environment, 120, 25–36.</w:t>
      </w:r>
      <w:r/>
    </w:p>
    <w:p>
      <w:pPr>
        <w:pStyle w:val="723"/>
        <w:pBdr/>
        <w:spacing w:after="160" w:before="320"/>
        <w:ind/>
        <w:rPr/>
      </w:pPr>
      <w:r>
        <w:rPr>
          <w:rFonts w:ascii="Arial" w:hAnsi="Arial" w:eastAsia="Arial" w:cs="Arial"/>
          <w:b/>
          <w:bCs/>
          <w:sz w:val="32"/>
          <w:szCs w:val="32"/>
        </w:rPr>
        <w:t xml:space="preserve">10. Code and Dataset Details</w:t>
      </w:r>
      <w:r/>
    </w:p>
    <w:p>
      <w:pPr>
        <w:pStyle w:val="724"/>
        <w:pBdr/>
        <w:spacing w:after="120" w:before="240"/>
        <w:ind/>
        <w:rPr/>
      </w:pPr>
      <w:r>
        <w:rPr>
          <w:rFonts w:ascii="Arial" w:hAnsi="Arial" w:eastAsia="Arial" w:cs="Arial"/>
          <w:b/>
          <w:bCs/>
          <w:sz w:val="26"/>
          <w:szCs w:val="26"/>
        </w:rPr>
        <w:t xml:space="preserve">10.1 Dataset</w:t>
      </w:r>
      <w:r/>
    </w:p>
    <w:p>
      <w:pPr>
        <w:pStyle w:val="715"/>
        <w:numPr>
          <w:ilvl w:val="0"/>
          <w:numId w:val="2"/>
        </w:numPr>
        <w:pBdr/>
        <w:spacing w:after="40" w:before="40" w:line="300" w:lineRule="auto"/>
        <w:ind/>
        <w:rPr/>
      </w:pPr>
      <w:r>
        <w:rPr>
          <w:rFonts w:ascii="Arial" w:hAnsi="Arial" w:eastAsia="Arial" w:cs="Arial"/>
          <w:sz w:val="22"/>
          <w:szCs w:val="22"/>
        </w:rPr>
        <w:t xml:space="preserve">Source: Sentinel-2 multi-spectral imagery over an agricultural area in western Kenya.</w:t>
      </w:r>
      <w:r/>
    </w:p>
    <w:p>
      <w:pPr>
        <w:pStyle w:val="715"/>
        <w:numPr>
          <w:ilvl w:val="0"/>
          <w:numId w:val="2"/>
        </w:numPr>
        <w:pBdr/>
        <w:spacing w:after="40" w:before="40" w:line="300" w:lineRule="auto"/>
        <w:ind/>
        <w:rPr/>
      </w:pPr>
      <w:r>
        <w:rPr>
          <w:rFonts w:ascii="Arial" w:hAnsi="Arial" w:eastAsia="Arial" w:cs="Arial"/>
          <w:sz w:val="22"/>
          <w:szCs w:val="22"/>
        </w:rPr>
        <w:t xml:space="preserve">Acquisition dates (13 total): 2019-06-06, 2019-07-01, 2019-07-06, 2019-07-11, 2019-07-21, 2019-08-05, 2019-08-15, 2019-08-25, 2019-09-09, 2019-09-19, 2019-09-24, 2019-10-04, 2019-11-03.</w:t>
      </w:r>
      <w:r/>
    </w:p>
    <w:p>
      <w:pPr>
        <w:pStyle w:val="715"/>
        <w:numPr>
          <w:ilvl w:val="0"/>
          <w:numId w:val="2"/>
        </w:numPr>
        <w:pBdr/>
        <w:spacing w:after="40" w:before="40" w:line="300" w:lineRule="auto"/>
        <w:ind/>
        <w:rPr/>
      </w:pPr>
      <w:r>
        <w:rPr>
          <w:rFonts w:ascii="Arial" w:hAnsi="Arial" w:eastAsia="Arial" w:cs="Arial"/>
          <w:sz w:val="22"/>
          <w:szCs w:val="22"/>
        </w:rPr>
        <w:t xml:space="preserve">Spectral bands (13 total): B01, B02, B03, B04, B05, B06, B07, B08, B8A, B09, B11, B12, CLD (cloud probability).</w:t>
      </w:r>
      <w:r/>
    </w:p>
    <w:p>
      <w:pPr>
        <w:pStyle w:val="715"/>
        <w:numPr>
          <w:ilvl w:val="0"/>
          <w:numId w:val="2"/>
        </w:numPr>
        <w:pBdr/>
        <w:spacing w:after="40" w:before="40" w:line="300" w:lineRule="auto"/>
        <w:ind/>
        <w:rPr/>
      </w:pPr>
      <w:r>
        <w:rPr>
          <w:rFonts w:ascii="Arial" w:hAnsi="Arial" w:eastAsia="Arial" w:cs="Arial"/>
          <w:sz w:val="22"/>
          <w:szCs w:val="22"/>
        </w:rPr>
        <w:t xml:space="preserve">Image grid: 4 tiles, each 3,035 × 2,016 pixels.</w:t>
      </w:r>
      <w:r/>
    </w:p>
    <w:p>
      <w:pPr>
        <w:pStyle w:val="715"/>
        <w:numPr>
          <w:ilvl w:val="0"/>
          <w:numId w:val="2"/>
        </w:numPr>
        <w:pBdr/>
        <w:spacing w:after="40" w:before="40" w:line="300" w:lineRule="auto"/>
        <w:ind/>
        <w:rPr/>
      </w:pPr>
      <w:r>
        <w:rPr>
          <w:rFonts w:ascii="Arial" w:hAnsi="Arial" w:eastAsia="Arial" w:cs="Arial"/>
          <w:sz w:val="22"/>
          <w:szCs w:val="22"/>
        </w:rPr>
        <w:t xml:space="preserve">Annotated fields: 4,688 total — 3,286 training, 1,402 testing.</w:t>
      </w:r>
      <w:r/>
    </w:p>
    <w:p>
      <w:pPr>
        <w:pStyle w:val="715"/>
        <w:numPr>
          <w:ilvl w:val="0"/>
          <w:numId w:val="2"/>
        </w:numPr>
        <w:pBdr/>
        <w:spacing w:after="40" w:before="40" w:line="300" w:lineRule="auto"/>
        <w:ind/>
        <w:rPr/>
      </w:pPr>
      <w:r>
        <w:rPr>
          <w:rFonts w:ascii="Arial" w:hAnsi="Arial" w:eastAsia="Arial" w:cs="Arial"/>
          <w:sz w:val="22"/>
          <w:szCs w:val="22"/>
        </w:rPr>
        <w:t xml:space="preserve">Classes (7): Maize, Cassava, Common Beans, Maize &amp; Common Beans, Maize &amp; Cassava, Maize &amp; Soybean, Cassava &amp; Common Beans.</w:t>
      </w:r>
      <w:r/>
    </w:p>
    <w:p>
      <w:pPr>
        <w:pStyle w:val="715"/>
        <w:numPr>
          <w:ilvl w:val="0"/>
          <w:numId w:val="2"/>
        </w:numPr>
        <w:pBdr/>
        <w:spacing w:after="40" w:before="40" w:line="300" w:lineRule="auto"/>
        <w:ind/>
        <w:rPr/>
      </w:pPr>
      <w:r>
        <w:rPr>
          <w:rFonts w:ascii="Arial" w:hAnsi="Arial" w:eastAsia="Arial" w:cs="Arial"/>
          <w:sz w:val="22"/>
          <w:szCs w:val="22"/>
        </w:rPr>
        <w:t xml:space="preserve">Patch size: 32 × 32 pixels, centred on the median pixel of each field polygon.</w:t>
      </w:r>
      <w:r/>
    </w:p>
    <w:p>
      <w:pPr>
        <w:pStyle w:val="715"/>
        <w:numPr>
          <w:ilvl w:val="0"/>
          <w:numId w:val="2"/>
        </w:numPr>
        <w:pBdr/>
        <w:spacing w:after="40" w:before="40" w:line="300" w:lineRule="auto"/>
        <w:ind/>
        <w:rPr/>
      </w:pPr>
      <w:r>
        <w:rPr>
          <w:rFonts w:ascii="Arial" w:hAnsi="Arial" w:eastAsia="Arial" w:cs="Arial"/>
          <w:sz w:val="22"/>
          <w:szCs w:val="22"/>
        </w:rPr>
        <w:t xml:space="preserve">Final per-sample input shape after feature engineering: (T=13, C=15, H=32, W=32), plus a (1, 32, 32) field mask.</w:t>
      </w:r>
      <w:r/>
    </w:p>
    <w:p>
      <w:pPr>
        <w:pStyle w:val="724"/>
        <w:pBdr/>
        <w:spacing w:after="120" w:before="240"/>
        <w:ind/>
        <w:rPr/>
      </w:pPr>
      <w:r>
        <w:rPr>
          <w:rFonts w:ascii="Arial" w:hAnsi="Arial" w:eastAsia="Arial" w:cs="Arial"/>
          <w:b/>
          <w:bCs/>
          <w:sz w:val="26"/>
          <w:szCs w:val="26"/>
        </w:rPr>
        <w:t xml:space="preserve">10.2 Code organisation</w:t>
      </w:r>
      <w:r/>
    </w:p>
    <w:p>
      <w:pPr>
        <w:pBdr/>
        <w:spacing w:after="120" w:before="80" w:line="320" w:lineRule="auto"/>
        <w:ind/>
        <w:jc w:val="both"/>
        <w:rPr/>
      </w:pPr>
      <w:r>
        <w:rPr>
          <w:rFonts w:ascii="Arial" w:hAnsi="Arial" w:eastAsia="Arial" w:cs="Arial"/>
          <w:sz w:val="22"/>
          <w:szCs w:val="22"/>
        </w:rPr>
        <w:t xml:space="preserve">The training and inference pipeline is split across the following Python modules.</w:t>
      </w:r>
      <w:r/>
    </w:p>
    <w:p>
      <w:pPr>
        <w:pStyle w:val="715"/>
        <w:numPr>
          <w:ilvl w:val="0"/>
          <w:numId w:val="2"/>
        </w:numPr>
        <w:pBdr/>
        <w:spacing w:after="40" w:before="40" w:line="300" w:lineRule="auto"/>
        <w:ind/>
        <w:rPr/>
      </w:pPr>
      <w:r>
        <w:rPr>
          <w:rFonts w:ascii="Consolas" w:hAnsi="Consolas" w:eastAsia="Consolas" w:cs="Consolas"/>
          <w:b/>
          <w:bCs/>
          <w:sz w:val="22"/>
          <w:szCs w:val="22"/>
        </w:rPr>
        <w:t xml:space="preserve">model.py</w:t>
      </w:r>
      <w:r>
        <w:rPr>
          <w:rFonts w:ascii="Arial" w:hAnsi="Arial" w:eastAsia="Arial" w:cs="Arial"/>
          <w:sz w:val="22"/>
          <w:szCs w:val="22"/>
        </w:rPr>
        <w:t xml:space="preserve"> — defines the ConvGRUNet architecture (and a smaller variant, SmallConvGRUNet, used for early experiments).</w:t>
      </w:r>
      <w:r/>
    </w:p>
    <w:p>
      <w:pPr>
        <w:pStyle w:val="715"/>
        <w:numPr>
          <w:ilvl w:val="0"/>
          <w:numId w:val="2"/>
        </w:numPr>
        <w:pBdr/>
        <w:spacing w:after="40" w:before="40" w:line="300" w:lineRule="auto"/>
        <w:ind/>
        <w:rPr/>
      </w:pPr>
      <w:r>
        <w:rPr>
          <w:rFonts w:ascii="Consolas" w:hAnsi="Consolas" w:eastAsia="Consolas" w:cs="Consolas"/>
          <w:b/>
          <w:bCs/>
          <w:sz w:val="22"/>
          <w:szCs w:val="22"/>
        </w:rPr>
        <w:t xml:space="preserve">utils.py</w:t>
      </w:r>
      <w:r>
        <w:rPr>
          <w:rFonts w:ascii="Arial" w:hAnsi="Arial" w:eastAsia="Arial" w:cs="Arial"/>
          <w:sz w:val="22"/>
          <w:szCs w:val="22"/>
        </w:rPr>
        <w:t xml:space="preserve"> — defines train_model_snapshot (snapshot-ensemble training loop), test (ensemble inference), and load_file (raster I/O).</w:t>
      </w:r>
      <w:r/>
    </w:p>
    <w:p>
      <w:pPr>
        <w:pStyle w:val="715"/>
        <w:numPr>
          <w:ilvl w:val="0"/>
          <w:numId w:val="2"/>
        </w:numPr>
        <w:pBdr/>
        <w:spacing w:after="40" w:before="40" w:line="300" w:lineRule="auto"/>
        <w:ind/>
        <w:rPr/>
      </w:pPr>
      <w:r>
        <w:rPr>
          <w:rFonts w:ascii="Consolas" w:hAnsi="Consolas" w:eastAsia="Consolas" w:cs="Consolas"/>
          <w:b/>
          <w:bCs/>
          <w:sz w:val="22"/>
          <w:szCs w:val="22"/>
        </w:rPr>
        <w:t xml:space="preserve">dataset.py</w:t>
      </w:r>
      <w:r>
        <w:rPr>
          <w:rFonts w:ascii="Arial" w:hAnsi="Arial" w:eastAsia="Arial" w:cs="Arial"/>
          <w:sz w:val="22"/>
          <w:szCs w:val="22"/>
        </w:rPr>
        <w:t xml:space="preserve"> — defines ICLRDataset, the PyTorch Dataset wrapper that yields (image, area, field_mask, label) tuples for the train/val/test splits.</w:t>
      </w:r>
      <w:r/>
    </w:p>
    <w:p>
      <w:pPr>
        <w:pStyle w:val="715"/>
        <w:numPr>
          <w:ilvl w:val="0"/>
          <w:numId w:val="2"/>
        </w:numPr>
        <w:pBdr/>
        <w:spacing w:after="40" w:before="40" w:line="300" w:lineRule="auto"/>
        <w:ind/>
        <w:rPr/>
      </w:pPr>
      <w:r>
        <w:rPr>
          <w:rFonts w:ascii="Consolas" w:hAnsi="Consolas" w:eastAsia="Consolas" w:cs="Consolas"/>
          <w:b/>
          <w:bCs/>
          <w:sz w:val="22"/>
          <w:szCs w:val="22"/>
        </w:rPr>
        <w:t xml:space="preserve">CropDetection.ipynb</w:t>
      </w:r>
      <w:r>
        <w:rPr>
          <w:rFonts w:ascii="Arial" w:hAnsi="Arial" w:eastAsia="Arial" w:cs="Arial"/>
          <w:sz w:val="22"/>
          <w:szCs w:val="22"/>
        </w:rPr>
        <w:t xml:space="preserve"> — orchestration notebook covering data preparation, exploration, preprocessing, cross-validation training, checkpoint saving, ensemble inference, and submission generation.</w:t>
      </w:r>
      <w:r/>
    </w:p>
    <w:p>
      <w:pPr>
        <w:pStyle w:val="724"/>
        <w:pBdr/>
        <w:spacing w:after="120" w:before="240"/>
        <w:ind/>
        <w:rPr/>
      </w:pPr>
      <w:r>
        <w:rPr>
          <w:rFonts w:ascii="Arial" w:hAnsi="Arial" w:eastAsia="Arial" w:cs="Arial"/>
          <w:b/>
          <w:bCs/>
          <w:sz w:val="26"/>
          <w:szCs w:val="26"/>
        </w:rPr>
        <w:t xml:space="preserve">10.3 Key code excerpts</w:t>
      </w:r>
      <w:r/>
    </w:p>
    <w:p>
      <w:pPr>
        <w:pBdr/>
        <w:spacing w:after="120" w:before="80" w:line="320" w:lineRule="auto"/>
        <w:ind/>
        <w:jc w:val="both"/>
        <w:rPr/>
      </w:pPr>
      <w:r>
        <w:rPr>
          <w:rFonts w:ascii="Arial" w:hAnsi="Arial" w:eastAsia="Arial" w:cs="Arial"/>
          <w:sz w:val="22"/>
          <w:szCs w:val="22"/>
        </w:rPr>
        <w:t xml:space="preserve">The forward pass of ConvGRUNet, condensed from model.py, is:</w:t>
      </w:r>
      <w:r/>
    </w:p>
    <w:p>
      <w:pPr>
        <w:pBdr/>
        <w:shd w:val="clear" w:color="auto" w:fill="f2f2f2"/>
        <w:spacing w:after="60" w:before="60" w:line="280" w:lineRule="auto"/>
        <w:ind/>
        <w:rPr/>
      </w:pPr>
      <w:r>
        <w:rPr>
          <w:rFonts w:ascii="Consolas" w:hAnsi="Consolas" w:eastAsia="Consolas" w:cs="Consolas"/>
          <w:sz w:val="18"/>
          <w:szCs w:val="18"/>
        </w:rPr>
        <w:t xml:space="preserve">def forward(self, x, mask):</w:t>
      </w:r>
      <w:r/>
    </w:p>
    <w:p>
      <w:pPr>
        <w:pBdr/>
        <w:shd w:val="clear" w:color="auto" w:fill="f2f2f2"/>
        <w:spacing w:after="60" w:before="60" w:line="280" w:lineRule="auto"/>
        <w:ind/>
        <w:rPr/>
      </w:pPr>
      <w:r>
        <w:rPr>
          <w:rFonts w:ascii="Consolas" w:hAnsi="Consolas" w:eastAsia="Consolas" w:cs="Consolas"/>
          <w:sz w:val="18"/>
          <w:szCs w:val="18"/>
        </w:rPr>
        <w:t xml:space="preserve">    sh = x.shape  # (B, T, C, H, W)</w:t>
      </w:r>
      <w:r/>
    </w:p>
    <w:p>
      <w:pPr>
        <w:pBdr/>
        <w:shd w:val="clear" w:color="auto" w:fill="f2f2f2"/>
        <w:spacing w:after="60" w:before="60" w:line="280" w:lineRule="auto"/>
        <w:ind/>
        <w:rPr/>
      </w:pPr>
      <w:r>
        <w:rPr>
          <w:rFonts w:ascii="Consolas" w:hAnsi="Consolas" w:eastAsia="Consolas" w:cs="Consolas"/>
          <w:sz w:val="18"/>
          <w:szCs w:val="18"/>
        </w:rPr>
        <w:t xml:space="preserve">    x = x.view(sh[0]*sh[1], sh[2], sh[3], sh[4])</w:t>
      </w:r>
      <w:r/>
    </w:p>
    <w:p>
      <w:pPr>
        <w:pBdr/>
        <w:shd w:val="clear" w:color="auto" w:fill="f2f2f2"/>
        <w:spacing w:after="60" w:before="60" w:line="280" w:lineRule="auto"/>
        <w:ind/>
        <w:rPr/>
      </w:pPr>
      <w:r>
        <w:rPr>
          <w:rFonts w:ascii="Consolas" w:hAnsi="Consolas" w:eastAsia="Consolas" w:cs="Consolas"/>
          <w:sz w:val="18"/>
          <w:szCs w:val="18"/>
        </w:rPr>
        <w:t xml:space="preserve">    out = F.elu(self.gn1(self.conv1(x)))</w:t>
      </w:r>
      <w:r/>
    </w:p>
    <w:p>
      <w:pPr>
        <w:pBdr/>
        <w:shd w:val="clear" w:color="auto" w:fill="f2f2f2"/>
        <w:spacing w:after="60" w:before="60" w:line="280" w:lineRule="auto"/>
        <w:ind/>
        <w:rPr/>
      </w:pPr>
      <w:r>
        <w:rPr>
          <w:rFonts w:ascii="Consolas" w:hAnsi="Consolas" w:eastAsia="Consolas" w:cs="Consolas"/>
          <w:sz w:val="18"/>
          <w:szCs w:val="18"/>
        </w:rPr>
        <w:t xml:space="preserve">    out = F.elu(self.gn2(self.conv2(out)))</w:t>
      </w:r>
      <w:r/>
    </w:p>
    <w:p>
      <w:pPr>
        <w:pBdr/>
        <w:shd w:val="clear" w:color="auto" w:fill="f2f2f2"/>
        <w:spacing w:after="60" w:before="60" w:line="280" w:lineRule="auto"/>
        <w:ind/>
        <w:rPr/>
      </w:pPr>
      <w:r>
        <w:rPr>
          <w:rFonts w:ascii="Consolas" w:hAnsi="Consolas" w:eastAsia="Consolas" w:cs="Consolas"/>
          <w:sz w:val="18"/>
          <w:szCs w:val="18"/>
        </w:rPr>
        <w:t xml:space="preserve">    out = F.elu(self.gn3(self.conv3(out)))</w:t>
      </w:r>
      <w:r/>
    </w:p>
    <w:p>
      <w:pPr>
        <w:pBdr/>
        <w:shd w:val="clear" w:color="auto" w:fill="f2f2f2"/>
        <w:spacing w:after="60" w:before="60" w:line="280" w:lineRule="auto"/>
        <w:ind/>
        <w:rPr/>
      </w:pPr>
      <w:r>
        <w:rPr>
          <w:rFonts w:ascii="Consolas" w:hAnsi="Consolas" w:eastAsia="Consolas" w:cs="Consolas"/>
          <w:sz w:val="18"/>
          <w:szCs w:val="18"/>
        </w:rPr>
        <w:t xml:space="preserve">    out = out.view(sh[0], sh[1], -1, sh[3], sh[4])</w:t>
      </w:r>
      <w:r/>
    </w:p>
    <w:p>
      <w:pPr>
        <w:pBdr/>
        <w:shd w:val="clear" w:color="auto" w:fill="f2f2f2"/>
        <w:spacing w:after="60" w:before="60" w:line="280" w:lineRule="auto"/>
        <w:ind/>
        <w:rPr/>
      </w:pPr>
      <w:r>
        <w:rPr>
          <w:rFonts w:ascii="Consolas" w:hAnsi="Consolas" w:eastAsia="Consolas" w:cs="Consolas"/>
          <w:sz w:val="18"/>
          <w:szCs w:val="18"/>
        </w:rPr>
        <w:t xml:space="preserve">    mask = mask.view(sh[0], 1, 1, sh[3], sh[4])</w:t>
      </w:r>
      <w:r/>
    </w:p>
    <w:p>
      <w:pPr>
        <w:pBdr/>
        <w:shd w:val="clear" w:color="auto" w:fill="f2f2f2"/>
        <w:spacing w:after="60" w:before="60" w:line="280" w:lineRule="auto"/>
        <w:ind/>
        <w:rPr/>
      </w:pPr>
      <w:r>
        <w:rPr>
          <w:rFonts w:ascii="Consolas" w:hAnsi="Consolas" w:eastAsia="Consolas" w:cs="Consolas"/>
          <w:sz w:val="18"/>
          <w:szCs w:val="18"/>
        </w:rPr>
        <w:t xml:space="preserve">    out = (out*mask).sum((3,4)) / mask.sum((3,4))   # masked average pooling</w:t>
      </w:r>
      <w:r/>
    </w:p>
    <w:p>
      <w:pPr>
        <w:pBdr/>
        <w:shd w:val="clear" w:color="auto" w:fill="f2f2f2"/>
        <w:spacing w:after="60" w:before="60" w:line="280" w:lineRule="auto"/>
        <w:ind/>
        <w:rPr/>
      </w:pPr>
      <w:r>
        <w:rPr>
          <w:rFonts w:ascii="Consolas" w:hAnsi="Consolas" w:eastAsia="Consolas" w:cs="Consolas"/>
          <w:sz w:val="18"/>
          <w:szCs w:val="18"/>
        </w:rPr>
        <w:t xml:space="preserve">    h = self.init_hidden(sh[0])</w:t>
      </w:r>
      <w:r/>
    </w:p>
    <w:p>
      <w:pPr>
        <w:pBdr/>
        <w:shd w:val="clear" w:color="auto" w:fill="f2f2f2"/>
        <w:spacing w:after="60" w:before="60" w:line="280" w:lineRule="auto"/>
        <w:ind/>
        <w:rPr/>
      </w:pPr>
      <w:r>
        <w:rPr>
          <w:rFonts w:ascii="Consolas" w:hAnsi="Consolas" w:eastAsia="Consolas" w:cs="Consolas"/>
          <w:sz w:val="18"/>
          <w:szCs w:val="18"/>
        </w:rPr>
        <w:t xml:space="preserve">    out, h = self.gru(out, h)</w:t>
      </w:r>
      <w:r/>
    </w:p>
    <w:p>
      <w:pPr>
        <w:pBdr/>
        <w:shd w:val="clear" w:color="auto" w:fill="f2f2f2"/>
        <w:spacing w:after="60" w:before="60" w:line="280" w:lineRule="auto"/>
        <w:ind/>
        <w:rPr/>
      </w:pPr>
      <w:r>
        <w:rPr>
          <w:rFonts w:ascii="Consolas" w:hAnsi="Consolas" w:eastAsia="Consolas" w:cs="Consolas"/>
          <w:sz w:val="18"/>
          <w:szCs w:val="18"/>
        </w:rPr>
        <w:t xml:space="preserve">    return self.linear(out[:, -1])</w:t>
      </w:r>
      <w:r/>
    </w:p>
    <w:p>
      <w:pPr>
        <w:pBdr/>
        <w:spacing/>
        <w:ind/>
        <w:rPr/>
      </w:pPr>
      <w:r/>
      <w:r/>
    </w:p>
    <w:p>
      <w:pPr>
        <w:pBdr/>
        <w:spacing w:after="120" w:before="80" w:line="320" w:lineRule="auto"/>
        <w:ind/>
        <w:jc w:val="both"/>
        <w:rPr/>
      </w:pPr>
      <w:r>
        <w:rPr>
          <w:rFonts w:ascii="Arial" w:hAnsi="Arial" w:eastAsia="Arial" w:cs="Arial"/>
          <w:sz w:val="22"/>
          <w:szCs w:val="22"/>
        </w:rPr>
        <w:t xml:space="preserve">The snapshot-ensemble training loop, condensed from utils.py, runs num_cycles cycles of num_epochs_per_cycle epochs each, restarting the cosine-annealing schedule at the start of every cycle and saving the model state at the end of every cycle:</w:t>
      </w:r>
      <w:r/>
    </w:p>
    <w:p>
      <w:pPr>
        <w:pBdr/>
        <w:shd w:val="clear" w:color="auto" w:fill="f2f2f2"/>
        <w:spacing w:after="60" w:before="60" w:line="280" w:lineRule="auto"/>
        <w:ind/>
        <w:rPr/>
      </w:pPr>
      <w:r>
        <w:rPr>
          <w:rFonts w:ascii="Consolas" w:hAnsi="Consolas" w:eastAsia="Consolas" w:cs="Consolas"/>
          <w:sz w:val="18"/>
          <w:szCs w:val="18"/>
        </w:rPr>
        <w:t xml:space="preserve">for cycle in range(num_cycles):</w:t>
      </w:r>
      <w:r/>
    </w:p>
    <w:p>
      <w:pPr>
        <w:pBdr/>
        <w:shd w:val="clear" w:color="auto" w:fill="f2f2f2"/>
        <w:spacing w:after="60" w:before="60" w:line="280" w:lineRule="auto"/>
        <w:ind/>
        <w:rPr/>
      </w:pPr>
      <w:r>
        <w:rPr>
          <w:rFonts w:ascii="Consolas" w:hAnsi="Consolas" w:eastAsia="Consolas" w:cs="Consolas"/>
          <w:sz w:val="18"/>
          <w:szCs w:val="18"/>
        </w:rPr>
        <w:t xml:space="preserve">    optimizer = optim.SGD(model.parameters(), lr=lr, momentum=0.9)</w:t>
      </w:r>
      <w:r/>
    </w:p>
    <w:p>
      <w:pPr>
        <w:pBdr/>
        <w:shd w:val="clear" w:color="auto" w:fill="f2f2f2"/>
        <w:spacing w:after="60" w:before="60" w:line="280" w:lineRule="auto"/>
        <w:ind/>
        <w:rPr/>
      </w:pPr>
      <w:r>
        <w:rPr>
          <w:rFonts w:ascii="Consolas" w:hAnsi="Consolas" w:eastAsia="Consolas" w:cs="Consolas"/>
          <w:sz w:val="18"/>
          <w:szCs w:val="18"/>
        </w:rPr>
        <w:t xml:space="preserve">    scheduler = lr_scheduler.CosineAnnealingLR(optimizer, 10*len(loader))</w:t>
      </w:r>
      <w:r/>
    </w:p>
    <w:p>
      <w:pPr>
        <w:pBdr/>
        <w:shd w:val="clear" w:color="auto" w:fill="f2f2f2"/>
        <w:spacing w:after="60" w:before="60" w:line="280" w:lineRule="auto"/>
        <w:ind/>
        <w:rPr/>
      </w:pPr>
      <w:r>
        <w:rPr>
          <w:rFonts w:ascii="Consolas" w:hAnsi="Consolas" w:eastAsia="Consolas" w:cs="Consolas"/>
          <w:sz w:val="18"/>
          <w:szCs w:val="18"/>
        </w:rPr>
        <w:t xml:space="preserve">    for epoch in range(num_epochs_per_cycle):</w:t>
      </w:r>
      <w:r/>
    </w:p>
    <w:p>
      <w:pPr>
        <w:pBdr/>
        <w:shd w:val="clear" w:color="auto" w:fill="f2f2f2"/>
        <w:spacing w:after="60" w:before="60" w:line="280" w:lineRule="auto"/>
        <w:ind/>
        <w:rPr/>
      </w:pPr>
      <w:r>
        <w:rPr>
          <w:rFonts w:ascii="Consolas" w:hAnsi="Consolas" w:eastAsia="Consolas" w:cs="Consolas"/>
          <w:sz w:val="18"/>
          <w:szCs w:val="18"/>
        </w:rPr>
        <w:t xml:space="preserve">        # train and validate ...</w:t>
      </w:r>
      <w:r/>
    </w:p>
    <w:p>
      <w:pPr>
        <w:pBdr/>
        <w:shd w:val="clear" w:color="auto" w:fill="f2f2f2"/>
        <w:spacing w:after="60" w:before="60" w:line="280" w:lineRule="auto"/>
        <w:ind/>
        <w:rPr/>
      </w:pPr>
      <w:r>
        <w:rPr>
          <w:rFonts w:ascii="Consolas" w:hAnsi="Consolas" w:eastAsia="Consolas" w:cs="Consolas"/>
          <w:sz w:val="18"/>
          <w:szCs w:val="18"/>
        </w:rPr>
        <w:t xml:space="preserve">    model_w_arr.append(copy.deepcopy(model.state_dict()))   # snapshot</w:t>
      </w:r>
      <w:r/>
    </w:p>
    <w:p>
      <w:pPr>
        <w:pBdr/>
        <w:spacing/>
        <w:ind/>
        <w:rPr/>
      </w:pPr>
      <w:r/>
      <w:r/>
    </w:p>
    <w:p>
      <w:pPr>
        <w:pBdr/>
        <w:spacing w:after="120" w:before="80" w:line="320" w:lineRule="auto"/>
        <w:ind/>
        <w:jc w:val="both"/>
        <w:rPr/>
      </w:pPr>
      <w:r>
        <w:rPr>
          <w:rFonts w:ascii="Arial" w:hAnsi="Arial" w:eastAsia="Arial" w:cs="Arial"/>
          <w:sz w:val="22"/>
          <w:szCs w:val="22"/>
        </w:rPr>
        <w:t xml:space="preserve">Inference averages softmax probabilities across all snapshots in the ensemble:</w:t>
      </w:r>
      <w:r/>
    </w:p>
    <w:p>
      <w:pPr>
        <w:pBdr/>
        <w:shd w:val="clear" w:color="auto" w:fill="f2f2f2"/>
        <w:spacing w:after="60" w:before="60" w:line="280" w:lineRule="auto"/>
        <w:ind/>
        <w:rPr/>
      </w:pPr>
      <w:r>
        <w:rPr>
          <w:rFonts w:ascii="Consolas" w:hAnsi="Consolas" w:eastAsia="Consolas" w:cs="Consolas"/>
          <w:sz w:val="18"/>
          <w:szCs w:val="18"/>
        </w:rPr>
        <w:t xml:space="preserve">def test(models_arr, loader, device):</w:t>
      </w:r>
      <w:r/>
    </w:p>
    <w:p>
      <w:pPr>
        <w:pBdr/>
        <w:shd w:val="clear" w:color="auto" w:fill="f2f2f2"/>
        <w:spacing w:after="60" w:before="60" w:line="280" w:lineRule="auto"/>
        <w:ind/>
        <w:rPr/>
      </w:pPr>
      <w:r>
        <w:rPr>
          <w:rFonts w:ascii="Consolas" w:hAnsi="Consolas" w:eastAsia="Consolas" w:cs="Consolas"/>
          <w:sz w:val="18"/>
          <w:szCs w:val="18"/>
        </w:rPr>
        <w:t xml:space="preserve">    res = np.zeros((1402, 7), dtype=np.float32)</w:t>
      </w:r>
      <w:r/>
    </w:p>
    <w:p>
      <w:pPr>
        <w:pBdr/>
        <w:shd w:val="clear" w:color="auto" w:fill="f2f2f2"/>
        <w:spacing w:after="60" w:before="60" w:line="280" w:lineRule="auto"/>
        <w:ind/>
        <w:rPr/>
      </w:pPr>
      <w:r>
        <w:rPr>
          <w:rFonts w:ascii="Consolas" w:hAnsi="Consolas" w:eastAsia="Consolas" w:cs="Consolas"/>
          <w:sz w:val="18"/>
          <w:szCs w:val="18"/>
        </w:rPr>
        <w:t xml:space="preserve">    for model in models_arr:</w:t>
      </w:r>
      <w:r/>
    </w:p>
    <w:p>
      <w:pPr>
        <w:pBdr/>
        <w:shd w:val="clear" w:color="auto" w:fill="f2f2f2"/>
        <w:spacing w:after="60" w:before="60" w:line="280" w:lineRule="auto"/>
        <w:ind/>
        <w:rPr/>
      </w:pPr>
      <w:r>
        <w:rPr>
          <w:rFonts w:ascii="Consolas" w:hAnsi="Consolas" w:eastAsia="Consolas" w:cs="Consolas"/>
          <w:sz w:val="18"/>
          <w:szCs w:val="18"/>
        </w:rPr>
        <w:t xml:space="preserve">        model.eval()</w:t>
      </w:r>
      <w:r/>
    </w:p>
    <w:p>
      <w:pPr>
        <w:pBdr/>
        <w:shd w:val="clear" w:color="auto" w:fill="f2f2f2"/>
        <w:spacing w:after="60" w:before="60" w:line="280" w:lineRule="auto"/>
        <w:ind/>
        <w:rPr/>
      </w:pPr>
      <w:r>
        <w:rPr>
          <w:rFonts w:ascii="Consolas" w:hAnsi="Consolas" w:eastAsia="Consolas" w:cs="Consolas"/>
          <w:sz w:val="18"/>
          <w:szCs w:val="18"/>
        </w:rPr>
        <w:t xml:space="preserve">        for inputs, _, mask, _ in loader:</w:t>
      </w:r>
      <w:r/>
    </w:p>
    <w:p>
      <w:pPr>
        <w:pBdr/>
        <w:shd w:val="clear" w:color="auto" w:fill="f2f2f2"/>
        <w:spacing w:after="60" w:before="60" w:line="280" w:lineRule="auto"/>
        <w:ind/>
        <w:rPr/>
      </w:pPr>
      <w:r>
        <w:rPr>
          <w:rFonts w:ascii="Consolas" w:hAnsi="Consolas" w:eastAsia="Consolas" w:cs="Consolas"/>
          <w:sz w:val="18"/>
          <w:szCs w:val="18"/>
        </w:rPr>
        <w:t xml:space="preserve">            outputs = F.softmax(model(inputs.to(device), mask.to(device)), dim=1)</w:t>
      </w:r>
      <w:r/>
    </w:p>
    <w:p>
      <w:pPr>
        <w:pBdr/>
        <w:shd w:val="clear" w:color="auto" w:fill="f2f2f2"/>
        <w:spacing w:after="60" w:before="60" w:line="280" w:lineRule="auto"/>
        <w:ind/>
        <w:rPr/>
      </w:pPr>
      <w:r>
        <w:rPr>
          <w:rFonts w:ascii="Consolas" w:hAnsi="Consolas" w:eastAsia="Consolas" w:cs="Consolas"/>
          <w:sz w:val="18"/>
          <w:szCs w:val="18"/>
        </w:rPr>
        <w:t xml:space="preserve">            ...</w:t>
      </w:r>
      <w:r/>
    </w:p>
    <w:p>
      <w:pPr>
        <w:pBdr/>
        <w:shd w:val="clear" w:color="auto" w:fill="f2f2f2"/>
        <w:spacing w:after="60" w:before="60" w:line="280" w:lineRule="auto"/>
        <w:ind/>
        <w:rPr/>
      </w:pPr>
      <w:r>
        <w:rPr>
          <w:rFonts w:ascii="Consolas" w:hAnsi="Consolas" w:eastAsia="Consolas" w:cs="Consolas"/>
          <w:sz w:val="18"/>
          <w:szCs w:val="18"/>
        </w:rPr>
        <w:t xml:space="preserve">    return res / len(models_arr)</w:t>
      </w:r>
      <w:r/>
    </w:p>
    <w:p>
      <w:pPr>
        <w:pStyle w:val="724"/>
        <w:pBdr/>
        <w:spacing w:after="120" w:before="240"/>
        <w:ind/>
        <w:rPr/>
      </w:pPr>
      <w:r>
        <w:rPr>
          <w:rFonts w:ascii="Arial" w:hAnsi="Arial" w:eastAsia="Arial" w:cs="Arial"/>
          <w:b/>
          <w:bCs/>
          <w:sz w:val="26"/>
          <w:szCs w:val="26"/>
        </w:rPr>
        <w:t xml:space="preserve">10.4 Reproducibility</w:t>
      </w:r>
      <w:r/>
    </w:p>
    <w:p>
      <w:pPr>
        <w:pStyle w:val="715"/>
        <w:numPr>
          <w:ilvl w:val="0"/>
          <w:numId w:val="2"/>
        </w:numPr>
        <w:pBdr/>
        <w:spacing w:after="40" w:before="40" w:line="300" w:lineRule="auto"/>
        <w:ind/>
        <w:rPr/>
      </w:pPr>
      <w:r>
        <w:rPr>
          <w:rFonts w:ascii="Arial" w:hAnsi="Arial" w:eastAsia="Arial" w:cs="Arial"/>
          <w:sz w:val="22"/>
          <w:szCs w:val="22"/>
        </w:rPr>
        <w:t xml:space="preserve">PyTorch with CUDA on a single GPU; the training loop sets torch.backends.cudnn.deterministic = True and torch.backends.cudnn.benchmark = False, plus fixed seeds (torch.manual_seed(0), np.random.seed(0)).</w:t>
      </w:r>
      <w:r/>
    </w:p>
    <w:p>
      <w:pPr>
        <w:pStyle w:val="715"/>
        <w:numPr>
          <w:ilvl w:val="0"/>
          <w:numId w:val="2"/>
        </w:numPr>
        <w:pBdr/>
        <w:spacing w:after="40" w:before="40" w:line="300" w:lineRule="auto"/>
        <w:ind/>
        <w:rPr/>
      </w:pPr>
      <w:r>
        <w:rPr>
          <w:rFonts w:ascii="Arial" w:hAnsi="Arial" w:eastAsia="Arial" w:cs="Arial"/>
          <w:sz w:val="22"/>
          <w:szCs w:val="22"/>
        </w:rPr>
        <w:t xml:space="preserve">Cross-validation: StratifiedShuffleSplit(n_splits=10, test_size=0.15, random_state=0) over the labelled subset (where gts &gt; -1).</w:t>
      </w:r>
      <w:r/>
    </w:p>
    <w:p>
      <w:pPr>
        <w:pStyle w:val="715"/>
        <w:numPr>
          <w:ilvl w:val="0"/>
          <w:numId w:val="2"/>
        </w:numPr>
        <w:pBdr/>
        <w:spacing w:after="40" w:before="40" w:line="300" w:lineRule="auto"/>
        <w:ind/>
        <w:rPr/>
      </w:pPr>
      <w:r>
        <w:rPr>
          <w:rFonts w:ascii="Arial" w:hAnsi="Arial" w:eastAsia="Arial" w:cs="Arial"/>
          <w:sz w:val="22"/>
          <w:szCs w:val="22"/>
        </w:rPr>
        <w:t xml:space="preserve">Total training cost: 10 folds × 6 cycles × 10 epochs = 600 epochs of ConvGRUNet over a 3,286-field training set, batch size 16.</w:t>
      </w:r>
      <w:r/>
    </w:p>
    <w:p>
      <w:pPr>
        <w:pStyle w:val="715"/>
        <w:numPr>
          <w:ilvl w:val="0"/>
          <w:numId w:val="2"/>
        </w:numPr>
        <w:pBdr/>
        <w:spacing w:after="40" w:before="40" w:line="300" w:lineRule="auto"/>
        <w:ind/>
        <w:rPr/>
      </w:pPr>
      <w:r>
        <w:rPr>
          <w:rFonts w:ascii="Arial" w:hAnsi="Arial" w:eastAsia="Arial" w:cs="Arial"/>
          <w:sz w:val="22"/>
          <w:szCs w:val="22"/>
        </w:rPr>
        <w:t xml:space="preserve">Checkpointing: each snapshot is saved as fold{f}_snap{s}.pt under a checkpoints/ directory; a meta.pt file records the input channel count for portable loading.</w:t>
      </w:r>
      <w:r/>
      <w:r>
        <w:rPr>
          <w:rFonts w:ascii="Arial" w:hAnsi="Arial" w:eastAsia="Arial" w:cs="Arial"/>
          <w:sz w:val="22"/>
          <w:szCs w:val="22"/>
        </w:rPr>
      </w:r>
      <w: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 w:type="paragraph" w:styleId="723">
    <w:name w:val="Heading 1"/>
    <w:qFormat/>
    <w:pPr>
      <w:pBdr/>
      <w:spacing w:after="160" w:before="320"/>
      <w:ind/>
      <w:outlineLvl w:val="0"/>
    </w:pPr>
    <w:rPr>
      <w:rFonts w:ascii="Arial" w:hAnsi="Arial" w:eastAsia="Arial" w:cs="Arial"/>
      <w:b/>
      <w:bCs/>
      <w:sz w:val="32"/>
      <w:szCs w:val="32"/>
    </w:rPr>
  </w:style>
  <w:style w:type="paragraph" w:styleId="724">
    <w:name w:val="Heading 2"/>
    <w:qFormat/>
    <w:pPr>
      <w:pBdr/>
      <w:spacing w:after="120" w:before="240"/>
      <w:ind/>
      <w:outlineLvl w:val="1"/>
    </w:pPr>
    <w:rPr>
      <w:rFonts w:ascii="Arial" w:hAnsi="Arial" w:eastAsia="Arial" w:cs="Arial"/>
      <w:b/>
      <w:bCs/>
      <w:sz w:val="26"/>
      <w:szCs w:val="26"/>
    </w:rPr>
  </w:style>
  <w:style w:type="paragraph" w:styleId="725">
    <w:name w:val="Heading 3"/>
    <w:qFormat/>
    <w:pPr>
      <w:pBdr/>
      <w:spacing w:after="100" w:before="200"/>
      <w:ind/>
      <w:outlineLvl w:val="2"/>
    </w:pPr>
    <w:rPr>
      <w:rFonts w:ascii="Arial" w:hAnsi="Arial" w:eastAsia="Arial" w:cs="Arial"/>
      <w:b/>
      <w:bCs/>
      <w:i/>
      <w:iCs/>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ONLYOFFICE/9.3.0.140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2026-04-29T07:16:02Z</dcterms:created>
  <dcterms:modified xsi:type="dcterms:W3CDTF">2026-04-29T08:19:10Z</dcterms:modified>
</cp:coreProperties>
</file>