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CF00" w14:textId="77777777" w:rsidR="00C16176" w:rsidRDefault="00000000">
      <w:pPr>
        <w:spacing w:before="400"/>
        <w:jc w:val="center"/>
      </w:pPr>
      <w:r>
        <w:rPr>
          <w:b/>
          <w:bCs/>
          <w:color w:val="1F3864"/>
          <w:sz w:val="44"/>
          <w:szCs w:val="44"/>
        </w:rPr>
        <w:t>REQUIREMENTS DOCUMENT</w:t>
      </w:r>
    </w:p>
    <w:p w14:paraId="32702651" w14:textId="77777777" w:rsidR="00C16176" w:rsidRDefault="00000000">
      <w:pPr>
        <w:spacing w:before="120" w:after="40"/>
        <w:jc w:val="center"/>
      </w:pPr>
      <w:r>
        <w:rPr>
          <w:b/>
          <w:bCs/>
          <w:color w:val="222222"/>
          <w:sz w:val="30"/>
          <w:szCs w:val="30"/>
        </w:rPr>
        <w:t>Loan Portfolio Risk Reporting Dashboard</w:t>
      </w:r>
    </w:p>
    <w:p w14:paraId="137AB9CF" w14:textId="71E55544" w:rsidR="00C16176" w:rsidRDefault="00000000">
      <w:pPr>
        <w:spacing w:after="300"/>
        <w:jc w:val="center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Harvest Trust Financial (HTF) — Fictional Case Study</w:t>
      </w:r>
    </w:p>
    <w:p w14:paraId="0828AA17" w14:textId="77777777" w:rsidR="001B2FBC" w:rsidRDefault="001B2FBC">
      <w:pPr>
        <w:spacing w:after="300"/>
        <w:jc w:val="center"/>
      </w:pPr>
    </w:p>
    <w:tbl>
      <w:tblPr>
        <w:tblW w:w="6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80"/>
      </w:tblGrid>
      <w:tr w:rsidR="001E40C3" w14:paraId="113D8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87AC9" w14:textId="7E4EE81E" w:rsidR="001E40C3" w:rsidRDefault="001E40C3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Phase 3 of 7</w:t>
            </w:r>
          </w:p>
        </w:tc>
        <w:tc>
          <w:tcPr>
            <w:tcW w:w="4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5B28EB" w14:textId="27A204D1" w:rsidR="001E40C3" w:rsidRDefault="001E40C3">
            <w:pPr>
              <w:rPr>
                <w:color w:val="222222"/>
              </w:rPr>
            </w:pPr>
            <w:r>
              <w:rPr>
                <w:color w:val="222222"/>
              </w:rPr>
              <w:t>Requirements Document</w:t>
            </w:r>
          </w:p>
        </w:tc>
      </w:tr>
      <w:tr w:rsidR="00C16176" w14:paraId="5EF75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6FF82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4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F4F8BD" w14:textId="32356B9B" w:rsidR="00C16176" w:rsidRDefault="00000000">
            <w:r>
              <w:rPr>
                <w:color w:val="222222"/>
              </w:rPr>
              <w:t>Dwij Siyal</w:t>
            </w:r>
          </w:p>
        </w:tc>
      </w:tr>
      <w:tr w:rsidR="00C16176" w14:paraId="1C693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8983D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478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752DC2" w14:textId="77777777" w:rsidR="00C16176" w:rsidRDefault="00000000">
            <w:r>
              <w:rPr>
                <w:color w:val="222222"/>
              </w:rPr>
              <w:t>August 3, 2026</w:t>
            </w:r>
          </w:p>
        </w:tc>
      </w:tr>
      <w:tr w:rsidR="00C16176" w14:paraId="49A2D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872E8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CD34D" w14:textId="1EAC444F" w:rsidR="00C16176" w:rsidRDefault="00000000">
            <w:r>
              <w:rPr>
                <w:color w:val="222222"/>
              </w:rPr>
              <w:t xml:space="preserve">1.0 </w:t>
            </w:r>
          </w:p>
        </w:tc>
      </w:tr>
      <w:tr w:rsidR="00C16176" w14:paraId="707B4D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6334D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Linked Documents</w:t>
            </w:r>
          </w:p>
        </w:tc>
        <w:tc>
          <w:tcPr>
            <w:tcW w:w="478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3ABD42" w14:textId="77777777" w:rsidR="00C16176" w:rsidRDefault="00000000">
            <w:r>
              <w:rPr>
                <w:color w:val="222222"/>
              </w:rPr>
              <w:t>Phase 1: Project Brief · Phase 2: Stakeholder Analysis</w:t>
            </w:r>
          </w:p>
        </w:tc>
      </w:tr>
    </w:tbl>
    <w:p w14:paraId="4566FCAA" w14:textId="77777777" w:rsidR="00C16176" w:rsidRDefault="00C16176">
      <w:pPr>
        <w:spacing w:before="300"/>
      </w:pPr>
    </w:p>
    <w:sdt>
      <w:sdtPr>
        <w:id w:val="-5634166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lang w:val="en-IN" w:eastAsia="en-IN"/>
        </w:rPr>
      </w:sdtEndPr>
      <w:sdtContent>
        <w:p w14:paraId="5211F2F7" w14:textId="63AF9D93" w:rsidR="002A2D1C" w:rsidRPr="002A2D1C" w:rsidRDefault="002A2D1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0"/>
              <w:szCs w:val="20"/>
            </w:rPr>
          </w:pPr>
          <w:r w:rsidRPr="002A2D1C">
            <w:rPr>
              <w:rFonts w:ascii="Times New Roman" w:hAnsi="Times New Roman" w:cs="Times New Roman"/>
              <w:b/>
              <w:bCs/>
              <w:color w:val="auto"/>
              <w:sz w:val="20"/>
              <w:szCs w:val="20"/>
            </w:rPr>
            <w:t>Table of Contents</w:t>
          </w:r>
        </w:p>
        <w:p w14:paraId="58308E4F" w14:textId="77777777" w:rsidR="002A2D1C" w:rsidRPr="002A2D1C" w:rsidRDefault="002A2D1C" w:rsidP="002A2D1C">
          <w:pPr>
            <w:rPr>
              <w:lang w:val="en-US" w:eastAsia="en-US"/>
            </w:rPr>
          </w:pPr>
        </w:p>
        <w:p w14:paraId="4FFF4F8B" w14:textId="7686CBD7" w:rsidR="001E40C3" w:rsidRDefault="002A2D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61109" w:history="1">
            <w:r w:rsidR="001E40C3" w:rsidRPr="00FF6B16">
              <w:rPr>
                <w:rStyle w:val="Hyperlink"/>
                <w:b/>
                <w:bCs/>
                <w:noProof/>
              </w:rPr>
              <w:t>1. Purpose &amp; Approach</w:t>
            </w:r>
            <w:r w:rsidR="001E40C3">
              <w:rPr>
                <w:noProof/>
                <w:webHidden/>
              </w:rPr>
              <w:tab/>
            </w:r>
            <w:r w:rsidR="001E40C3">
              <w:rPr>
                <w:noProof/>
                <w:webHidden/>
              </w:rPr>
              <w:fldChar w:fldCharType="begin"/>
            </w:r>
            <w:r w:rsidR="001E40C3">
              <w:rPr>
                <w:noProof/>
                <w:webHidden/>
              </w:rPr>
              <w:instrText xml:space="preserve"> PAGEREF _Toc236661109 \h </w:instrText>
            </w:r>
            <w:r w:rsidR="001E40C3">
              <w:rPr>
                <w:noProof/>
                <w:webHidden/>
              </w:rPr>
            </w:r>
            <w:r w:rsidR="001E40C3">
              <w:rPr>
                <w:noProof/>
                <w:webHidden/>
              </w:rPr>
              <w:fldChar w:fldCharType="separate"/>
            </w:r>
            <w:r w:rsidR="001E40C3">
              <w:rPr>
                <w:noProof/>
                <w:webHidden/>
              </w:rPr>
              <w:t>1</w:t>
            </w:r>
            <w:r w:rsidR="001E40C3">
              <w:rPr>
                <w:noProof/>
                <w:webHidden/>
              </w:rPr>
              <w:fldChar w:fldCharType="end"/>
            </w:r>
          </w:hyperlink>
        </w:p>
        <w:p w14:paraId="109B69FE" w14:textId="3A1CFCED" w:rsidR="001E40C3" w:rsidRDefault="001E40C3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1110" w:history="1">
            <w:r w:rsidRPr="00FF6B16">
              <w:rPr>
                <w:rStyle w:val="Hyperlink"/>
                <w:b/>
                <w:bCs/>
                <w:noProof/>
              </w:rPr>
              <w:t>2. Key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F304" w14:textId="33A39644" w:rsidR="001E40C3" w:rsidRDefault="001E40C3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1111" w:history="1">
            <w:r w:rsidRPr="00FF6B16">
              <w:rPr>
                <w:rStyle w:val="Hyperlink"/>
                <w:b/>
                <w:bCs/>
                <w:noProof/>
              </w:rPr>
              <w:t>3.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ADB5" w14:textId="18FFF01C" w:rsidR="001E40C3" w:rsidRDefault="001E40C3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1112" w:history="1">
            <w:r w:rsidRPr="00FF6B16">
              <w:rPr>
                <w:rStyle w:val="Hyperlink"/>
                <w:b/>
                <w:bCs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B6A5" w14:textId="1ADCCB47" w:rsidR="001E40C3" w:rsidRDefault="001E40C3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1113" w:history="1">
            <w:r w:rsidRPr="00FF6B16">
              <w:rPr>
                <w:rStyle w:val="Hyperlink"/>
                <w:b/>
                <w:bCs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FB321" w14:textId="77C48617" w:rsidR="001E40C3" w:rsidRDefault="001E40C3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1114" w:history="1">
            <w:r w:rsidRPr="00FF6B16">
              <w:rPr>
                <w:rStyle w:val="Hyperlink"/>
                <w:b/>
                <w:bCs/>
                <w:noProof/>
              </w:rPr>
              <w:t>6.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D501" w14:textId="781B241C" w:rsidR="001E40C3" w:rsidRDefault="001E40C3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1115" w:history="1">
            <w:r w:rsidRPr="00FF6B16">
              <w:rPr>
                <w:rStyle w:val="Hyperlink"/>
                <w:b/>
                <w:bCs/>
                <w:noProof/>
              </w:rPr>
              <w:t>7. Out of Scope / Deferred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D00B" w14:textId="4FD33CF0" w:rsidR="002A2D1C" w:rsidRDefault="002A2D1C">
          <w:r>
            <w:rPr>
              <w:b/>
              <w:bCs/>
              <w:noProof/>
            </w:rPr>
            <w:fldChar w:fldCharType="end"/>
          </w:r>
        </w:p>
      </w:sdtContent>
    </w:sdt>
    <w:p w14:paraId="1C8DA0C9" w14:textId="65459847" w:rsidR="002A2D1C" w:rsidRDefault="001E40C3" w:rsidP="001E40C3">
      <w:r>
        <w:br w:type="page"/>
      </w:r>
    </w:p>
    <w:p w14:paraId="1AF7D675" w14:textId="77777777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0" w:name="_Toc236661109"/>
      <w:r>
        <w:rPr>
          <w:b/>
          <w:bCs/>
          <w:color w:val="1F3864"/>
          <w:sz w:val="28"/>
          <w:szCs w:val="28"/>
        </w:rPr>
        <w:lastRenderedPageBreak/>
        <w:t>1. Purpose &amp; Approach</w:t>
      </w:r>
      <w:bookmarkEnd w:id="0"/>
    </w:p>
    <w:p w14:paraId="30EB1208" w14:textId="77777777" w:rsidR="00C16176" w:rsidRDefault="00000000" w:rsidP="001B2FBC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>This document translates the business problem and stakeholder needs identified in Phases 1 and 2 into specific, prioritized requirements for the Loan Portfolio Risk Reporting Dashboard. Requirements are grouped into three standard categories: Business Requirements (the underlying business need), Functional Requirements (what the dashboard must do), and Non-Functional Requirements (quality attributes such as performance, usability, and auditability).</w:t>
      </w:r>
    </w:p>
    <w:p w14:paraId="451F9A58" w14:textId="77777777" w:rsidR="00C16176" w:rsidRDefault="00000000" w:rsidP="001B2FBC">
      <w:pPr>
        <w:spacing w:after="160" w:line="276" w:lineRule="auto"/>
        <w:jc w:val="both"/>
      </w:pPr>
      <w:r>
        <w:rPr>
          <w:color w:val="222222"/>
          <w:sz w:val="22"/>
          <w:szCs w:val="22"/>
        </w:rPr>
        <w:t xml:space="preserve">Each requirement is prioritized using </w:t>
      </w:r>
      <w:proofErr w:type="spellStart"/>
      <w:r>
        <w:rPr>
          <w:color w:val="222222"/>
          <w:sz w:val="22"/>
          <w:szCs w:val="22"/>
        </w:rPr>
        <w:t>MoSCoW</w:t>
      </w:r>
      <w:proofErr w:type="spellEnd"/>
      <w:r>
        <w:rPr>
          <w:color w:val="222222"/>
          <w:sz w:val="22"/>
          <w:szCs w:val="22"/>
        </w:rPr>
        <w:t xml:space="preserve">: Must have (required for the dashboard to meet its objective), Should have (important, included if time allows), Could have (nice to have, lower impact if deferred), and </w:t>
      </w:r>
      <w:proofErr w:type="gramStart"/>
      <w:r>
        <w:rPr>
          <w:color w:val="222222"/>
          <w:sz w:val="22"/>
          <w:szCs w:val="22"/>
        </w:rPr>
        <w:t>Won't</w:t>
      </w:r>
      <w:proofErr w:type="gramEnd"/>
      <w:r>
        <w:rPr>
          <w:color w:val="222222"/>
          <w:sz w:val="22"/>
          <w:szCs w:val="22"/>
        </w:rPr>
        <w:t xml:space="preserve"> have this round (explicitly deferred, listed in Section 7). Functional requirements are traced back to the business requirement they satisfy so that every feature in the dashboard has a clear reason for existing.</w:t>
      </w:r>
    </w:p>
    <w:p w14:paraId="6870E8D9" w14:textId="77777777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1" w:name="_Toc236661110"/>
      <w:r>
        <w:rPr>
          <w:b/>
          <w:bCs/>
          <w:color w:val="1F3864"/>
          <w:sz w:val="28"/>
          <w:szCs w:val="28"/>
        </w:rPr>
        <w:t>2. Key Definitions</w:t>
      </w:r>
      <w:bookmarkEnd w:id="1"/>
    </w:p>
    <w:p w14:paraId="4EA1C697" w14:textId="0923DA5C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Delinquenc</w:t>
      </w:r>
      <w:r w:rsidR="000622C0">
        <w:rPr>
          <w:b/>
          <w:bCs/>
          <w:color w:val="222222"/>
          <w:sz w:val="22"/>
          <w:szCs w:val="22"/>
        </w:rPr>
        <w:t xml:space="preserve">y: </w:t>
      </w:r>
      <w:r>
        <w:rPr>
          <w:color w:val="222222"/>
          <w:sz w:val="22"/>
          <w:szCs w:val="22"/>
        </w:rPr>
        <w:t>a loan is delinquent when a scheduled payment has not been received by its due date.</w:t>
      </w:r>
    </w:p>
    <w:p w14:paraId="2F4C6F11" w14:textId="11F1BB65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Days Past Due (DPD) Bucket</w:t>
      </w:r>
      <w:r w:rsidR="000622C0">
        <w:rPr>
          <w:b/>
          <w:bCs/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>loans are grouped by how late the oldest unpaid payment is: Current (0 days), 1–29 days, 30–59 days, 60–89 days, and 90+ days (considered non-performing).</w:t>
      </w:r>
    </w:p>
    <w:p w14:paraId="224D9B58" w14:textId="0AC0A595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Risk Tier</w:t>
      </w:r>
      <w:r w:rsidR="000622C0">
        <w:rPr>
          <w:b/>
          <w:bCs/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>a simplified 4-level scale used for dashboard reporting: Tier 1 (Low Risk), Tier 2 (Moderate Risk), Tier 3 (Elevated Risk), Tier 4 (High Risk / Watch List). Real institutions often use finer-grained internal rating scales (e.g., 9–12 point); this project uses a simplified 4-tier scale intentionally, to keep the dashboard readable at a glance.</w:t>
      </w:r>
    </w:p>
    <w:p w14:paraId="164D5357" w14:textId="5E0B831D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Concentration Risk</w:t>
      </w:r>
      <w:r w:rsidR="000622C0">
        <w:rPr>
          <w:b/>
          <w:bCs/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>the share of the total portfolio exposed to a single region or sector; a high concentration means a single shock (e.g., drought, commodity price drop) could affect a large portion of the portfolio at once.</w:t>
      </w:r>
    </w:p>
    <w:p w14:paraId="2F82F850" w14:textId="2B6E62B3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  <w:sz w:val="22"/>
          <w:szCs w:val="22"/>
        </w:rPr>
        <w:t>Watch List</w:t>
      </w:r>
      <w:r w:rsidR="000622C0">
        <w:rPr>
          <w:b/>
          <w:bCs/>
          <w:color w:val="222222"/>
          <w:sz w:val="22"/>
          <w:szCs w:val="22"/>
        </w:rPr>
        <w:t xml:space="preserve">: </w:t>
      </w:r>
      <w:r>
        <w:rPr>
          <w:color w:val="222222"/>
          <w:sz w:val="22"/>
          <w:szCs w:val="22"/>
        </w:rPr>
        <w:t>loans that have recently moved into a higher risk tier or delinquency bucket since the last data refresh, surfaced for proactive follow-up.</w:t>
      </w:r>
    </w:p>
    <w:p w14:paraId="4E7CE862" w14:textId="77777777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2" w:name="_Toc236661111"/>
      <w:r>
        <w:rPr>
          <w:b/>
          <w:bCs/>
          <w:color w:val="1F3864"/>
          <w:sz w:val="28"/>
          <w:szCs w:val="28"/>
        </w:rPr>
        <w:t>3. Business Requirements</w:t>
      </w:r>
      <w:bookmarkEnd w:id="2"/>
    </w:p>
    <w:tbl>
      <w:tblPr>
        <w:tblW w:w="10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300"/>
        <w:gridCol w:w="1300"/>
        <w:gridCol w:w="2780"/>
      </w:tblGrid>
      <w:tr w:rsidR="00C16176" w14:paraId="33BAE7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EBD0D8" w14:textId="77777777" w:rsidR="00C16176" w:rsidRDefault="00000000" w:rsidP="001E40C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7AEC1" w14:textId="77777777" w:rsidR="00C16176" w:rsidRDefault="00000000" w:rsidP="001E40C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81C79" w14:textId="77777777" w:rsidR="00C16176" w:rsidRDefault="00000000" w:rsidP="001E40C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78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291943" w14:textId="77777777" w:rsidR="00C16176" w:rsidRDefault="00000000" w:rsidP="001E40C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Stakeholder</w:t>
            </w:r>
          </w:p>
        </w:tc>
      </w:tr>
      <w:tr w:rsidR="00C16176" w14:paraId="47700D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E294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BR1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19B3F" w14:textId="77777777" w:rsidR="00C16176" w:rsidRDefault="00000000">
            <w:r>
              <w:rPr>
                <w:color w:val="222222"/>
                <w:sz w:val="19"/>
                <w:szCs w:val="19"/>
              </w:rPr>
              <w:t>Reduce reliance on manual, spreadsheet-based reporting for loan portfolio risk monitoring.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DAAA8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2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8E904" w14:textId="77777777" w:rsidR="00C16176" w:rsidRDefault="00000000">
            <w:r>
              <w:rPr>
                <w:color w:val="222222"/>
                <w:sz w:val="19"/>
                <w:szCs w:val="19"/>
              </w:rPr>
              <w:t>VP, Credit &amp; Lending Operations</w:t>
            </w:r>
          </w:p>
        </w:tc>
      </w:tr>
      <w:tr w:rsidR="00C16176" w14:paraId="04D4D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75A0F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BR2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6C6F2" w14:textId="77777777" w:rsidR="00C16176" w:rsidRDefault="00000000">
            <w:r>
              <w:rPr>
                <w:color w:val="222222"/>
                <w:sz w:val="19"/>
                <w:szCs w:val="19"/>
              </w:rPr>
              <w:t>Establish standardized, single-source definitions for risk tier and delinquency bucket, used consistently across all reporting.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AEF0E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2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1CE50" w14:textId="77777777" w:rsidR="00C16176" w:rsidRDefault="00000000">
            <w:r>
              <w:rPr>
                <w:color w:val="222222"/>
                <w:sz w:val="19"/>
                <w:szCs w:val="19"/>
              </w:rPr>
              <w:t>Portfolio Risk Analysts / Internal Audit</w:t>
            </w:r>
          </w:p>
        </w:tc>
      </w:tr>
      <w:tr w:rsidR="00C16176" w14:paraId="1C1BCB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D20A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BR3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AA1B2" w14:textId="77777777" w:rsidR="00C16176" w:rsidRDefault="00000000">
            <w:r>
              <w:rPr>
                <w:color w:val="222222"/>
                <w:sz w:val="19"/>
                <w:szCs w:val="19"/>
              </w:rPr>
              <w:t>Provide self-serve, near real-time visibility into portfolio performance by region and sector.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FA33C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2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06A53" w14:textId="77777777" w:rsidR="00C16176" w:rsidRDefault="00000000">
            <w:r>
              <w:rPr>
                <w:color w:val="222222"/>
                <w:sz w:val="19"/>
                <w:szCs w:val="19"/>
              </w:rPr>
              <w:t>Chief Risk Officer</w:t>
            </w:r>
          </w:p>
        </w:tc>
      </w:tr>
      <w:tr w:rsidR="00C16176" w14:paraId="078DE8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F419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BR4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42BD9" w14:textId="77777777" w:rsidR="00C16176" w:rsidRDefault="00000000">
            <w:r>
              <w:rPr>
                <w:color w:val="222222"/>
                <w:sz w:val="19"/>
                <w:szCs w:val="19"/>
              </w:rPr>
              <w:t>Support internal audit and compliance needs for data traceability and lineage.</w:t>
            </w:r>
          </w:p>
        </w:tc>
        <w:tc>
          <w:tcPr>
            <w:tcW w:w="1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3168D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  <w:tc>
          <w:tcPr>
            <w:tcW w:w="2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4D64B" w14:textId="77777777" w:rsidR="00C16176" w:rsidRDefault="00000000">
            <w:r>
              <w:rPr>
                <w:color w:val="222222"/>
                <w:sz w:val="19"/>
                <w:szCs w:val="19"/>
              </w:rPr>
              <w:t>Internal Audit &amp; Compliance</w:t>
            </w:r>
          </w:p>
        </w:tc>
      </w:tr>
    </w:tbl>
    <w:p w14:paraId="6A1CFD51" w14:textId="5B9DE3E5" w:rsidR="00B82127" w:rsidRDefault="00B82127">
      <w:pPr>
        <w:spacing w:before="300"/>
      </w:pPr>
    </w:p>
    <w:p w14:paraId="44390C69" w14:textId="5BCCD44A" w:rsidR="00C16176" w:rsidRDefault="00B82127" w:rsidP="00B82127">
      <w:r>
        <w:br w:type="page"/>
      </w:r>
    </w:p>
    <w:p w14:paraId="752EFA91" w14:textId="77777777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3" w:name="_Toc236661112"/>
      <w:r>
        <w:rPr>
          <w:b/>
          <w:bCs/>
          <w:color w:val="1F3864"/>
          <w:sz w:val="28"/>
          <w:szCs w:val="28"/>
        </w:rPr>
        <w:lastRenderedPageBreak/>
        <w:t>4. Functional Requirements</w:t>
      </w:r>
      <w:bookmarkEnd w:id="3"/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300"/>
        <w:gridCol w:w="1300"/>
        <w:gridCol w:w="1780"/>
      </w:tblGrid>
      <w:tr w:rsidR="00C16176" w14:paraId="38A635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F8D54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EDA4B5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4A1C0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8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E0F1A" w14:textId="77777777" w:rsidR="00C16176" w:rsidRDefault="00000000">
            <w:r>
              <w:rPr>
                <w:b/>
                <w:bCs/>
                <w:color w:val="FFFFFF"/>
                <w:sz w:val="19"/>
                <w:szCs w:val="19"/>
              </w:rPr>
              <w:t>Traces to</w:t>
            </w:r>
          </w:p>
        </w:tc>
      </w:tr>
      <w:tr w:rsidR="00C16176" w14:paraId="5D8A6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B061D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FR1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D65E0D" w14:textId="77777777" w:rsidR="00C16176" w:rsidRDefault="00000000">
            <w:r>
              <w:rPr>
                <w:color w:val="222222"/>
                <w:sz w:val="19"/>
                <w:szCs w:val="19"/>
              </w:rPr>
              <w:t>Display top-level portfolio KPIs (total outstanding balance, weighted delinquency rate, active loan count, total watch-list balance) on a summary page.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2F88E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645A4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BR3</w:t>
            </w:r>
          </w:p>
        </w:tc>
      </w:tr>
      <w:tr w:rsidR="00C16176" w14:paraId="174E8D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588A3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FR2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793C7" w14:textId="77777777" w:rsidR="00C16176" w:rsidRDefault="00000000">
            <w:r>
              <w:rPr>
                <w:color w:val="222222"/>
                <w:sz w:val="19"/>
                <w:szCs w:val="19"/>
              </w:rPr>
              <w:t>Allow filtering of all visuals by Region (SK/AB/MB), Sector, and Risk Tier.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D2CD6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DC4AA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BR3</w:t>
            </w:r>
          </w:p>
        </w:tc>
      </w:tr>
      <w:tr w:rsidR="00C16176" w14:paraId="44CAED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6A0D0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FR3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42B06" w14:textId="77777777" w:rsidR="00C16176" w:rsidRDefault="00000000">
            <w:r>
              <w:rPr>
                <w:color w:val="222222"/>
                <w:sz w:val="19"/>
                <w:szCs w:val="19"/>
              </w:rPr>
              <w:t>Display a delinquency rate trend over the trailing 12 months.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34865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CFB8C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BR3</w:t>
            </w:r>
          </w:p>
        </w:tc>
      </w:tr>
      <w:tr w:rsidR="00C16176" w14:paraId="060B85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2617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FR4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1D358" w14:textId="77777777" w:rsidR="00C16176" w:rsidRDefault="00000000">
            <w:r>
              <w:rPr>
                <w:color w:val="222222"/>
                <w:sz w:val="19"/>
                <w:szCs w:val="19"/>
              </w:rPr>
              <w:t>Display portfolio concentration (% of total outstanding balance) by region and by sector.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5AAE3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9B118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BR3</w:t>
            </w:r>
          </w:p>
        </w:tc>
      </w:tr>
      <w:tr w:rsidR="00C16176" w14:paraId="57076D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E8780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FR5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0EFED" w14:textId="77777777" w:rsidR="00C16176" w:rsidRDefault="00000000">
            <w:r>
              <w:rPr>
                <w:color w:val="222222"/>
                <w:sz w:val="19"/>
                <w:szCs w:val="19"/>
              </w:rPr>
              <w:t>Categorize every loan into a standard days-past-due (DPD) bucket using a single, documented calculation.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216165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A2363C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BR2</w:t>
            </w:r>
          </w:p>
        </w:tc>
      </w:tr>
      <w:tr w:rsidR="00C16176" w14:paraId="0F801F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AED7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FR6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4D255" w14:textId="77777777" w:rsidR="00C16176" w:rsidRDefault="00000000">
            <w:r>
              <w:rPr>
                <w:color w:val="222222"/>
                <w:sz w:val="19"/>
                <w:szCs w:val="19"/>
              </w:rPr>
              <w:t>Assign each loan a Risk Tier (1–4) based on a documented, consistent methodology.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5FA7F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79807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BR2</w:t>
            </w:r>
          </w:p>
        </w:tc>
      </w:tr>
      <w:tr w:rsidR="00C16176" w14:paraId="6D1A8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E24F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FR7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EC33D9" w14:textId="77777777" w:rsidR="00C16176" w:rsidRDefault="00000000">
            <w:r>
              <w:rPr>
                <w:color w:val="222222"/>
                <w:sz w:val="19"/>
                <w:szCs w:val="19"/>
              </w:rPr>
              <w:t>Provide drill-through from portfolio/region/sector level down to individual loan-level detail.</w:t>
            </w:r>
          </w:p>
        </w:tc>
        <w:tc>
          <w:tcPr>
            <w:tcW w:w="1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E072B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5AF7F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BR3</w:t>
            </w:r>
          </w:p>
        </w:tc>
      </w:tr>
      <w:tr w:rsidR="00C16176" w14:paraId="358A88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1F68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FR8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B7248" w14:textId="77777777" w:rsidR="00C16176" w:rsidRDefault="00000000">
            <w:r>
              <w:rPr>
                <w:color w:val="222222"/>
                <w:sz w:val="19"/>
                <w:szCs w:val="19"/>
              </w:rPr>
              <w:t>Flag loans that moved into a higher risk tier or delinquency bucket since the prior refresh (“Watch List”).</w:t>
            </w:r>
          </w:p>
        </w:tc>
        <w:tc>
          <w:tcPr>
            <w:tcW w:w="1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C1ACF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D4B32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BR1, BR3</w:t>
            </w:r>
          </w:p>
        </w:tc>
      </w:tr>
      <w:tr w:rsidR="00C16176" w14:paraId="73578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F4C4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FR9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D30FA" w14:textId="77777777" w:rsidR="00C16176" w:rsidRDefault="00000000">
            <w:r>
              <w:rPr>
                <w:color w:val="222222"/>
                <w:sz w:val="19"/>
                <w:szCs w:val="19"/>
              </w:rPr>
              <w:t>Refresh underlying data on a defined, documented schedule rather than ad hoc manual pulls.</w:t>
            </w:r>
          </w:p>
        </w:tc>
        <w:tc>
          <w:tcPr>
            <w:tcW w:w="130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CDF15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6F090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BR1</w:t>
            </w:r>
          </w:p>
        </w:tc>
      </w:tr>
      <w:tr w:rsidR="00C16176" w14:paraId="582E4B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33938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FR10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727A1" w14:textId="77777777" w:rsidR="00C16176" w:rsidRDefault="00000000">
            <w:r>
              <w:rPr>
                <w:color w:val="222222"/>
                <w:sz w:val="19"/>
                <w:szCs w:val="19"/>
              </w:rPr>
              <w:t>Allow export of the current filtered data view for offline stakeholder use.</w:t>
            </w:r>
          </w:p>
        </w:tc>
        <w:tc>
          <w:tcPr>
            <w:tcW w:w="1300" w:type="dxa"/>
            <w:shd w:val="clear" w:color="auto" w:fill="FCE5C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38494C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Could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609B30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BR3</w:t>
            </w:r>
          </w:p>
        </w:tc>
      </w:tr>
      <w:tr w:rsidR="00C16176" w14:paraId="18FB9C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8617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FR11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8FB598" w14:textId="77777777" w:rsidR="00C16176" w:rsidRDefault="00000000">
            <w:r>
              <w:rPr>
                <w:color w:val="222222"/>
                <w:sz w:val="19"/>
                <w:szCs w:val="19"/>
              </w:rPr>
              <w:t>Maintain a visible data dictionary / definitions reference within the dashboard file.</w:t>
            </w:r>
          </w:p>
        </w:tc>
        <w:tc>
          <w:tcPr>
            <w:tcW w:w="1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67E3B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  <w:tc>
          <w:tcPr>
            <w:tcW w:w="17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59180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BR2, BR4</w:t>
            </w:r>
          </w:p>
        </w:tc>
      </w:tr>
    </w:tbl>
    <w:p w14:paraId="07BF8671" w14:textId="77777777" w:rsidR="00C16176" w:rsidRDefault="00C16176">
      <w:pPr>
        <w:spacing w:before="300"/>
      </w:pPr>
    </w:p>
    <w:p w14:paraId="599550D3" w14:textId="77777777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4" w:name="_Toc236661113"/>
      <w:r>
        <w:rPr>
          <w:b/>
          <w:bCs/>
          <w:color w:val="1F3864"/>
          <w:sz w:val="28"/>
          <w:szCs w:val="28"/>
        </w:rPr>
        <w:t>5. Non-Functional Requirements</w:t>
      </w:r>
      <w:bookmarkEnd w:id="4"/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200"/>
        <w:gridCol w:w="2180"/>
      </w:tblGrid>
      <w:tr w:rsidR="00C16176" w14:paraId="1815B1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A9C32" w14:textId="77777777" w:rsidR="00C16176" w:rsidRDefault="00000000" w:rsidP="0088758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7196E" w14:textId="77777777" w:rsidR="00C16176" w:rsidRDefault="00000000" w:rsidP="0088758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7870B" w14:textId="77777777" w:rsidR="00C16176" w:rsidRDefault="00000000" w:rsidP="0088758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18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4BB63" w14:textId="77777777" w:rsidR="00C16176" w:rsidRDefault="00000000" w:rsidP="0088758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16176" w14:paraId="134DF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E75FF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NFR1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116EEF" w14:textId="77777777" w:rsidR="00C16176" w:rsidRDefault="00000000">
            <w:r>
              <w:rPr>
                <w:color w:val="222222"/>
                <w:sz w:val="19"/>
                <w:szCs w:val="19"/>
              </w:rPr>
              <w:t>Performance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D9A29C" w14:textId="77777777" w:rsidR="00C16176" w:rsidRDefault="00000000">
            <w:r>
              <w:rPr>
                <w:color w:val="222222"/>
                <w:sz w:val="19"/>
                <w:szCs w:val="19"/>
              </w:rPr>
              <w:t>Dashboard visuals shall render within ~10 seconds under normal filter operations.</w:t>
            </w:r>
          </w:p>
        </w:tc>
        <w:tc>
          <w:tcPr>
            <w:tcW w:w="218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0281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</w:tr>
      <w:tr w:rsidR="00C16176" w14:paraId="09F661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D0543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NFR2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ABF15" w14:textId="77777777" w:rsidR="00C16176" w:rsidRDefault="00000000">
            <w:r>
              <w:rPr>
                <w:color w:val="222222"/>
                <w:sz w:val="19"/>
                <w:szCs w:val="19"/>
              </w:rPr>
              <w:t>Usability / Accessibility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155F5" w14:textId="6D6FE8B9" w:rsidR="00C16176" w:rsidRDefault="00000000">
            <w:r>
              <w:rPr>
                <w:color w:val="222222"/>
                <w:sz w:val="19"/>
                <w:szCs w:val="19"/>
              </w:rPr>
              <w:t xml:space="preserve">Visuals shall use a consistent, </w:t>
            </w:r>
            <w:r w:rsidR="000622C0">
              <w:rPr>
                <w:color w:val="222222"/>
                <w:sz w:val="19"/>
                <w:szCs w:val="19"/>
              </w:rPr>
              <w:t>colourblind</w:t>
            </w:r>
            <w:r>
              <w:rPr>
                <w:color w:val="222222"/>
                <w:sz w:val="19"/>
                <w:szCs w:val="19"/>
              </w:rPr>
              <w:t>-safe palette for risk-tier indicators (not relying on red/green alone).</w:t>
            </w:r>
          </w:p>
        </w:tc>
        <w:tc>
          <w:tcPr>
            <w:tcW w:w="218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B5CDC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</w:tr>
      <w:tr w:rsidR="00C16176" w14:paraId="4C3B0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1963B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NFR3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D3BC8" w14:textId="77777777" w:rsidR="00C16176" w:rsidRDefault="00000000">
            <w:r>
              <w:rPr>
                <w:color w:val="222222"/>
                <w:sz w:val="19"/>
                <w:szCs w:val="19"/>
              </w:rPr>
              <w:t>Auditability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1B6C80" w14:textId="77777777" w:rsidR="00C16176" w:rsidRDefault="00000000">
            <w:r>
              <w:rPr>
                <w:color w:val="222222"/>
                <w:sz w:val="19"/>
                <w:szCs w:val="19"/>
              </w:rPr>
              <w:t>Every calculated field (risk tier, DPD bucket, concentration %) shall have its logic documented so a reviewer can trace a figure back to its source fields.</w:t>
            </w:r>
          </w:p>
        </w:tc>
        <w:tc>
          <w:tcPr>
            <w:tcW w:w="218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E6CA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</w:tr>
      <w:tr w:rsidR="00C16176" w14:paraId="07893A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2D93C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NFR4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48047" w14:textId="77777777" w:rsidR="00C16176" w:rsidRDefault="00000000">
            <w:r>
              <w:rPr>
                <w:color w:val="222222"/>
                <w:sz w:val="19"/>
                <w:szCs w:val="19"/>
              </w:rPr>
              <w:t>Security / Access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A0772" w14:textId="77777777" w:rsidR="00C16176" w:rsidRDefault="00000000">
            <w:r>
              <w:rPr>
                <w:color w:val="222222"/>
                <w:sz w:val="19"/>
                <w:szCs w:val="19"/>
              </w:rPr>
              <w:t>Production use would require role-based, view-only access for most business users. Documented here as a requirement; implementation is out of scope for this single-author fictional build.</w:t>
            </w:r>
          </w:p>
        </w:tc>
        <w:tc>
          <w:tcPr>
            <w:tcW w:w="218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C90BC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 (documented)</w:t>
            </w:r>
          </w:p>
        </w:tc>
      </w:tr>
      <w:tr w:rsidR="00C16176" w14:paraId="4625F6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59E1C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NFR5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DF63B4" w14:textId="77777777" w:rsidR="00C16176" w:rsidRDefault="00000000">
            <w:r>
              <w:rPr>
                <w:color w:val="222222"/>
                <w:sz w:val="19"/>
                <w:szCs w:val="19"/>
              </w:rPr>
              <w:t>Maintainability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00A777" w14:textId="77777777" w:rsidR="00C16176" w:rsidRDefault="00000000">
            <w:r>
              <w:rPr>
                <w:color w:val="222222"/>
                <w:sz w:val="19"/>
                <w:szCs w:val="19"/>
              </w:rPr>
              <w:t>Data model and DAX measures shall be structured (star schema, named measures) so another analyst could maintain the dashboard without rebuilding it.</w:t>
            </w:r>
          </w:p>
        </w:tc>
        <w:tc>
          <w:tcPr>
            <w:tcW w:w="218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25471E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Should</w:t>
            </w:r>
          </w:p>
        </w:tc>
      </w:tr>
      <w:tr w:rsidR="00C16176" w14:paraId="797F8C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EE8AB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NFR6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0CAA7" w14:textId="77777777" w:rsidR="00C16176" w:rsidRDefault="00000000">
            <w:r>
              <w:rPr>
                <w:color w:val="222222"/>
                <w:sz w:val="19"/>
                <w:szCs w:val="19"/>
              </w:rPr>
              <w:t>Tooling / Portability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B3D0A" w14:textId="77777777" w:rsidR="00C16176" w:rsidRDefault="00000000">
            <w:r>
              <w:rPr>
                <w:color w:val="222222"/>
                <w:sz w:val="19"/>
                <w:szCs w:val="19"/>
              </w:rPr>
              <w:t>Solution shall be built entirely in Power BI Desktop without dependency on paid add-ins or external services.</w:t>
            </w:r>
          </w:p>
        </w:tc>
        <w:tc>
          <w:tcPr>
            <w:tcW w:w="218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17057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Must</w:t>
            </w:r>
          </w:p>
        </w:tc>
      </w:tr>
    </w:tbl>
    <w:p w14:paraId="2D4E3957" w14:textId="77777777" w:rsidR="00C16176" w:rsidRDefault="00C16176">
      <w:pPr>
        <w:spacing w:before="300"/>
      </w:pPr>
    </w:p>
    <w:p w14:paraId="2CFA7EF8" w14:textId="77777777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5" w:name="_Toc236661114"/>
      <w:r>
        <w:rPr>
          <w:b/>
          <w:bCs/>
          <w:color w:val="1F3864"/>
          <w:sz w:val="28"/>
          <w:szCs w:val="28"/>
        </w:rPr>
        <w:t>6. Traceability Matrix</w:t>
      </w:r>
      <w:bookmarkEnd w:id="5"/>
    </w:p>
    <w:p w14:paraId="20E5CB0F" w14:textId="18C398D9" w:rsidR="00C16176" w:rsidRDefault="00000000">
      <w:pPr>
        <w:spacing w:after="160" w:line="276" w:lineRule="auto"/>
      </w:pPr>
      <w:r>
        <w:rPr>
          <w:color w:val="222222"/>
          <w:sz w:val="22"/>
          <w:szCs w:val="22"/>
        </w:rPr>
        <w:t>A summary view of which functional (and non-functional) requirements satisfy each business requirement</w:t>
      </w:r>
      <w:r w:rsidR="001B2FBC"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used to confirm nothing in scope is unaccounted for, and nothing built lacks a business reason.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900"/>
        <w:gridCol w:w="2000"/>
      </w:tblGrid>
      <w:tr w:rsidR="00C16176" w14:paraId="70F9F2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BC58F" w14:textId="77777777" w:rsidR="00C16176" w:rsidRDefault="00000000" w:rsidP="001B2FB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Requirement</w:t>
            </w:r>
          </w:p>
        </w:tc>
        <w:tc>
          <w:tcPr>
            <w:tcW w:w="5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6C0E4" w14:textId="77777777" w:rsidR="00C16176" w:rsidRDefault="00000000" w:rsidP="001B2FB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2984F" w14:textId="77777777" w:rsidR="00C16176" w:rsidRDefault="00000000" w:rsidP="001B2FB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Satisfied By</w:t>
            </w:r>
          </w:p>
        </w:tc>
      </w:tr>
      <w:tr w:rsidR="00C16176" w14:paraId="01BF4C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D356DD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BR1</w:t>
            </w:r>
          </w:p>
        </w:tc>
        <w:tc>
          <w:tcPr>
            <w:tcW w:w="5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832FB" w14:textId="77777777" w:rsidR="00C16176" w:rsidRDefault="00000000">
            <w:r>
              <w:rPr>
                <w:color w:val="222222"/>
                <w:sz w:val="19"/>
                <w:szCs w:val="19"/>
              </w:rPr>
              <w:t>Reduce reliance on manual reporting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8880BB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FR8, FR9</w:t>
            </w:r>
          </w:p>
        </w:tc>
      </w:tr>
      <w:tr w:rsidR="00C16176" w14:paraId="5B7543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A21B6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BR2</w:t>
            </w:r>
          </w:p>
        </w:tc>
        <w:tc>
          <w:tcPr>
            <w:tcW w:w="5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C0955" w14:textId="77777777" w:rsidR="00C16176" w:rsidRDefault="00000000">
            <w:r>
              <w:rPr>
                <w:color w:val="222222"/>
                <w:sz w:val="19"/>
                <w:szCs w:val="19"/>
              </w:rPr>
              <w:t>Standardized risk tier &amp; delinquency definitions</w:t>
            </w:r>
          </w:p>
        </w:tc>
        <w:tc>
          <w:tcPr>
            <w:tcW w:w="2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9EAD90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FR5, FR6, FR11</w:t>
            </w:r>
          </w:p>
        </w:tc>
      </w:tr>
      <w:tr w:rsidR="00C16176" w14:paraId="3BC77F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F1BB2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BR3</w:t>
            </w:r>
          </w:p>
        </w:tc>
        <w:tc>
          <w:tcPr>
            <w:tcW w:w="5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6494A" w14:textId="77777777" w:rsidR="00C16176" w:rsidRDefault="00000000">
            <w:r>
              <w:rPr>
                <w:color w:val="222222"/>
                <w:sz w:val="19"/>
                <w:szCs w:val="19"/>
              </w:rPr>
              <w:t>Self-serve, near real-time regional/sector visibility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67C9E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FR1, FR2, FR3, FR4, FR7, FR8, FR10</w:t>
            </w:r>
          </w:p>
        </w:tc>
      </w:tr>
      <w:tr w:rsidR="00C16176" w14:paraId="5128D8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59E11" w14:textId="77777777" w:rsidR="00C16176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BR4</w:t>
            </w:r>
          </w:p>
        </w:tc>
        <w:tc>
          <w:tcPr>
            <w:tcW w:w="5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DE2DD" w14:textId="77777777" w:rsidR="00C16176" w:rsidRDefault="00000000">
            <w:r>
              <w:rPr>
                <w:color w:val="222222"/>
                <w:sz w:val="19"/>
                <w:szCs w:val="19"/>
              </w:rPr>
              <w:t>Audit &amp; compliance traceability</w:t>
            </w:r>
          </w:p>
        </w:tc>
        <w:tc>
          <w:tcPr>
            <w:tcW w:w="2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C53FAE" w14:textId="77777777" w:rsidR="00C1617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FR11, NFR3</w:t>
            </w:r>
          </w:p>
        </w:tc>
      </w:tr>
    </w:tbl>
    <w:p w14:paraId="270FC565" w14:textId="77777777" w:rsidR="00C16176" w:rsidRDefault="00C16176">
      <w:pPr>
        <w:spacing w:before="300"/>
      </w:pPr>
    </w:p>
    <w:p w14:paraId="23147B66" w14:textId="1EBD11A6" w:rsidR="00C16176" w:rsidRDefault="00000000">
      <w:pPr>
        <w:pStyle w:val="Heading1"/>
        <w:pBdr>
          <w:bottom w:val="single" w:sz="6" w:space="4" w:color="1F3864"/>
        </w:pBdr>
        <w:spacing w:before="360" w:after="160"/>
      </w:pPr>
      <w:bookmarkStart w:id="6" w:name="_Toc236661115"/>
      <w:r>
        <w:rPr>
          <w:b/>
          <w:bCs/>
          <w:color w:val="1F3864"/>
          <w:sz w:val="28"/>
          <w:szCs w:val="28"/>
        </w:rPr>
        <w:t>7. Out of Scope / Deferred</w:t>
      </w:r>
      <w:bookmarkEnd w:id="6"/>
    </w:p>
    <w:p w14:paraId="63CECB60" w14:textId="77777777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  <w:sz w:val="22"/>
          <w:szCs w:val="22"/>
        </w:rPr>
        <w:t>Predictive or ML-based credit risk scoring (potential future enhancement).</w:t>
      </w:r>
    </w:p>
    <w:p w14:paraId="0F5CFB1E" w14:textId="77777777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  <w:sz w:val="22"/>
          <w:szCs w:val="22"/>
        </w:rPr>
        <w:t>Real-time (sub-daily) data refresh — this project uses a defined periodic refresh schedule instead.</w:t>
      </w:r>
    </w:p>
    <w:p w14:paraId="7D1A6E2F" w14:textId="77777777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  <w:sz w:val="22"/>
          <w:szCs w:val="22"/>
        </w:rPr>
        <w:t>Mobile-optimized dashboard layout.</w:t>
      </w:r>
    </w:p>
    <w:p w14:paraId="7A01FB6E" w14:textId="77777777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  <w:sz w:val="22"/>
          <w:szCs w:val="22"/>
        </w:rPr>
        <w:t>Automated regulatory filing or submission generation.</w:t>
      </w:r>
    </w:p>
    <w:p w14:paraId="39179CA1" w14:textId="77777777" w:rsidR="00C1617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  <w:sz w:val="22"/>
          <w:szCs w:val="22"/>
        </w:rPr>
        <w:t>Implementation of production-grade, role-based security (documented as NFR4, not built, given the single-author fictional scope).</w:t>
      </w:r>
    </w:p>
    <w:sectPr w:rsidR="00C16176" w:rsidSect="001E40C3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5237C" w14:textId="77777777" w:rsidR="002A1A71" w:rsidRDefault="002A1A71">
      <w:r>
        <w:separator/>
      </w:r>
    </w:p>
  </w:endnote>
  <w:endnote w:type="continuationSeparator" w:id="0">
    <w:p w14:paraId="56E4FCB8" w14:textId="77777777" w:rsidR="002A1A71" w:rsidRDefault="002A1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CA45D" w14:textId="77777777" w:rsidR="00C16176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A2D1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2A2D1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C1A7" w14:textId="77777777" w:rsidR="002A1A71" w:rsidRDefault="002A1A71">
      <w:r>
        <w:separator/>
      </w:r>
    </w:p>
  </w:footnote>
  <w:footnote w:type="continuationSeparator" w:id="0">
    <w:p w14:paraId="328BF05B" w14:textId="77777777" w:rsidR="002A1A71" w:rsidRDefault="002A1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3C28" w14:textId="77777777" w:rsidR="00C16176" w:rsidRDefault="00000000">
    <w:pPr>
      <w:pBdr>
        <w:bottom w:val="single" w:sz="4" w:space="4" w:color="AAAAAA"/>
      </w:pBdr>
      <w:tabs>
        <w:tab w:val="right" w:pos="9026"/>
      </w:tabs>
    </w:pPr>
    <w:r>
      <w:rPr>
        <w:color w:val="666666"/>
        <w:sz w:val="16"/>
        <w:szCs w:val="16"/>
      </w:rPr>
      <w:t>Harvest Trust Financial — Requirements Document</w:t>
    </w:r>
    <w:r>
      <w:rPr>
        <w:color w:val="666666"/>
        <w:sz w:val="16"/>
        <w:szCs w:val="16"/>
      </w:rPr>
      <w:tab/>
      <w:t>Loan Portfolio Risk Reporting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C187B"/>
    <w:multiLevelType w:val="hybridMultilevel"/>
    <w:tmpl w:val="BD167C68"/>
    <w:lvl w:ilvl="0" w:tplc="16A65ABA">
      <w:start w:val="1"/>
      <w:numFmt w:val="bullet"/>
      <w:lvlText w:val="•"/>
      <w:lvlJc w:val="left"/>
      <w:pPr>
        <w:ind w:left="460" w:hanging="260"/>
      </w:pPr>
    </w:lvl>
    <w:lvl w:ilvl="1" w:tplc="E52A4364">
      <w:numFmt w:val="decimal"/>
      <w:lvlText w:val=""/>
      <w:lvlJc w:val="left"/>
    </w:lvl>
    <w:lvl w:ilvl="2" w:tplc="AD54E33A">
      <w:numFmt w:val="decimal"/>
      <w:lvlText w:val=""/>
      <w:lvlJc w:val="left"/>
    </w:lvl>
    <w:lvl w:ilvl="3" w:tplc="E698FC14">
      <w:numFmt w:val="decimal"/>
      <w:lvlText w:val=""/>
      <w:lvlJc w:val="left"/>
    </w:lvl>
    <w:lvl w:ilvl="4" w:tplc="0DCEE908">
      <w:numFmt w:val="decimal"/>
      <w:lvlText w:val=""/>
      <w:lvlJc w:val="left"/>
    </w:lvl>
    <w:lvl w:ilvl="5" w:tplc="63948F80">
      <w:numFmt w:val="decimal"/>
      <w:lvlText w:val=""/>
      <w:lvlJc w:val="left"/>
    </w:lvl>
    <w:lvl w:ilvl="6" w:tplc="A28EC2CC">
      <w:numFmt w:val="decimal"/>
      <w:lvlText w:val=""/>
      <w:lvlJc w:val="left"/>
    </w:lvl>
    <w:lvl w:ilvl="7" w:tplc="98D6F452">
      <w:numFmt w:val="decimal"/>
      <w:lvlText w:val=""/>
      <w:lvlJc w:val="left"/>
    </w:lvl>
    <w:lvl w:ilvl="8" w:tplc="73062D94">
      <w:numFmt w:val="decimal"/>
      <w:lvlText w:val=""/>
      <w:lvlJc w:val="left"/>
    </w:lvl>
  </w:abstractNum>
  <w:abstractNum w:abstractNumId="1" w15:restartNumberingAfterBreak="0">
    <w:nsid w:val="5D901E86"/>
    <w:multiLevelType w:val="hybridMultilevel"/>
    <w:tmpl w:val="AF6C7900"/>
    <w:lvl w:ilvl="0" w:tplc="80C8E9B6">
      <w:start w:val="1"/>
      <w:numFmt w:val="bullet"/>
      <w:lvlText w:val="●"/>
      <w:lvlJc w:val="left"/>
      <w:pPr>
        <w:ind w:left="720" w:hanging="360"/>
      </w:pPr>
    </w:lvl>
    <w:lvl w:ilvl="1" w:tplc="8E3ACDB8">
      <w:start w:val="1"/>
      <w:numFmt w:val="bullet"/>
      <w:lvlText w:val="○"/>
      <w:lvlJc w:val="left"/>
      <w:pPr>
        <w:ind w:left="1440" w:hanging="360"/>
      </w:pPr>
    </w:lvl>
    <w:lvl w:ilvl="2" w:tplc="842ACA9E">
      <w:start w:val="1"/>
      <w:numFmt w:val="bullet"/>
      <w:lvlText w:val="■"/>
      <w:lvlJc w:val="left"/>
      <w:pPr>
        <w:ind w:left="2160" w:hanging="360"/>
      </w:pPr>
    </w:lvl>
    <w:lvl w:ilvl="3" w:tplc="CE52C8D0">
      <w:start w:val="1"/>
      <w:numFmt w:val="bullet"/>
      <w:lvlText w:val="●"/>
      <w:lvlJc w:val="left"/>
      <w:pPr>
        <w:ind w:left="2880" w:hanging="360"/>
      </w:pPr>
    </w:lvl>
    <w:lvl w:ilvl="4" w:tplc="59F461FA">
      <w:start w:val="1"/>
      <w:numFmt w:val="bullet"/>
      <w:lvlText w:val="○"/>
      <w:lvlJc w:val="left"/>
      <w:pPr>
        <w:ind w:left="3600" w:hanging="360"/>
      </w:pPr>
    </w:lvl>
    <w:lvl w:ilvl="5" w:tplc="3E9E7D6C">
      <w:start w:val="1"/>
      <w:numFmt w:val="bullet"/>
      <w:lvlText w:val="■"/>
      <w:lvlJc w:val="left"/>
      <w:pPr>
        <w:ind w:left="4320" w:hanging="360"/>
      </w:pPr>
    </w:lvl>
    <w:lvl w:ilvl="6" w:tplc="F6909556">
      <w:start w:val="1"/>
      <w:numFmt w:val="bullet"/>
      <w:lvlText w:val="●"/>
      <w:lvlJc w:val="left"/>
      <w:pPr>
        <w:ind w:left="5040" w:hanging="360"/>
      </w:pPr>
    </w:lvl>
    <w:lvl w:ilvl="7" w:tplc="6B44673E">
      <w:start w:val="1"/>
      <w:numFmt w:val="bullet"/>
      <w:lvlText w:val="●"/>
      <w:lvlJc w:val="left"/>
      <w:pPr>
        <w:ind w:left="5760" w:hanging="360"/>
      </w:pPr>
    </w:lvl>
    <w:lvl w:ilvl="8" w:tplc="32D0BBB8">
      <w:start w:val="1"/>
      <w:numFmt w:val="bullet"/>
      <w:lvlText w:val="●"/>
      <w:lvlJc w:val="left"/>
      <w:pPr>
        <w:ind w:left="6480" w:hanging="360"/>
      </w:pPr>
    </w:lvl>
  </w:abstractNum>
  <w:num w:numId="1" w16cid:durableId="971860769">
    <w:abstractNumId w:val="1"/>
    <w:lvlOverride w:ilvl="0">
      <w:startOverride w:val="1"/>
    </w:lvlOverride>
  </w:num>
  <w:num w:numId="2" w16cid:durableId="153760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176"/>
    <w:rsid w:val="000622C0"/>
    <w:rsid w:val="001B2FBC"/>
    <w:rsid w:val="001E40C3"/>
    <w:rsid w:val="002A1A71"/>
    <w:rsid w:val="002A2D1C"/>
    <w:rsid w:val="002C525F"/>
    <w:rsid w:val="00887588"/>
    <w:rsid w:val="00A66617"/>
    <w:rsid w:val="00B82127"/>
    <w:rsid w:val="00C1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D24E"/>
  <w15:docId w15:val="{A7DB00A9-22C3-460B-AE8C-0234150F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A2D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2D1C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1E40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0C3"/>
  </w:style>
  <w:style w:type="paragraph" w:styleId="Footer">
    <w:name w:val="footer"/>
    <w:basedOn w:val="Normal"/>
    <w:link w:val="FooterChar"/>
    <w:uiPriority w:val="99"/>
    <w:unhideWhenUsed/>
    <w:rsid w:val="001E40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6F810-8E4A-49A3-A3CD-DEE45F4D2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Dwij Siyal</cp:lastModifiedBy>
  <cp:revision>4</cp:revision>
  <dcterms:created xsi:type="dcterms:W3CDTF">2026-08-03T20:38:00Z</dcterms:created>
  <dcterms:modified xsi:type="dcterms:W3CDTF">2026-08-03T23:53:00Z</dcterms:modified>
</cp:coreProperties>
</file>