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47C1" w14:textId="77777777" w:rsidR="009A6387" w:rsidRDefault="00000000">
      <w:pPr>
        <w:spacing w:before="400"/>
        <w:jc w:val="center"/>
      </w:pPr>
      <w:r>
        <w:rPr>
          <w:b/>
          <w:bCs/>
          <w:color w:val="1F3864"/>
          <w:sz w:val="40"/>
          <w:szCs w:val="40"/>
        </w:rPr>
        <w:t>POWER BI DASHBOARD BUILD GUIDE</w:t>
      </w:r>
    </w:p>
    <w:p w14:paraId="43567A66" w14:textId="77777777" w:rsidR="009A6387" w:rsidRDefault="00000000">
      <w:pPr>
        <w:spacing w:before="120" w:after="40"/>
        <w:jc w:val="center"/>
      </w:pPr>
      <w:r>
        <w:rPr>
          <w:b/>
          <w:bCs/>
          <w:color w:val="222222"/>
          <w:sz w:val="30"/>
          <w:szCs w:val="30"/>
        </w:rPr>
        <w:t>Loan Portfolio Risk Reporting Dashboard</w:t>
      </w:r>
    </w:p>
    <w:p w14:paraId="67A2793D" w14:textId="77777777" w:rsidR="009A6387" w:rsidRDefault="00000000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Phase 6 — Harvest Trust Financial (HTF)</w:t>
      </w:r>
    </w:p>
    <w:p w14:paraId="5F11FF5C" w14:textId="77777777" w:rsidR="009A6387" w:rsidRDefault="00000000">
      <w:pPr>
        <w:pStyle w:val="Heading1"/>
        <w:pBdr>
          <w:bottom w:val="single" w:sz="6" w:space="4" w:color="1F3864"/>
        </w:pBdr>
        <w:spacing w:before="380" w:after="160"/>
      </w:pPr>
      <w:r>
        <w:rPr>
          <w:b/>
          <w:bCs/>
          <w:color w:val="1F3864"/>
          <w:sz w:val="28"/>
          <w:szCs w:val="28"/>
        </w:rPr>
        <w:t>0. Model Setup (Before Building Visuals)</w:t>
      </w:r>
    </w:p>
    <w:p w14:paraId="507E6355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Sort by Column — </w:t>
      </w:r>
      <w:r>
        <w:rPr>
          <w:color w:val="222222"/>
          <w:sz w:val="21"/>
          <w:szCs w:val="21"/>
        </w:rPr>
        <w:t xml:space="preserve">set </w:t>
      </w:r>
      <w:proofErr w:type="spellStart"/>
      <w:r>
        <w:rPr>
          <w:color w:val="222222"/>
          <w:sz w:val="21"/>
          <w:szCs w:val="21"/>
        </w:rPr>
        <w:t>dim_risk_tier</w:t>
      </w:r>
      <w:proofErr w:type="spellEnd"/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risk_tier_label</w:t>
      </w:r>
      <w:proofErr w:type="spellEnd"/>
      <w:r>
        <w:rPr>
          <w:color w:val="222222"/>
          <w:sz w:val="21"/>
          <w:szCs w:val="21"/>
        </w:rPr>
        <w:t xml:space="preserve">] to sort by </w:t>
      </w:r>
      <w:proofErr w:type="spellStart"/>
      <w:r>
        <w:rPr>
          <w:color w:val="222222"/>
          <w:sz w:val="21"/>
          <w:szCs w:val="21"/>
        </w:rPr>
        <w:t>sort_order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dim_dpd_bucket</w:t>
      </w:r>
      <w:proofErr w:type="spellEnd"/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dpd_bucket</w:t>
      </w:r>
      <w:proofErr w:type="spellEnd"/>
      <w:r>
        <w:rPr>
          <w:color w:val="222222"/>
          <w:sz w:val="21"/>
          <w:szCs w:val="21"/>
        </w:rPr>
        <w:t xml:space="preserve">] to sort by </w:t>
      </w:r>
      <w:proofErr w:type="spellStart"/>
      <w:r>
        <w:rPr>
          <w:color w:val="222222"/>
          <w:sz w:val="21"/>
          <w:szCs w:val="21"/>
        </w:rPr>
        <w:t>sort_order</w:t>
      </w:r>
      <w:proofErr w:type="spellEnd"/>
      <w:r>
        <w:rPr>
          <w:color w:val="222222"/>
          <w:sz w:val="21"/>
          <w:szCs w:val="21"/>
        </w:rPr>
        <w:t xml:space="preserve">, and </w:t>
      </w:r>
      <w:proofErr w:type="spellStart"/>
      <w:r>
        <w:rPr>
          <w:color w:val="222222"/>
          <w:sz w:val="21"/>
          <w:szCs w:val="21"/>
        </w:rPr>
        <w:t>dim_calendar</w:t>
      </w:r>
      <w:proofErr w:type="spellEnd"/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month_year_label</w:t>
      </w:r>
      <w:proofErr w:type="spellEnd"/>
      <w:r>
        <w:rPr>
          <w:color w:val="222222"/>
          <w:sz w:val="21"/>
          <w:szCs w:val="21"/>
        </w:rPr>
        <w:t xml:space="preserve">] to sort by </w:t>
      </w:r>
      <w:proofErr w:type="spellStart"/>
      <w:r>
        <w:rPr>
          <w:color w:val="222222"/>
          <w:sz w:val="21"/>
          <w:szCs w:val="21"/>
        </w:rPr>
        <w:t>snapshot_month</w:t>
      </w:r>
      <w:proofErr w:type="spellEnd"/>
      <w:r>
        <w:rPr>
          <w:color w:val="222222"/>
          <w:sz w:val="21"/>
          <w:szCs w:val="21"/>
        </w:rPr>
        <w:t>. Without this, buckets and months sort alphabetically instead of chronologically/by severity.</w:t>
      </w:r>
    </w:p>
    <w:p w14:paraId="1BB597D6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Hide technical columns — </w:t>
      </w:r>
      <w:r>
        <w:rPr>
          <w:color w:val="222222"/>
          <w:sz w:val="21"/>
          <w:szCs w:val="21"/>
        </w:rPr>
        <w:t xml:space="preserve">in Model view, right-click </w:t>
      </w:r>
      <w:proofErr w:type="spellStart"/>
      <w:r>
        <w:rPr>
          <w:color w:val="222222"/>
          <w:sz w:val="21"/>
          <w:szCs w:val="21"/>
        </w:rPr>
        <w:t>sort_order</w:t>
      </w:r>
      <w:proofErr w:type="spellEnd"/>
      <w:r>
        <w:rPr>
          <w:color w:val="222222"/>
          <w:sz w:val="21"/>
          <w:szCs w:val="21"/>
        </w:rPr>
        <w:t xml:space="preserve"> (on both lookup tables) and </w:t>
      </w:r>
      <w:proofErr w:type="spellStart"/>
      <w:r>
        <w:rPr>
          <w:color w:val="222222"/>
          <w:sz w:val="21"/>
          <w:szCs w:val="21"/>
        </w:rPr>
        <w:t>is_delinquent</w:t>
      </w:r>
      <w:proofErr w:type="spellEnd"/>
      <w:r>
        <w:rPr>
          <w:color w:val="222222"/>
          <w:sz w:val="21"/>
          <w:szCs w:val="21"/>
        </w:rPr>
        <w:t>, and select "Hide in Report View." These exist to drive sorting/logic, not to be picked by end users in a field list.</w:t>
      </w:r>
    </w:p>
    <w:p w14:paraId="208EAC0F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Create a Measures table — </w:t>
      </w:r>
      <w:r>
        <w:rPr>
          <w:color w:val="222222"/>
          <w:sz w:val="21"/>
          <w:szCs w:val="21"/>
        </w:rPr>
        <w:t xml:space="preserve">Home → Enter Data → 0 rows → name it _Measures. All DAX below lives here, not scattered inside </w:t>
      </w:r>
      <w:proofErr w:type="spellStart"/>
      <w:r>
        <w:rPr>
          <w:color w:val="222222"/>
          <w:sz w:val="21"/>
          <w:szCs w:val="21"/>
        </w:rPr>
        <w:t>fact_loan_monthly_snapshot</w:t>
      </w:r>
      <w:proofErr w:type="spellEnd"/>
      <w:r>
        <w:rPr>
          <w:color w:val="222222"/>
          <w:sz w:val="21"/>
          <w:szCs w:val="21"/>
        </w:rPr>
        <w:t>.</w:t>
      </w:r>
    </w:p>
    <w:p w14:paraId="1C6B8196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Set data categories — </w:t>
      </w:r>
      <w:r>
        <w:rPr>
          <w:color w:val="222222"/>
          <w:sz w:val="21"/>
          <w:szCs w:val="21"/>
        </w:rPr>
        <w:t xml:space="preserve">mark </w:t>
      </w:r>
      <w:proofErr w:type="spellStart"/>
      <w:r>
        <w:rPr>
          <w:color w:val="222222"/>
          <w:sz w:val="21"/>
          <w:szCs w:val="21"/>
        </w:rPr>
        <w:t>dim_calendar</w:t>
      </w:r>
      <w:proofErr w:type="spellEnd"/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snapshot_month</w:t>
      </w:r>
      <w:proofErr w:type="spellEnd"/>
      <w:r>
        <w:rPr>
          <w:color w:val="222222"/>
          <w:sz w:val="21"/>
          <w:szCs w:val="21"/>
        </w:rPr>
        <w:t xml:space="preserve">] as a Date field; mark </w:t>
      </w:r>
      <w:proofErr w:type="spellStart"/>
      <w:r>
        <w:rPr>
          <w:color w:val="222222"/>
          <w:sz w:val="21"/>
          <w:szCs w:val="21"/>
        </w:rPr>
        <w:t>original_principal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outstanding_balance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scheduled_payment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collateral_value</w:t>
      </w:r>
      <w:proofErr w:type="spellEnd"/>
      <w:r>
        <w:rPr>
          <w:color w:val="222222"/>
          <w:sz w:val="21"/>
          <w:szCs w:val="21"/>
        </w:rPr>
        <w:t xml:space="preserve"> as Currency format (not just Decimal) so cards show "$" automatically.</w:t>
      </w:r>
    </w:p>
    <w:p w14:paraId="63570B91" w14:textId="77777777" w:rsidR="009A6387" w:rsidRDefault="00000000">
      <w:pPr>
        <w:pStyle w:val="Heading1"/>
        <w:pBdr>
          <w:bottom w:val="single" w:sz="6" w:space="4" w:color="1F3864"/>
        </w:pBdr>
        <w:spacing w:before="380" w:after="160"/>
      </w:pPr>
      <w:r>
        <w:rPr>
          <w:b/>
          <w:bCs/>
          <w:color w:val="1F3864"/>
          <w:sz w:val="28"/>
          <w:szCs w:val="28"/>
        </w:rPr>
        <w:t>1. DAX Measures</w:t>
      </w:r>
    </w:p>
    <w:p w14:paraId="1D639CBC" w14:textId="77777777" w:rsidR="009A6387" w:rsidRDefault="00000000">
      <w:pPr>
        <w:spacing w:after="140" w:line="270" w:lineRule="auto"/>
      </w:pPr>
      <w:r>
        <w:rPr>
          <w:color w:val="222222"/>
          <w:sz w:val="21"/>
          <w:szCs w:val="21"/>
        </w:rPr>
        <w:t>Grouped by purpose. Two versions of the delinquency-rate logic exist deliberately: a "current" version pinned to the latest snapshot month for KPI cards, and an unpinned version for the trend line chart, where each point should reflect its own month.</w:t>
      </w:r>
    </w:p>
    <w:p w14:paraId="118090B9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1.1 Latest Month Helper</w:t>
      </w:r>
    </w:p>
    <w:p w14:paraId="0C3CB412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Latest Snapshot Month</w:t>
      </w:r>
    </w:p>
    <w:p w14:paraId="0FD4C61F" w14:textId="77777777" w:rsidR="009A6387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Returns whichever month is most recent within the current slicer selection. Used inside every "current state" KPI measure below so cards always show the latest month, even while a trend chart on the same page shows all 24 months.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42E74AE2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C153D9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 Snapshot Month =</w:t>
            </w:r>
          </w:p>
          <w:p w14:paraId="43BA9BB3" w14:textId="77777777" w:rsidR="009A6387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</w:p>
          <w:p w14:paraId="68F40335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742BF8A5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ALLSELECTED(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55EEBD76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3E3092F9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1.2 Core Portfolio KPIs (latest month, for card visuals)</w:t>
      </w:r>
    </w:p>
    <w:p w14:paraId="6883303F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Total Outstanding Balance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4264427F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DEE045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 Outstanding Balance =</w:t>
            </w:r>
          </w:p>
          <w:p w14:paraId="004E6274" w14:textId="77777777" w:rsidR="009A6387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</w:p>
          <w:p w14:paraId="5A23B622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270F26D2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[Latest Snapshot Month]</w:t>
            </w:r>
          </w:p>
          <w:p w14:paraId="0B5120CE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2884D92A" w14:textId="77777777" w:rsidR="001C6CCF" w:rsidRDefault="001C6CCF">
      <w:pPr>
        <w:spacing w:before="160" w:after="40"/>
        <w:rPr>
          <w:b/>
          <w:bCs/>
          <w:color w:val="1F3864"/>
          <w:sz w:val="21"/>
          <w:szCs w:val="21"/>
        </w:rPr>
      </w:pPr>
    </w:p>
    <w:p w14:paraId="1B57DCCD" w14:textId="4DD61232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lastRenderedPageBreak/>
        <w:t>Active Loan Count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04E8E55D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BE761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Active Loan Count =</w:t>
            </w:r>
          </w:p>
          <w:p w14:paraId="69C462F5" w14:textId="77777777" w:rsidR="009A6387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</w:p>
          <w:p w14:paraId="2E1549B7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DISTINCTCOUNT(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01B9BCDD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[Latest Snapshot Month]</w:t>
            </w:r>
          </w:p>
          <w:p w14:paraId="4D8F136C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75B3E411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Delinquency Rate % (Current)</w:t>
      </w:r>
    </w:p>
    <w:p w14:paraId="114164BA" w14:textId="77777777" w:rsidR="009A6387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Weighted by dollar balance, not loan count — a $2M delinquent loan matters more to portfolio risk than a $20K one. This is the version for the summary KPI card.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67F6D6C6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C1F37D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Delinquency Rate % (Current) =</w:t>
            </w:r>
          </w:p>
          <w:p w14:paraId="6FA6B38F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[Latest Snapshot Month]</w:t>
            </w:r>
          </w:p>
          <w:p w14:paraId="69437B25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5CD82091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CALCULATE(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6A664A9E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71497779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DelinqBal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2A79424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CALCULATE(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08EFCDFF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2BE7850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dim_dpd_bucket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is_delinquent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1)</w:t>
            </w:r>
          </w:p>
          <w:p w14:paraId="101A9C9C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RETURN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DIVIDE(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DelinqBal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039A5C6D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NPL Rate % (90+ Days, Current)</w:t>
      </w:r>
    </w:p>
    <w:p w14:paraId="53D863B0" w14:textId="77777777" w:rsidR="009A6387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Non-performing loan rate — the more severe subset of delinquency. Standard companion metric to the overall delinquency rate in credit risk reporting.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72A206A4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754994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NPL Rate % (Current) =</w:t>
            </w:r>
          </w:p>
          <w:p w14:paraId="41948928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[Latest Snapshot Month]</w:t>
            </w:r>
          </w:p>
          <w:p w14:paraId="7A5EADED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1D435A9B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CALCULATE(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3BF7A960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2729A324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NPLBal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036458B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CALCULATE(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3BAB7C7B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3CD35007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dpd_bucket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"90+ Days")</w:t>
            </w:r>
          </w:p>
          <w:p w14:paraId="11B1F21D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RETURN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DIVIDE(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NPLBal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4CE5C60D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Watch List Balance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32134B6E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EBBFF5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Watch List Balance =</w:t>
            </w:r>
          </w:p>
          <w:p w14:paraId="602FEEAC" w14:textId="77777777" w:rsidR="009A6387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</w:p>
          <w:p w14:paraId="29E42011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2FAEEF0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[Latest Snapshot Month],</w:t>
            </w:r>
          </w:p>
          <w:p w14:paraId="651420D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watch_list_flag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"Y"</w:t>
            </w:r>
          </w:p>
          <w:p w14:paraId="503C3D95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29418DAF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Watch List Loan Count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59EE5966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E53A6E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Watch List Loan Count =</w:t>
            </w:r>
          </w:p>
          <w:p w14:paraId="3EFF6F38" w14:textId="77777777" w:rsidR="009A6387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</w:p>
          <w:p w14:paraId="685A8857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DISTINCTCOUNT(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742D5901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[Latest Snapshot Month],</w:t>
            </w:r>
          </w:p>
          <w:p w14:paraId="0ABC6EAE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watch_list_flag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"Y"</w:t>
            </w:r>
          </w:p>
          <w:p w14:paraId="79EED1AA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27E87499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lastRenderedPageBreak/>
        <w:t>1.3 Trend Measure (unpinned — for the line chart)</w:t>
      </w:r>
    </w:p>
    <w:p w14:paraId="1BCDE38E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Delinquency Rate % (Trend)</w:t>
      </w:r>
    </w:p>
    <w:p w14:paraId="449F8D7C" w14:textId="77777777" w:rsidR="009A6387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No Latest Month override — when placed on a chart with </w:t>
      </w:r>
      <w:proofErr w:type="spellStart"/>
      <w:r>
        <w:rPr>
          <w:i/>
          <w:iCs/>
          <w:color w:val="555555"/>
          <w:sz w:val="19"/>
          <w:szCs w:val="19"/>
        </w:rPr>
        <w:t>dim_calendar</w:t>
      </w:r>
      <w:proofErr w:type="spellEnd"/>
      <w:r>
        <w:rPr>
          <w:i/>
          <w:iCs/>
          <w:color w:val="555555"/>
          <w:sz w:val="19"/>
          <w:szCs w:val="19"/>
        </w:rPr>
        <w:t>[</w:t>
      </w:r>
      <w:proofErr w:type="spellStart"/>
      <w:r>
        <w:rPr>
          <w:i/>
          <w:iCs/>
          <w:color w:val="555555"/>
          <w:sz w:val="19"/>
          <w:szCs w:val="19"/>
        </w:rPr>
        <w:t>month_year_label</w:t>
      </w:r>
      <w:proofErr w:type="spellEnd"/>
      <w:r>
        <w:rPr>
          <w:i/>
          <w:iCs/>
          <w:color w:val="555555"/>
          <w:sz w:val="19"/>
          <w:szCs w:val="19"/>
        </w:rPr>
        <w:t>] on the axis, each point naturally computes its own month's rate.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7FB5FBD8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03B227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Delinquency Rate % (Trend) =</w:t>
            </w:r>
          </w:p>
          <w:p w14:paraId="00D64F6C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</w:t>
            </w:r>
          </w:p>
          <w:p w14:paraId="38B1A020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DelinqBal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1158C6D1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CALCULATE(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15D0010B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dim_dpd_bucket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is_delinquent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 = 1)</w:t>
            </w:r>
          </w:p>
          <w:p w14:paraId="67C4B08D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RETURN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DIVIDE(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DelinqBal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038B7985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1.4 Concentration Measures (region/sector, % of total portfolio)</w:t>
      </w:r>
    </w:p>
    <w:p w14:paraId="18C19419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Portfolio Share %</w:t>
      </w:r>
    </w:p>
    <w:p w14:paraId="555B4013" w14:textId="77777777" w:rsidR="009A6387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The denominator strips out region and sector filters so each bar shows its share of the WHOLE portfolio, not 100% of itself. This is the concentration-risk metric your Phase 1 brief is built around.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7BC81C7F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B5ED3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Portfolio Share % =</w:t>
            </w:r>
          </w:p>
          <w:p w14:paraId="66597E4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[Latest Snapshot Month]</w:t>
            </w:r>
          </w:p>
          <w:p w14:paraId="124DCE26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CategoryBal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4DEA3A4E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CALCULATE(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2DCBAC8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79A5DFD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6B88915E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</w:p>
          <w:p w14:paraId="713DBCC1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687F30D2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280DA1A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ALL(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dim_borrower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[region]),</w:t>
            </w:r>
          </w:p>
          <w:p w14:paraId="543C1446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ALL(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dim_borrower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[sector])</w:t>
            </w:r>
          </w:p>
          <w:p w14:paraId="1FE2B2F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)</w:t>
            </w:r>
          </w:p>
          <w:p w14:paraId="56F7CEDF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RETURN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DIVIDE(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CategoryBal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TotalBal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46FA2C06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1.5 Optional / Bonus Measures (Could Have — skip if short on time)</w:t>
      </w:r>
    </w:p>
    <w:p w14:paraId="0677ADA3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 xml:space="preserve">Weighted </w:t>
      </w:r>
      <w:proofErr w:type="spellStart"/>
      <w:r>
        <w:rPr>
          <w:b/>
          <w:bCs/>
          <w:color w:val="1F3864"/>
          <w:sz w:val="21"/>
          <w:szCs w:val="21"/>
        </w:rPr>
        <w:t>Avg</w:t>
      </w:r>
      <w:proofErr w:type="spellEnd"/>
      <w:r>
        <w:rPr>
          <w:b/>
          <w:bCs/>
          <w:color w:val="1F3864"/>
          <w:sz w:val="21"/>
          <w:szCs w:val="21"/>
        </w:rPr>
        <w:t xml:space="preserve"> Interest Rate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694A1228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4CF652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Weighted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Interest Rate =</w:t>
            </w:r>
          </w:p>
          <w:p w14:paraId="7B9272CA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[Latest Snapshot Month]</w:t>
            </w:r>
          </w:p>
          <w:p w14:paraId="3C4AA8C4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RETURN</w:t>
            </w:r>
          </w:p>
          <w:p w14:paraId="17394AEF" w14:textId="77777777" w:rsidR="009A6387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DIVIDE(</w:t>
            </w:r>
            <w:proofErr w:type="gramEnd"/>
          </w:p>
          <w:p w14:paraId="0BFC839A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</w:p>
          <w:p w14:paraId="7151571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SUMX(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58867394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fact_loan_monthly_snapshot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outstanding_balance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*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RELATED(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dim_loan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interest_rate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])),</w:t>
            </w:r>
          </w:p>
          <w:p w14:paraId="390CE26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),</w:t>
            </w:r>
          </w:p>
          <w:p w14:paraId="3E55BFD7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[Total Outstanding Balance]</w:t>
            </w:r>
          </w:p>
          <w:p w14:paraId="7AAD66B4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59A771A8" w14:textId="77777777" w:rsidR="009A6387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>Delinquency Rate % MoM Change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A6387" w14:paraId="01041FF1" w14:textId="77777777">
        <w:tc>
          <w:tcPr>
            <w:tcW w:w="935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C00DCE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Delinquency Rate % MoM Change =</w:t>
            </w:r>
          </w:p>
          <w:p w14:paraId="6DDE4E28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[Latest Snapshot Month]</w:t>
            </w:r>
          </w:p>
          <w:p w14:paraId="046948D3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PriorMonth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CALCULATE(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]),</w:t>
            </w:r>
          </w:p>
          <w:p w14:paraId="561B7688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LatestMonth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ALLSELECTED(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))</w:t>
            </w:r>
          </w:p>
          <w:p w14:paraId="769F1BDD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CurrentRate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[Delinquency Rate % (Current)]</w:t>
            </w:r>
          </w:p>
          <w:p w14:paraId="50FCF308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PriorRate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</w:t>
            </w:r>
          </w:p>
          <w:p w14:paraId="13045C97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CALCULATE(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[Delinquency Rate % (Trend)],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dim_calendar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snapshot_month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PriorMonth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2960C8CD" w14:textId="77777777" w:rsidR="009A638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CurrentRate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PriorRate</w:t>
            </w:r>
            <w:proofErr w:type="spellEnd"/>
          </w:p>
        </w:tc>
      </w:tr>
    </w:tbl>
    <w:p w14:paraId="164A0E43" w14:textId="77777777" w:rsidR="009A6387" w:rsidRDefault="009A6387">
      <w:pPr>
        <w:spacing w:before="300"/>
      </w:pPr>
    </w:p>
    <w:p w14:paraId="3211CC2D" w14:textId="77777777" w:rsidR="009A6387" w:rsidRDefault="00000000">
      <w:pPr>
        <w:pStyle w:val="Heading1"/>
        <w:pBdr>
          <w:bottom w:val="single" w:sz="6" w:space="4" w:color="1F3864"/>
        </w:pBdr>
        <w:spacing w:before="380" w:after="160"/>
      </w:pPr>
      <w:r>
        <w:rPr>
          <w:b/>
          <w:bCs/>
          <w:color w:val="1F3864"/>
          <w:sz w:val="28"/>
          <w:szCs w:val="28"/>
        </w:rPr>
        <w:t>2. Report Pages &amp; Visuals</w:t>
      </w:r>
    </w:p>
    <w:p w14:paraId="6FD2A34A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Page 1 — Portfolio Overview</w:t>
      </w:r>
    </w:p>
    <w:p w14:paraId="7ECF3445" w14:textId="77777777" w:rsidR="009A6387" w:rsidRDefault="00000000">
      <w:pPr>
        <w:spacing w:after="140" w:line="270" w:lineRule="auto"/>
      </w:pPr>
      <w:r>
        <w:rPr>
          <w:color w:val="222222"/>
          <w:sz w:val="21"/>
          <w:szCs w:val="21"/>
        </w:rPr>
        <w:t>Purpose: answers "how healthy is the portfolio right now, and is it trending the right way" — the page a CRO opens first. Satisfies FR1, FR3.</w:t>
      </w:r>
    </w:p>
    <w:p w14:paraId="6E153054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KPI card row (top, 5 cards): </w:t>
      </w:r>
      <w:r>
        <w:rPr>
          <w:color w:val="222222"/>
          <w:sz w:val="21"/>
          <w:szCs w:val="21"/>
        </w:rPr>
        <w:t>Total Outstanding Balance · Active Loan Count · Delinquency Rate % (Current) · NPL Rate % (Current) · Watch List Balance.</w:t>
      </w:r>
    </w:p>
    <w:p w14:paraId="3DEBEAB2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Delinquency Rate Trend — </w:t>
      </w:r>
      <w:r>
        <w:rPr>
          <w:color w:val="222222"/>
          <w:sz w:val="21"/>
          <w:szCs w:val="21"/>
        </w:rPr>
        <w:t xml:space="preserve">line chart, X-axis = </w:t>
      </w:r>
      <w:proofErr w:type="spellStart"/>
      <w:r>
        <w:rPr>
          <w:color w:val="222222"/>
          <w:sz w:val="21"/>
          <w:szCs w:val="21"/>
        </w:rPr>
        <w:t>dim_calendar</w:t>
      </w:r>
      <w:proofErr w:type="spellEnd"/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month_year_label</w:t>
      </w:r>
      <w:proofErr w:type="spellEnd"/>
      <w:r>
        <w:rPr>
          <w:color w:val="222222"/>
          <w:sz w:val="21"/>
          <w:szCs w:val="21"/>
        </w:rPr>
        <w:t>], Y-axis = Delinquency Rate % (Trend). This is the single most important visual on the page — it's what replaces the old static monthly report.</w:t>
      </w:r>
    </w:p>
    <w:p w14:paraId="1E9782F6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Risk Tier Distribution — </w:t>
      </w:r>
      <w:r>
        <w:rPr>
          <w:color w:val="222222"/>
          <w:sz w:val="21"/>
          <w:szCs w:val="21"/>
        </w:rPr>
        <w:t xml:space="preserve">stacked bar or donut, Legend = </w:t>
      </w:r>
      <w:proofErr w:type="spellStart"/>
      <w:r>
        <w:rPr>
          <w:color w:val="222222"/>
          <w:sz w:val="21"/>
          <w:szCs w:val="21"/>
        </w:rPr>
        <w:t>dim_risk_tier</w:t>
      </w:r>
      <w:proofErr w:type="spellEnd"/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risk_tier_label</w:t>
      </w:r>
      <w:proofErr w:type="spellEnd"/>
      <w:r>
        <w:rPr>
          <w:color w:val="222222"/>
          <w:sz w:val="21"/>
          <w:szCs w:val="21"/>
        </w:rPr>
        <w:t>] (</w:t>
      </w:r>
      <w:proofErr w:type="spellStart"/>
      <w:r>
        <w:rPr>
          <w:color w:val="222222"/>
          <w:sz w:val="21"/>
          <w:szCs w:val="21"/>
        </w:rPr>
        <w:t>colorblind</w:t>
      </w:r>
      <w:proofErr w:type="spellEnd"/>
      <w:r>
        <w:rPr>
          <w:color w:val="222222"/>
          <w:sz w:val="21"/>
          <w:szCs w:val="21"/>
        </w:rPr>
        <w:t>-safe palette, see Section 4), Value = Total Outstanding Balance (Current). Shows risk mix by dollars, not loan count.</w:t>
      </w:r>
    </w:p>
    <w:p w14:paraId="3587D81B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Portfolio Concentration by Sector — </w:t>
      </w:r>
      <w:r>
        <w:rPr>
          <w:color w:val="222222"/>
          <w:sz w:val="21"/>
          <w:szCs w:val="21"/>
        </w:rPr>
        <w:t xml:space="preserve">bar chart, Axis = </w:t>
      </w:r>
      <w:proofErr w:type="spellStart"/>
      <w:r>
        <w:rPr>
          <w:color w:val="222222"/>
          <w:sz w:val="21"/>
          <w:szCs w:val="21"/>
        </w:rPr>
        <w:t>dim_borrower</w:t>
      </w:r>
      <w:proofErr w:type="spellEnd"/>
      <w:r>
        <w:rPr>
          <w:color w:val="222222"/>
          <w:sz w:val="21"/>
          <w:szCs w:val="21"/>
        </w:rPr>
        <w:t>[sector], Value = Portfolio Share %. This is the concentration-risk visual your Phase 1 brief exists to deliver.</w:t>
      </w:r>
    </w:p>
    <w:p w14:paraId="377A5B40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Page 2 — Regional &amp; Sector Analysis</w:t>
      </w:r>
    </w:p>
    <w:p w14:paraId="6C0B7F1D" w14:textId="6B35DB4C" w:rsidR="009A6387" w:rsidRDefault="00000000">
      <w:pPr>
        <w:spacing w:after="140" w:line="270" w:lineRule="auto"/>
      </w:pPr>
      <w:r>
        <w:rPr>
          <w:color w:val="222222"/>
          <w:sz w:val="21"/>
          <w:szCs w:val="21"/>
        </w:rPr>
        <w:t>Purpose: lets Regional Credit Managers and the CRO see where risk is concentrated geographically and by sector, together. Satisfies FR2, FR4.</w:t>
      </w:r>
      <w:r w:rsidR="009955A1">
        <w:rPr>
          <w:color w:val="222222"/>
          <w:sz w:val="21"/>
          <w:szCs w:val="21"/>
        </w:rPr>
        <w:tab/>
      </w:r>
      <w:r w:rsidR="009955A1">
        <w:rPr>
          <w:color w:val="222222"/>
          <w:sz w:val="21"/>
          <w:szCs w:val="21"/>
        </w:rPr>
        <w:tab/>
      </w:r>
      <w:r w:rsidR="009955A1">
        <w:rPr>
          <w:color w:val="222222"/>
          <w:sz w:val="21"/>
          <w:szCs w:val="21"/>
        </w:rPr>
        <w:tab/>
      </w:r>
    </w:p>
    <w:p w14:paraId="101865B6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Region × Sector matrix — </w:t>
      </w:r>
      <w:r>
        <w:rPr>
          <w:color w:val="222222"/>
          <w:sz w:val="21"/>
          <w:szCs w:val="21"/>
        </w:rPr>
        <w:t xml:space="preserve">Rows = </w:t>
      </w:r>
      <w:proofErr w:type="spellStart"/>
      <w:r>
        <w:rPr>
          <w:color w:val="222222"/>
          <w:sz w:val="21"/>
          <w:szCs w:val="21"/>
        </w:rPr>
        <w:t>dim_borrower</w:t>
      </w:r>
      <w:proofErr w:type="spellEnd"/>
      <w:r>
        <w:rPr>
          <w:color w:val="222222"/>
          <w:sz w:val="21"/>
          <w:szCs w:val="21"/>
        </w:rPr>
        <w:t xml:space="preserve">[region], Columns = </w:t>
      </w:r>
      <w:proofErr w:type="spellStart"/>
      <w:r>
        <w:rPr>
          <w:color w:val="222222"/>
          <w:sz w:val="21"/>
          <w:szCs w:val="21"/>
        </w:rPr>
        <w:t>dim_borrower</w:t>
      </w:r>
      <w:proofErr w:type="spellEnd"/>
      <w:r>
        <w:rPr>
          <w:color w:val="222222"/>
          <w:sz w:val="21"/>
          <w:szCs w:val="21"/>
        </w:rPr>
        <w:t xml:space="preserve">[sector], Values = Total Outstanding Balance and Delinquency Rate % (Current). Apply conditional formatting (background </w:t>
      </w:r>
      <w:proofErr w:type="spellStart"/>
      <w:r>
        <w:rPr>
          <w:color w:val="222222"/>
          <w:sz w:val="21"/>
          <w:szCs w:val="21"/>
        </w:rPr>
        <w:t>color</w:t>
      </w:r>
      <w:proofErr w:type="spellEnd"/>
      <w:r>
        <w:rPr>
          <w:color w:val="222222"/>
          <w:sz w:val="21"/>
          <w:szCs w:val="21"/>
        </w:rPr>
        <w:t xml:space="preserve"> scale) to the delinquency column — this is your concentration + risk heat map in one visual.</w:t>
      </w:r>
    </w:p>
    <w:p w14:paraId="1302B96F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Delinquency Trend by Region — </w:t>
      </w:r>
      <w:r>
        <w:rPr>
          <w:color w:val="222222"/>
          <w:sz w:val="21"/>
          <w:szCs w:val="21"/>
        </w:rPr>
        <w:t xml:space="preserve">line chart, X-axis = </w:t>
      </w:r>
      <w:proofErr w:type="spellStart"/>
      <w:r>
        <w:rPr>
          <w:color w:val="222222"/>
          <w:sz w:val="21"/>
          <w:szCs w:val="21"/>
        </w:rPr>
        <w:t>month_year_label</w:t>
      </w:r>
      <w:proofErr w:type="spellEnd"/>
      <w:r>
        <w:rPr>
          <w:color w:val="222222"/>
          <w:sz w:val="21"/>
          <w:szCs w:val="21"/>
        </w:rPr>
        <w:t>, Y-axis = Delinquency Rate % (Trend), Legend = region. Shows whether one region is driving portfolio-wide trends.</w:t>
      </w:r>
    </w:p>
    <w:p w14:paraId="6A908148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Portfolio Concentration by Region — </w:t>
      </w:r>
      <w:r>
        <w:rPr>
          <w:color w:val="222222"/>
          <w:sz w:val="21"/>
          <w:szCs w:val="21"/>
        </w:rPr>
        <w:t>bar chart, Axis = region, Value = Portfolio Share %.</w:t>
      </w:r>
    </w:p>
    <w:p w14:paraId="44BC9C92" w14:textId="77777777" w:rsidR="009A6387" w:rsidRDefault="00000000">
      <w:pPr>
        <w:spacing w:after="140" w:line="270" w:lineRule="auto"/>
      </w:pPr>
      <w:r>
        <w:rPr>
          <w:color w:val="222222"/>
          <w:sz w:val="21"/>
          <w:szCs w:val="21"/>
        </w:rPr>
        <w:t>Note: Power BI's built-in Map/Filled Map visuals need Bing/Azure Maps geocoding and can be unreliable for province-level fictional data offline. A bar chart by region is the more reliable choice here and is what the requirements actually call for (FR4 asks for % concentration, not a literal map).</w:t>
      </w:r>
    </w:p>
    <w:p w14:paraId="12CF58B8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Page 3 — Watch List &amp; Loan Detail</w:t>
      </w:r>
    </w:p>
    <w:p w14:paraId="378B4FDB" w14:textId="77777777" w:rsidR="009A6387" w:rsidRDefault="00000000">
      <w:pPr>
        <w:spacing w:after="140" w:line="270" w:lineRule="auto"/>
      </w:pPr>
      <w:r>
        <w:rPr>
          <w:color w:val="222222"/>
          <w:sz w:val="21"/>
          <w:szCs w:val="21"/>
        </w:rPr>
        <w:t>Purpose: the operational page — the specific loans that need follow-up this month. Satisfies FR7, FR8.</w:t>
      </w:r>
    </w:p>
    <w:p w14:paraId="76834332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Watch List table — </w:t>
      </w:r>
      <w:r>
        <w:rPr>
          <w:color w:val="222222"/>
          <w:sz w:val="21"/>
          <w:szCs w:val="21"/>
        </w:rPr>
        <w:t xml:space="preserve">Table visual filtered to </w:t>
      </w:r>
      <w:proofErr w:type="spellStart"/>
      <w:r>
        <w:rPr>
          <w:color w:val="222222"/>
          <w:sz w:val="21"/>
          <w:szCs w:val="21"/>
        </w:rPr>
        <w:t>watch_list_flag</w:t>
      </w:r>
      <w:proofErr w:type="spellEnd"/>
      <w:r>
        <w:rPr>
          <w:color w:val="222222"/>
          <w:sz w:val="21"/>
          <w:szCs w:val="21"/>
        </w:rPr>
        <w:t xml:space="preserve"> = "Y" and the latest </w:t>
      </w:r>
      <w:proofErr w:type="spellStart"/>
      <w:r>
        <w:rPr>
          <w:color w:val="222222"/>
          <w:sz w:val="21"/>
          <w:szCs w:val="21"/>
        </w:rPr>
        <w:t>snapshot_month</w:t>
      </w:r>
      <w:proofErr w:type="spellEnd"/>
      <w:r>
        <w:rPr>
          <w:color w:val="222222"/>
          <w:sz w:val="21"/>
          <w:szCs w:val="21"/>
        </w:rPr>
        <w:t xml:space="preserve">. Columns: </w:t>
      </w:r>
      <w:proofErr w:type="spellStart"/>
      <w:r>
        <w:rPr>
          <w:color w:val="222222"/>
          <w:sz w:val="21"/>
          <w:szCs w:val="21"/>
        </w:rPr>
        <w:t>loan_id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borrower_name</w:t>
      </w:r>
      <w:proofErr w:type="spellEnd"/>
      <w:r>
        <w:rPr>
          <w:color w:val="222222"/>
          <w:sz w:val="21"/>
          <w:szCs w:val="21"/>
        </w:rPr>
        <w:t xml:space="preserve">, region, sector, </w:t>
      </w:r>
      <w:proofErr w:type="spellStart"/>
      <w:r>
        <w:rPr>
          <w:color w:val="222222"/>
          <w:sz w:val="21"/>
          <w:szCs w:val="21"/>
        </w:rPr>
        <w:t>risk_tier_label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dpd_bucket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outstanding_balance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primary_loan_officer</w:t>
      </w:r>
      <w:proofErr w:type="spellEnd"/>
      <w:r>
        <w:rPr>
          <w:color w:val="222222"/>
          <w:sz w:val="21"/>
          <w:szCs w:val="21"/>
        </w:rPr>
        <w:t xml:space="preserve">. Sort descending by </w:t>
      </w:r>
      <w:proofErr w:type="spellStart"/>
      <w:r>
        <w:rPr>
          <w:color w:val="222222"/>
          <w:sz w:val="21"/>
          <w:szCs w:val="21"/>
        </w:rPr>
        <w:t>outstanding_balance</w:t>
      </w:r>
      <w:proofErr w:type="spellEnd"/>
      <w:r>
        <w:rPr>
          <w:color w:val="222222"/>
          <w:sz w:val="21"/>
          <w:szCs w:val="21"/>
        </w:rPr>
        <w:t xml:space="preserve"> so the largest at-risk exposures surface first.</w:t>
      </w:r>
    </w:p>
    <w:p w14:paraId="24B5CFAC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Conditional formatting — </w:t>
      </w:r>
      <w:r>
        <w:rPr>
          <w:color w:val="222222"/>
          <w:sz w:val="21"/>
          <w:szCs w:val="21"/>
        </w:rPr>
        <w:t xml:space="preserve">background </w:t>
      </w:r>
      <w:proofErr w:type="spellStart"/>
      <w:r>
        <w:rPr>
          <w:color w:val="222222"/>
          <w:sz w:val="21"/>
          <w:szCs w:val="21"/>
        </w:rPr>
        <w:t>color</w:t>
      </w:r>
      <w:proofErr w:type="spellEnd"/>
      <w:r>
        <w:rPr>
          <w:color w:val="222222"/>
          <w:sz w:val="21"/>
          <w:szCs w:val="21"/>
        </w:rPr>
        <w:t xml:space="preserve"> scale on </w:t>
      </w:r>
      <w:proofErr w:type="spellStart"/>
      <w:r>
        <w:rPr>
          <w:color w:val="222222"/>
          <w:sz w:val="21"/>
          <w:szCs w:val="21"/>
        </w:rPr>
        <w:t>dpd_bucket</w:t>
      </w:r>
      <w:proofErr w:type="spellEnd"/>
      <w:r>
        <w:rPr>
          <w:color w:val="222222"/>
          <w:sz w:val="21"/>
          <w:szCs w:val="21"/>
        </w:rPr>
        <w:t xml:space="preserve"> (or an icon set) using the same palette as Page 1's risk tier chart, for visual consistency.</w:t>
      </w:r>
    </w:p>
    <w:p w14:paraId="6DECD2B9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  <w:color w:val="222222"/>
          <w:sz w:val="21"/>
          <w:szCs w:val="21"/>
        </w:rPr>
        <w:lastRenderedPageBreak/>
        <w:t>Drillthrough</w:t>
      </w:r>
      <w:proofErr w:type="spellEnd"/>
      <w:r>
        <w:rPr>
          <w:b/>
          <w:bCs/>
          <w:color w:val="222222"/>
          <w:sz w:val="21"/>
          <w:szCs w:val="21"/>
        </w:rPr>
        <w:t xml:space="preserve"> page — </w:t>
      </w:r>
      <w:r>
        <w:rPr>
          <w:color w:val="222222"/>
          <w:sz w:val="21"/>
          <w:szCs w:val="21"/>
        </w:rPr>
        <w:t xml:space="preserve">add a hidden page named "Loan Detail." Drag </w:t>
      </w:r>
      <w:proofErr w:type="spellStart"/>
      <w:r>
        <w:rPr>
          <w:color w:val="222222"/>
          <w:sz w:val="21"/>
          <w:szCs w:val="21"/>
        </w:rPr>
        <w:t>loan_id</w:t>
      </w:r>
      <w:proofErr w:type="spellEnd"/>
      <w:r>
        <w:rPr>
          <w:color w:val="222222"/>
          <w:sz w:val="21"/>
          <w:szCs w:val="21"/>
        </w:rPr>
        <w:t xml:space="preserve"> into the </w:t>
      </w:r>
      <w:proofErr w:type="spellStart"/>
      <w:r>
        <w:rPr>
          <w:color w:val="222222"/>
          <w:sz w:val="21"/>
          <w:szCs w:val="21"/>
        </w:rPr>
        <w:t>Drillthrough</w:t>
      </w:r>
      <w:proofErr w:type="spellEnd"/>
      <w:r>
        <w:rPr>
          <w:color w:val="222222"/>
          <w:sz w:val="21"/>
          <w:szCs w:val="21"/>
        </w:rPr>
        <w:t xml:space="preserve"> filter well. Add card visuals for the loan's static attributes (</w:t>
      </w:r>
      <w:proofErr w:type="spellStart"/>
      <w:r>
        <w:rPr>
          <w:color w:val="222222"/>
          <w:sz w:val="21"/>
          <w:szCs w:val="21"/>
        </w:rPr>
        <w:t>loan_type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origination_date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original_principal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collateral_type</w:t>
      </w:r>
      <w:proofErr w:type="spellEnd"/>
      <w:r>
        <w:rPr>
          <w:color w:val="222222"/>
          <w:sz w:val="21"/>
          <w:szCs w:val="21"/>
        </w:rPr>
        <w:t xml:space="preserve">/value from </w:t>
      </w:r>
      <w:proofErr w:type="spellStart"/>
      <w:r>
        <w:rPr>
          <w:color w:val="222222"/>
          <w:sz w:val="21"/>
          <w:szCs w:val="21"/>
        </w:rPr>
        <w:t>dim_loan</w:t>
      </w:r>
      <w:proofErr w:type="spellEnd"/>
      <w:r>
        <w:rPr>
          <w:color w:val="222222"/>
          <w:sz w:val="21"/>
          <w:szCs w:val="21"/>
        </w:rPr>
        <w:t xml:space="preserve">) plus a small line chart of that single loan's </w:t>
      </w:r>
      <w:proofErr w:type="spellStart"/>
      <w:r>
        <w:rPr>
          <w:color w:val="222222"/>
          <w:sz w:val="21"/>
          <w:szCs w:val="21"/>
        </w:rPr>
        <w:t>outstanding_balance</w:t>
      </w:r>
      <w:proofErr w:type="spellEnd"/>
      <w:r>
        <w:rPr>
          <w:color w:val="222222"/>
          <w:sz w:val="21"/>
          <w:szCs w:val="21"/>
        </w:rPr>
        <w:t xml:space="preserve"> and </w:t>
      </w:r>
      <w:proofErr w:type="spellStart"/>
      <w:r>
        <w:rPr>
          <w:color w:val="222222"/>
          <w:sz w:val="21"/>
          <w:szCs w:val="21"/>
        </w:rPr>
        <w:t>days_past_due</w:t>
      </w:r>
      <w:proofErr w:type="spellEnd"/>
      <w:r>
        <w:rPr>
          <w:color w:val="222222"/>
          <w:sz w:val="21"/>
          <w:szCs w:val="21"/>
        </w:rPr>
        <w:t xml:space="preserve"> over the 24-month window. Right-clicking any loan row on Page 3 (or any table with </w:t>
      </w:r>
      <w:proofErr w:type="spellStart"/>
      <w:r>
        <w:rPr>
          <w:color w:val="222222"/>
          <w:sz w:val="21"/>
          <w:szCs w:val="21"/>
        </w:rPr>
        <w:t>loan_id</w:t>
      </w:r>
      <w:proofErr w:type="spellEnd"/>
      <w:r>
        <w:rPr>
          <w:color w:val="222222"/>
          <w:sz w:val="21"/>
          <w:szCs w:val="21"/>
        </w:rPr>
        <w:t>) now offers "Drill through → Loan Detail."</w:t>
      </w:r>
    </w:p>
    <w:p w14:paraId="315CE9DC" w14:textId="77777777" w:rsidR="009A6387" w:rsidRDefault="00000000">
      <w:pPr>
        <w:pStyle w:val="Heading2"/>
        <w:spacing w:before="260" w:after="120"/>
      </w:pPr>
      <w:r>
        <w:rPr>
          <w:b/>
          <w:bCs/>
          <w:color w:val="1F3864"/>
          <w:sz w:val="23"/>
          <w:szCs w:val="23"/>
        </w:rPr>
        <w:t>Page 4 — Definitions &amp; Data Sources</w:t>
      </w:r>
    </w:p>
    <w:p w14:paraId="54847111" w14:textId="77777777" w:rsidR="009A6387" w:rsidRDefault="00000000">
      <w:pPr>
        <w:spacing w:after="140" w:line="270" w:lineRule="auto"/>
      </w:pPr>
      <w:r>
        <w:rPr>
          <w:color w:val="222222"/>
          <w:sz w:val="21"/>
          <w:szCs w:val="21"/>
        </w:rPr>
        <w:t>Purpose: satisfies FR11 (a visible data dictionary within the dashboard file itself, not just in a separate Word doc). Add text boxes reproducing the glossary from the Phase 3 Requirements Document:</w:t>
      </w:r>
    </w:p>
    <w:p w14:paraId="77F27256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>Delinquency, Days Past Due (DPD) Bucket, Risk Tier, Concentration Risk, Watch List — same definitions as Phase 3, Section 2.</w:t>
      </w:r>
    </w:p>
    <w:p w14:paraId="2B19534A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>A short note: "Data refreshed monthly. Current data through: " + a card showing [Latest Snapshot Month].</w:t>
      </w:r>
    </w:p>
    <w:p w14:paraId="059D1614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>A note that this is a fictional dataset for portfolio demonstration purposes (keeps the file honest if shared publicly, e.g., on GitHub).</w:t>
      </w:r>
    </w:p>
    <w:p w14:paraId="7664A8B9" w14:textId="77777777" w:rsidR="009A6387" w:rsidRDefault="009A6387">
      <w:pPr>
        <w:spacing w:before="300"/>
      </w:pPr>
    </w:p>
    <w:p w14:paraId="0EA9A889" w14:textId="77777777" w:rsidR="009A6387" w:rsidRDefault="00000000">
      <w:pPr>
        <w:pStyle w:val="Heading1"/>
        <w:pBdr>
          <w:bottom w:val="single" w:sz="6" w:space="4" w:color="1F3864"/>
        </w:pBdr>
        <w:spacing w:before="380" w:after="160"/>
      </w:pPr>
      <w:r>
        <w:rPr>
          <w:b/>
          <w:bCs/>
          <w:color w:val="1F3864"/>
          <w:sz w:val="28"/>
          <w:szCs w:val="28"/>
        </w:rPr>
        <w:t>3. Filters &amp; Slicers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A6387" w14:paraId="0A11761F" w14:textId="77777777">
        <w:tc>
          <w:tcPr>
            <w:tcW w:w="2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355D4" w14:textId="77777777" w:rsidR="009A6387" w:rsidRDefault="00000000">
            <w:r>
              <w:rPr>
                <w:b/>
                <w:bCs/>
                <w:color w:val="FFFFFF"/>
                <w:sz w:val="19"/>
                <w:szCs w:val="19"/>
              </w:rPr>
              <w:t>Slicer</w:t>
            </w:r>
          </w:p>
        </w:tc>
        <w:tc>
          <w:tcPr>
            <w:tcW w:w="3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0797D" w14:textId="77777777" w:rsidR="009A6387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5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17139" w14:textId="77777777" w:rsidR="009A6387" w:rsidRDefault="00000000">
            <w:r>
              <w:rPr>
                <w:b/>
                <w:bCs/>
                <w:color w:val="FFFFFF"/>
                <w:sz w:val="19"/>
                <w:szCs w:val="19"/>
              </w:rPr>
              <w:t>Sync Across Pages?</w:t>
            </w:r>
          </w:p>
        </w:tc>
      </w:tr>
      <w:tr w:rsidR="009A6387" w14:paraId="0914A782" w14:textId="77777777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ED31A4" w14:textId="77777777" w:rsidR="009A6387" w:rsidRDefault="00000000">
            <w:r>
              <w:rPr>
                <w:b/>
                <w:bCs/>
                <w:color w:val="222222"/>
                <w:sz w:val="19"/>
                <w:szCs w:val="19"/>
              </w:rPr>
              <w:t>Region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964B20" w14:textId="77777777" w:rsidR="009A6387" w:rsidRDefault="00000000">
            <w:proofErr w:type="spellStart"/>
            <w:r>
              <w:rPr>
                <w:color w:val="222222"/>
                <w:sz w:val="19"/>
                <w:szCs w:val="19"/>
              </w:rPr>
              <w:t>dim_borrower</w:t>
            </w:r>
            <w:proofErr w:type="spellEnd"/>
            <w:r>
              <w:rPr>
                <w:color w:val="222222"/>
                <w:sz w:val="19"/>
                <w:szCs w:val="19"/>
              </w:rPr>
              <w:t>[region]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CEFB5" w14:textId="77777777" w:rsidR="009A6387" w:rsidRDefault="00000000">
            <w:r>
              <w:rPr>
                <w:color w:val="222222"/>
                <w:sz w:val="19"/>
                <w:szCs w:val="19"/>
              </w:rPr>
              <w:t>Yes — Pages 1, 2, 3</w:t>
            </w:r>
          </w:p>
        </w:tc>
      </w:tr>
      <w:tr w:rsidR="009A6387" w14:paraId="36A5CEE2" w14:textId="77777777">
        <w:tc>
          <w:tcPr>
            <w:tcW w:w="2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AD4E7" w14:textId="77777777" w:rsidR="009A6387" w:rsidRDefault="00000000">
            <w:r>
              <w:rPr>
                <w:b/>
                <w:bCs/>
                <w:color w:val="222222"/>
                <w:sz w:val="19"/>
                <w:szCs w:val="19"/>
              </w:rPr>
              <w:t>Sector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6A857" w14:textId="77777777" w:rsidR="009A6387" w:rsidRDefault="00000000">
            <w:proofErr w:type="spellStart"/>
            <w:r>
              <w:rPr>
                <w:color w:val="222222"/>
                <w:sz w:val="19"/>
                <w:szCs w:val="19"/>
              </w:rPr>
              <w:t>dim_borrower</w:t>
            </w:r>
            <w:proofErr w:type="spellEnd"/>
            <w:r>
              <w:rPr>
                <w:color w:val="222222"/>
                <w:sz w:val="19"/>
                <w:szCs w:val="19"/>
              </w:rPr>
              <w:t>[sector]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4E65A" w14:textId="77777777" w:rsidR="009A6387" w:rsidRDefault="00000000">
            <w:r>
              <w:rPr>
                <w:color w:val="222222"/>
                <w:sz w:val="19"/>
                <w:szCs w:val="19"/>
              </w:rPr>
              <w:t>Yes — Pages 1, 2, 3</w:t>
            </w:r>
          </w:p>
        </w:tc>
      </w:tr>
      <w:tr w:rsidR="009A6387" w14:paraId="2EC3DFE8" w14:textId="77777777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FE72D2" w14:textId="77777777" w:rsidR="009A6387" w:rsidRDefault="00000000">
            <w:r>
              <w:rPr>
                <w:b/>
                <w:bCs/>
                <w:color w:val="222222"/>
                <w:sz w:val="19"/>
                <w:szCs w:val="19"/>
              </w:rPr>
              <w:t>Risk Tier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79709" w14:textId="77777777" w:rsidR="009A6387" w:rsidRDefault="00000000">
            <w:proofErr w:type="spellStart"/>
            <w:r>
              <w:rPr>
                <w:color w:val="222222"/>
                <w:sz w:val="19"/>
                <w:szCs w:val="19"/>
              </w:rPr>
              <w:t>dim_risk_tier</w:t>
            </w:r>
            <w:proofErr w:type="spellEnd"/>
            <w:r>
              <w:rPr>
                <w:color w:val="222222"/>
                <w:sz w:val="19"/>
                <w:szCs w:val="19"/>
              </w:rPr>
              <w:t>[</w:t>
            </w:r>
            <w:proofErr w:type="spellStart"/>
            <w:r>
              <w:rPr>
                <w:color w:val="222222"/>
                <w:sz w:val="19"/>
                <w:szCs w:val="19"/>
              </w:rPr>
              <w:t>risk_tier_label</w:t>
            </w:r>
            <w:proofErr w:type="spellEnd"/>
            <w:r>
              <w:rPr>
                <w:color w:val="222222"/>
                <w:sz w:val="19"/>
                <w:szCs w:val="19"/>
              </w:rPr>
              <w:t>]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A2FAE" w14:textId="77777777" w:rsidR="009A6387" w:rsidRDefault="00000000">
            <w:r>
              <w:rPr>
                <w:color w:val="222222"/>
                <w:sz w:val="19"/>
                <w:szCs w:val="19"/>
              </w:rPr>
              <w:t>Yes — Pages 1, 2, 3</w:t>
            </w:r>
          </w:p>
        </w:tc>
      </w:tr>
      <w:tr w:rsidR="009A6387" w14:paraId="4EF4AB03" w14:textId="77777777">
        <w:tc>
          <w:tcPr>
            <w:tcW w:w="2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19BE0" w14:textId="77777777" w:rsidR="009A6387" w:rsidRDefault="00000000">
            <w:r>
              <w:rPr>
                <w:b/>
                <w:bCs/>
                <w:color w:val="222222"/>
                <w:sz w:val="19"/>
                <w:szCs w:val="19"/>
              </w:rPr>
              <w:t>Snapshot Month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5BCFD" w14:textId="77777777" w:rsidR="009A6387" w:rsidRDefault="00000000">
            <w:proofErr w:type="spellStart"/>
            <w:r>
              <w:rPr>
                <w:color w:val="222222"/>
                <w:sz w:val="19"/>
                <w:szCs w:val="19"/>
              </w:rPr>
              <w:t>dim_calendar</w:t>
            </w:r>
            <w:proofErr w:type="spellEnd"/>
            <w:r>
              <w:rPr>
                <w:color w:val="222222"/>
                <w:sz w:val="19"/>
                <w:szCs w:val="19"/>
              </w:rPr>
              <w:t>[</w:t>
            </w:r>
            <w:proofErr w:type="spellStart"/>
            <w:r>
              <w:rPr>
                <w:color w:val="222222"/>
                <w:sz w:val="19"/>
                <w:szCs w:val="19"/>
              </w:rPr>
              <w:t>month_year_label</w:t>
            </w:r>
            <w:proofErr w:type="spellEnd"/>
            <w:r>
              <w:rPr>
                <w:color w:val="222222"/>
                <w:sz w:val="19"/>
                <w:szCs w:val="19"/>
              </w:rPr>
              <w:t>]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DFFCDD" w14:textId="77777777" w:rsidR="009A6387" w:rsidRDefault="00000000">
            <w:r>
              <w:rPr>
                <w:color w:val="222222"/>
                <w:sz w:val="19"/>
                <w:szCs w:val="19"/>
              </w:rPr>
              <w:t>Pages 1 &amp; 2 only — Page 3's Watch List is deliberately always "current," not historically filterable, matching how a watch list is used operationally.</w:t>
            </w:r>
          </w:p>
        </w:tc>
      </w:tr>
    </w:tbl>
    <w:p w14:paraId="1B516E54" w14:textId="77777777" w:rsidR="009A6387" w:rsidRDefault="00000000">
      <w:pPr>
        <w:spacing w:after="140" w:line="270" w:lineRule="auto"/>
      </w:pPr>
      <w:r>
        <w:rPr>
          <w:color w:val="222222"/>
          <w:sz w:val="21"/>
          <w:szCs w:val="21"/>
        </w:rPr>
        <w:t>Set up sync via View → Sync Slicers. For the Region/Sector/Risk Tier slicers, tick both "Sync" and "Visible" on Pages 1-3; for Snapshot Month, tick "Sync" on Pages 1-2 only, leave Page 3 unticked.</w:t>
      </w:r>
    </w:p>
    <w:p w14:paraId="1E0256FF" w14:textId="77777777" w:rsidR="009A6387" w:rsidRDefault="009A6387">
      <w:pPr>
        <w:spacing w:before="300"/>
      </w:pPr>
    </w:p>
    <w:p w14:paraId="5AD03D3E" w14:textId="77777777" w:rsidR="009A6387" w:rsidRDefault="00000000">
      <w:pPr>
        <w:pStyle w:val="Heading1"/>
        <w:pBdr>
          <w:bottom w:val="single" w:sz="6" w:space="4" w:color="1F3864"/>
        </w:pBdr>
        <w:spacing w:before="380" w:after="160"/>
      </w:pPr>
      <w:r>
        <w:rPr>
          <w:b/>
          <w:bCs/>
          <w:color w:val="1F3864"/>
          <w:sz w:val="28"/>
          <w:szCs w:val="28"/>
        </w:rPr>
        <w:t xml:space="preserve">4. Formatting &amp; </w:t>
      </w:r>
      <w:proofErr w:type="spellStart"/>
      <w:r>
        <w:rPr>
          <w:b/>
          <w:bCs/>
          <w:color w:val="1F3864"/>
          <w:sz w:val="28"/>
          <w:szCs w:val="28"/>
        </w:rPr>
        <w:t>Color</w:t>
      </w:r>
      <w:proofErr w:type="spellEnd"/>
    </w:p>
    <w:p w14:paraId="01CA4DBE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>Risk tier palette (</w:t>
      </w:r>
      <w:proofErr w:type="spellStart"/>
      <w:r>
        <w:rPr>
          <w:b/>
          <w:bCs/>
          <w:color w:val="222222"/>
          <w:sz w:val="21"/>
          <w:szCs w:val="21"/>
        </w:rPr>
        <w:t>colorblind</w:t>
      </w:r>
      <w:proofErr w:type="spellEnd"/>
      <w:r>
        <w:rPr>
          <w:b/>
          <w:bCs/>
          <w:color w:val="222222"/>
          <w:sz w:val="21"/>
          <w:szCs w:val="21"/>
        </w:rPr>
        <w:t xml:space="preserve">-safe, NFR2) — </w:t>
      </w:r>
      <w:r>
        <w:rPr>
          <w:color w:val="222222"/>
          <w:sz w:val="21"/>
          <w:szCs w:val="21"/>
        </w:rPr>
        <w:t xml:space="preserve">avoid a plain red/green scale, which is indistinguishable to the most common forms of </w:t>
      </w:r>
      <w:proofErr w:type="spellStart"/>
      <w:r>
        <w:rPr>
          <w:color w:val="222222"/>
          <w:sz w:val="21"/>
          <w:szCs w:val="21"/>
        </w:rPr>
        <w:t>color</w:t>
      </w:r>
      <w:proofErr w:type="spellEnd"/>
      <w:r>
        <w:rPr>
          <w:color w:val="222222"/>
          <w:sz w:val="21"/>
          <w:szCs w:val="21"/>
        </w:rPr>
        <w:t xml:space="preserve"> blindness. Use this 4-color ramp (</w:t>
      </w:r>
      <w:proofErr w:type="spellStart"/>
      <w:r>
        <w:rPr>
          <w:color w:val="222222"/>
          <w:sz w:val="21"/>
          <w:szCs w:val="21"/>
        </w:rPr>
        <w:t>ColorBrewer</w:t>
      </w:r>
      <w:proofErr w:type="spellEnd"/>
      <w:r>
        <w:rPr>
          <w:color w:val="222222"/>
          <w:sz w:val="21"/>
          <w:szCs w:val="21"/>
        </w:rPr>
        <w:t>-style, ranges from blue through orange to red so severity reads through lightness and hue together, not red/green alone):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450"/>
      </w:tblGrid>
      <w:tr w:rsidR="009A6387" w14:paraId="32548FC4" w14:textId="77777777">
        <w:tc>
          <w:tcPr>
            <w:tcW w:w="2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1519CF" w14:textId="77777777" w:rsidR="009A6387" w:rsidRDefault="00000000">
            <w:r>
              <w:rPr>
                <w:b/>
                <w:bCs/>
                <w:color w:val="FFFFFF"/>
                <w:sz w:val="19"/>
                <w:szCs w:val="19"/>
              </w:rPr>
              <w:t>Risk Tier</w:t>
            </w:r>
          </w:p>
        </w:tc>
        <w:tc>
          <w:tcPr>
            <w:tcW w:w="3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C0559" w14:textId="77777777" w:rsidR="009A6387" w:rsidRDefault="00000000">
            <w:r>
              <w:rPr>
                <w:b/>
                <w:bCs/>
                <w:color w:val="FFFFFF"/>
                <w:sz w:val="19"/>
                <w:szCs w:val="19"/>
              </w:rPr>
              <w:t>Hex Code</w:t>
            </w:r>
          </w:p>
        </w:tc>
        <w:tc>
          <w:tcPr>
            <w:tcW w:w="345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60E70" w14:textId="77777777" w:rsidR="009A6387" w:rsidRDefault="00000000">
            <w:r>
              <w:rPr>
                <w:b/>
                <w:bCs/>
                <w:color w:val="FFFFFF"/>
                <w:sz w:val="19"/>
                <w:szCs w:val="19"/>
              </w:rPr>
              <w:t>Swatch Meaning</w:t>
            </w:r>
          </w:p>
        </w:tc>
      </w:tr>
      <w:tr w:rsidR="009A6387" w14:paraId="34567D0D" w14:textId="77777777"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C2B11" w14:textId="77777777" w:rsidR="009A6387" w:rsidRDefault="00000000">
            <w:r>
              <w:rPr>
                <w:color w:val="222222"/>
                <w:sz w:val="19"/>
                <w:szCs w:val="19"/>
              </w:rPr>
              <w:t>Tier 1 - Low Risk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D1559" w14:textId="4CF5D4AF" w:rsidR="009A6387" w:rsidRDefault="00C321A2">
            <w:r w:rsidRPr="00C321A2">
              <w:rPr>
                <w:color w:val="222222"/>
                <w:sz w:val="19"/>
                <w:szCs w:val="19"/>
              </w:rPr>
              <w:t>#</w:t>
            </w:r>
            <w:r w:rsidR="00373DB3" w:rsidRPr="00373DB3">
              <w:t xml:space="preserve"> </w:t>
            </w:r>
            <w:r w:rsidR="00373DB3" w:rsidRPr="00373DB3">
              <w:rPr>
                <w:color w:val="222222"/>
                <w:sz w:val="19"/>
                <w:szCs w:val="19"/>
              </w:rPr>
              <w:t>2C7BB6</w:t>
            </w:r>
            <w:r w:rsidR="00373DB3" w:rsidRPr="00373DB3">
              <w:rPr>
                <w:color w:val="222222"/>
                <w:sz w:val="19"/>
                <w:szCs w:val="19"/>
              </w:rPr>
              <w:t xml:space="preserve"> </w:t>
            </w:r>
            <w:r w:rsidR="00000000">
              <w:rPr>
                <w:color w:val="222222"/>
                <w:sz w:val="19"/>
                <w:szCs w:val="19"/>
              </w:rPr>
              <w:t>(</w:t>
            </w:r>
            <w:r w:rsidR="00373DB3">
              <w:rPr>
                <w:color w:val="222222"/>
                <w:sz w:val="19"/>
                <w:szCs w:val="19"/>
              </w:rPr>
              <w:t>blue</w:t>
            </w:r>
            <w:r w:rsidR="00000000"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45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8E001" w14:textId="77777777" w:rsidR="009A6387" w:rsidRDefault="00000000">
            <w:r>
              <w:rPr>
                <w:color w:val="222222"/>
                <w:sz w:val="19"/>
                <w:szCs w:val="19"/>
              </w:rPr>
              <w:t>Healthy</w:t>
            </w:r>
          </w:p>
        </w:tc>
      </w:tr>
      <w:tr w:rsidR="009A6387" w14:paraId="13F769F5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082AC5" w14:textId="77777777" w:rsidR="009A6387" w:rsidRDefault="00000000">
            <w:r>
              <w:rPr>
                <w:color w:val="222222"/>
                <w:sz w:val="19"/>
                <w:szCs w:val="19"/>
              </w:rPr>
              <w:t>Tier 2 - Moderate Risk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DB99B" w14:textId="3C59C796" w:rsidR="009A6387" w:rsidRDefault="00000000">
            <w:r>
              <w:rPr>
                <w:color w:val="222222"/>
                <w:sz w:val="19"/>
                <w:szCs w:val="19"/>
              </w:rPr>
              <w:t>#</w:t>
            </w:r>
            <w:r w:rsidR="00CD3691" w:rsidRPr="00CD3691">
              <w:rPr>
                <w:color w:val="222222"/>
                <w:sz w:val="19"/>
                <w:szCs w:val="19"/>
              </w:rPr>
              <w:t>ABD9E9</w:t>
            </w:r>
            <w:r w:rsidR="00CD3691" w:rsidRPr="00CD3691"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(light blue)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65AD6" w14:textId="77777777" w:rsidR="009A6387" w:rsidRDefault="00000000">
            <w:r>
              <w:rPr>
                <w:color w:val="222222"/>
                <w:sz w:val="19"/>
                <w:szCs w:val="19"/>
              </w:rPr>
              <w:t>Acceptable</w:t>
            </w:r>
          </w:p>
        </w:tc>
      </w:tr>
      <w:tr w:rsidR="009A6387" w14:paraId="2C1F431C" w14:textId="77777777"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8A7E9" w14:textId="77777777" w:rsidR="009A6387" w:rsidRDefault="00000000">
            <w:r>
              <w:rPr>
                <w:color w:val="222222"/>
                <w:sz w:val="19"/>
                <w:szCs w:val="19"/>
              </w:rPr>
              <w:t>Tier 3 - Elevated Risk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3E4933" w14:textId="77777777" w:rsidR="009A6387" w:rsidRDefault="00000000">
            <w:r>
              <w:rPr>
                <w:color w:val="222222"/>
                <w:sz w:val="19"/>
                <w:szCs w:val="19"/>
              </w:rPr>
              <w:t>#FDAE61 (orange)</w:t>
            </w:r>
          </w:p>
        </w:tc>
        <w:tc>
          <w:tcPr>
            <w:tcW w:w="345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ADBCE" w14:textId="77777777" w:rsidR="009A6387" w:rsidRDefault="00000000">
            <w:r>
              <w:rPr>
                <w:color w:val="222222"/>
                <w:sz w:val="19"/>
                <w:szCs w:val="19"/>
              </w:rPr>
              <w:t>Needs attention</w:t>
            </w:r>
          </w:p>
        </w:tc>
      </w:tr>
      <w:tr w:rsidR="009A6387" w14:paraId="20054AAE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E4869" w14:textId="77777777" w:rsidR="009A6387" w:rsidRDefault="00000000">
            <w:r>
              <w:rPr>
                <w:color w:val="222222"/>
                <w:sz w:val="19"/>
                <w:szCs w:val="19"/>
              </w:rPr>
              <w:t>Tier 4 - High Risk / Watch List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0CC9AD" w14:textId="77777777" w:rsidR="009A6387" w:rsidRDefault="00000000">
            <w:r>
              <w:rPr>
                <w:color w:val="222222"/>
                <w:sz w:val="19"/>
                <w:szCs w:val="19"/>
              </w:rPr>
              <w:t>#D7191C (red)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A1AA0B" w14:textId="77777777" w:rsidR="009A6387" w:rsidRDefault="00000000">
            <w:r>
              <w:rPr>
                <w:color w:val="222222"/>
                <w:sz w:val="19"/>
                <w:szCs w:val="19"/>
              </w:rPr>
              <w:t>Priority follow-up</w:t>
            </w:r>
          </w:p>
        </w:tc>
      </w:tr>
    </w:tbl>
    <w:p w14:paraId="060EB128" w14:textId="77777777" w:rsidR="009A6387" w:rsidRDefault="009A6387">
      <w:pPr>
        <w:spacing w:before="200"/>
      </w:pPr>
    </w:p>
    <w:p w14:paraId="7CAF0AFE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Apply consistently — </w:t>
      </w:r>
      <w:r>
        <w:rPr>
          <w:color w:val="222222"/>
          <w:sz w:val="21"/>
          <w:szCs w:val="21"/>
        </w:rPr>
        <w:t xml:space="preserve">use these exact 4 </w:t>
      </w:r>
      <w:proofErr w:type="spellStart"/>
      <w:r>
        <w:rPr>
          <w:color w:val="222222"/>
          <w:sz w:val="21"/>
          <w:szCs w:val="21"/>
        </w:rPr>
        <w:t>colors</w:t>
      </w:r>
      <w:proofErr w:type="spellEnd"/>
      <w:r>
        <w:rPr>
          <w:color w:val="222222"/>
          <w:sz w:val="21"/>
          <w:szCs w:val="21"/>
        </w:rPr>
        <w:t xml:space="preserve"> for the Page 1 risk-tier chart legend, and for DPD-bucket conditional formatting on Page 3 (map Current/1-29 to the blue end, 90+ to red).</w:t>
      </w:r>
    </w:p>
    <w:p w14:paraId="6245ACB4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KPI cards — </w:t>
      </w:r>
      <w:r>
        <w:rPr>
          <w:color w:val="222222"/>
          <w:sz w:val="21"/>
          <w:szCs w:val="21"/>
        </w:rPr>
        <w:t xml:space="preserve">use conditional formatting or a callout </w:t>
      </w:r>
      <w:proofErr w:type="spellStart"/>
      <w:r>
        <w:rPr>
          <w:color w:val="222222"/>
          <w:sz w:val="21"/>
          <w:szCs w:val="21"/>
        </w:rPr>
        <w:t>color</w:t>
      </w:r>
      <w:proofErr w:type="spellEnd"/>
      <w:r>
        <w:rPr>
          <w:color w:val="222222"/>
          <w:sz w:val="21"/>
          <w:szCs w:val="21"/>
        </w:rPr>
        <w:t xml:space="preserve"> on Delinquency Rate % and Watch List Balance cards only if they exceed a threshold you decide (e.g., red text if Delinquency Rate % (Current) &gt; 10%) — optional, but a nice touch that shows the dashboard actively flags problems rather than just displaying numbers.</w:t>
      </w:r>
    </w:p>
    <w:p w14:paraId="25FF6E1A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  <w:sz w:val="21"/>
          <w:szCs w:val="21"/>
        </w:rPr>
        <w:t xml:space="preserve">Titles &amp; consistency — </w:t>
      </w:r>
      <w:r>
        <w:rPr>
          <w:color w:val="222222"/>
          <w:sz w:val="21"/>
          <w:szCs w:val="21"/>
        </w:rPr>
        <w:t>every visual gets a plain-language title ("Delinquency Rate — Trailing 24 Months", not the raw measure name); keep fonts consistent (Segoe UI, Power BI's default, is fine).</w:t>
      </w:r>
    </w:p>
    <w:p w14:paraId="532FA6D3" w14:textId="77777777" w:rsidR="009A6387" w:rsidRDefault="009A6387">
      <w:pPr>
        <w:spacing w:before="300"/>
      </w:pPr>
    </w:p>
    <w:p w14:paraId="661FBC26" w14:textId="77777777" w:rsidR="009A6387" w:rsidRDefault="00000000">
      <w:pPr>
        <w:pStyle w:val="Heading1"/>
        <w:pBdr>
          <w:bottom w:val="single" w:sz="6" w:space="4" w:color="1F3864"/>
        </w:pBdr>
        <w:spacing w:before="380" w:after="160"/>
      </w:pPr>
      <w:r>
        <w:rPr>
          <w:b/>
          <w:bCs/>
          <w:color w:val="1F3864"/>
          <w:sz w:val="28"/>
          <w:szCs w:val="28"/>
        </w:rPr>
        <w:t>5. Final QA Checklist</w:t>
      </w:r>
    </w:p>
    <w:p w14:paraId="6A81F34A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>Total Outstanding Balance on Page 1 matches the sum you validated in Phase 4 (~$219M as of the last snapshot month) — if not, check the Latest Snapshot Month measure and relationship directions in Model view.</w:t>
      </w:r>
    </w:p>
    <w:p w14:paraId="165F56E5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>Clear all slicers and confirm every visual still renders (no blank charts, no #ERROR).</w:t>
      </w:r>
    </w:p>
    <w:p w14:paraId="62955014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>Apply Region = Saskatchewan and confirm every visual updates together (tests slicer sync).</w:t>
      </w:r>
    </w:p>
    <w:p w14:paraId="152DF4A6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 xml:space="preserve">Right-click a loan on the Page 3 Watch List table and confirm </w:t>
      </w:r>
      <w:proofErr w:type="spellStart"/>
      <w:r>
        <w:rPr>
          <w:color w:val="222222"/>
          <w:sz w:val="21"/>
          <w:szCs w:val="21"/>
        </w:rPr>
        <w:t>Drillthrough</w:t>
      </w:r>
      <w:proofErr w:type="spellEnd"/>
      <w:r>
        <w:rPr>
          <w:color w:val="222222"/>
          <w:sz w:val="21"/>
          <w:szCs w:val="21"/>
        </w:rPr>
        <w:t xml:space="preserve"> → Loan Detail works and shows that loan's history.</w:t>
      </w:r>
    </w:p>
    <w:p w14:paraId="1F0F2E91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>Check risk tier and DPD bucket sort order render Tier 1→4 and Current→90+, not alphabetically.</w:t>
      </w:r>
    </w:p>
    <w:p w14:paraId="247A353D" w14:textId="77777777" w:rsidR="009A6387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222222"/>
          <w:sz w:val="21"/>
          <w:szCs w:val="21"/>
        </w:rPr>
        <w:t xml:space="preserve">Save as </w:t>
      </w:r>
      <w:proofErr w:type="spellStart"/>
      <w:r>
        <w:rPr>
          <w:color w:val="222222"/>
          <w:sz w:val="21"/>
          <w:szCs w:val="21"/>
        </w:rPr>
        <w:t>Loan_Portfolio_Risk_Dashboard.pbix</w:t>
      </w:r>
      <w:proofErr w:type="spellEnd"/>
      <w:r>
        <w:rPr>
          <w:color w:val="222222"/>
          <w:sz w:val="21"/>
          <w:szCs w:val="21"/>
        </w:rPr>
        <w:t>.</w:t>
      </w:r>
    </w:p>
    <w:sectPr w:rsidR="009A638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AA859" w14:textId="77777777" w:rsidR="00894E37" w:rsidRDefault="00894E37">
      <w:r>
        <w:separator/>
      </w:r>
    </w:p>
  </w:endnote>
  <w:endnote w:type="continuationSeparator" w:id="0">
    <w:p w14:paraId="1AA52989" w14:textId="77777777" w:rsidR="00894E37" w:rsidRDefault="0089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6770" w14:textId="77777777" w:rsidR="009A6387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955A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9955A1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CCC2" w14:textId="77777777" w:rsidR="00894E37" w:rsidRDefault="00894E37">
      <w:r>
        <w:separator/>
      </w:r>
    </w:p>
  </w:footnote>
  <w:footnote w:type="continuationSeparator" w:id="0">
    <w:p w14:paraId="638E0BC4" w14:textId="77777777" w:rsidR="00894E37" w:rsidRDefault="00894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6800C" w14:textId="77777777" w:rsidR="009A6387" w:rsidRDefault="00000000">
    <w:pPr>
      <w:pBdr>
        <w:bottom w:val="single" w:sz="4" w:space="4" w:color="AAAAAA"/>
      </w:pBdr>
      <w:tabs>
        <w:tab w:val="right" w:pos="9026"/>
      </w:tabs>
    </w:pPr>
    <w:r>
      <w:rPr>
        <w:color w:val="666666"/>
        <w:sz w:val="16"/>
        <w:szCs w:val="16"/>
      </w:rPr>
      <w:t>Harvest Trust Financial — Dashboard Build Guide</w:t>
    </w:r>
    <w:r>
      <w:rPr>
        <w:color w:val="666666"/>
        <w:sz w:val="16"/>
        <w:szCs w:val="16"/>
      </w:rPr>
      <w:tab/>
      <w:t>Loan Portfolio Risk Reporting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4B57"/>
    <w:multiLevelType w:val="hybridMultilevel"/>
    <w:tmpl w:val="7996D85C"/>
    <w:lvl w:ilvl="0" w:tplc="C5525B50">
      <w:start w:val="1"/>
      <w:numFmt w:val="bullet"/>
      <w:lvlText w:val="●"/>
      <w:lvlJc w:val="left"/>
      <w:pPr>
        <w:ind w:left="720" w:hanging="360"/>
      </w:pPr>
    </w:lvl>
    <w:lvl w:ilvl="1" w:tplc="A0567F62">
      <w:start w:val="1"/>
      <w:numFmt w:val="bullet"/>
      <w:lvlText w:val="○"/>
      <w:lvlJc w:val="left"/>
      <w:pPr>
        <w:ind w:left="1440" w:hanging="360"/>
      </w:pPr>
    </w:lvl>
    <w:lvl w:ilvl="2" w:tplc="435EDC68">
      <w:start w:val="1"/>
      <w:numFmt w:val="bullet"/>
      <w:lvlText w:val="■"/>
      <w:lvlJc w:val="left"/>
      <w:pPr>
        <w:ind w:left="2160" w:hanging="360"/>
      </w:pPr>
    </w:lvl>
    <w:lvl w:ilvl="3" w:tplc="275E9B8C">
      <w:start w:val="1"/>
      <w:numFmt w:val="bullet"/>
      <w:lvlText w:val="●"/>
      <w:lvlJc w:val="left"/>
      <w:pPr>
        <w:ind w:left="2880" w:hanging="360"/>
      </w:pPr>
    </w:lvl>
    <w:lvl w:ilvl="4" w:tplc="DD686464">
      <w:start w:val="1"/>
      <w:numFmt w:val="bullet"/>
      <w:lvlText w:val="○"/>
      <w:lvlJc w:val="left"/>
      <w:pPr>
        <w:ind w:left="3600" w:hanging="360"/>
      </w:pPr>
    </w:lvl>
    <w:lvl w:ilvl="5" w:tplc="EBA232CE">
      <w:start w:val="1"/>
      <w:numFmt w:val="bullet"/>
      <w:lvlText w:val="■"/>
      <w:lvlJc w:val="left"/>
      <w:pPr>
        <w:ind w:left="4320" w:hanging="360"/>
      </w:pPr>
    </w:lvl>
    <w:lvl w:ilvl="6" w:tplc="815ABE1E">
      <w:start w:val="1"/>
      <w:numFmt w:val="bullet"/>
      <w:lvlText w:val="●"/>
      <w:lvlJc w:val="left"/>
      <w:pPr>
        <w:ind w:left="5040" w:hanging="360"/>
      </w:pPr>
    </w:lvl>
    <w:lvl w:ilvl="7" w:tplc="25385230">
      <w:start w:val="1"/>
      <w:numFmt w:val="bullet"/>
      <w:lvlText w:val="●"/>
      <w:lvlJc w:val="left"/>
      <w:pPr>
        <w:ind w:left="5760" w:hanging="360"/>
      </w:pPr>
    </w:lvl>
    <w:lvl w:ilvl="8" w:tplc="6292D7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24F86"/>
    <w:multiLevelType w:val="hybridMultilevel"/>
    <w:tmpl w:val="FEFA8AC4"/>
    <w:lvl w:ilvl="0" w:tplc="077092A6">
      <w:start w:val="1"/>
      <w:numFmt w:val="bullet"/>
      <w:lvlText w:val="•"/>
      <w:lvlJc w:val="left"/>
      <w:pPr>
        <w:ind w:left="460" w:hanging="260"/>
      </w:pPr>
    </w:lvl>
    <w:lvl w:ilvl="1" w:tplc="770EEAD6">
      <w:numFmt w:val="decimal"/>
      <w:lvlText w:val=""/>
      <w:lvlJc w:val="left"/>
    </w:lvl>
    <w:lvl w:ilvl="2" w:tplc="B720EF22">
      <w:numFmt w:val="decimal"/>
      <w:lvlText w:val=""/>
      <w:lvlJc w:val="left"/>
    </w:lvl>
    <w:lvl w:ilvl="3" w:tplc="99AA7944">
      <w:numFmt w:val="decimal"/>
      <w:lvlText w:val=""/>
      <w:lvlJc w:val="left"/>
    </w:lvl>
    <w:lvl w:ilvl="4" w:tplc="C8A8663C">
      <w:numFmt w:val="decimal"/>
      <w:lvlText w:val=""/>
      <w:lvlJc w:val="left"/>
    </w:lvl>
    <w:lvl w:ilvl="5" w:tplc="869C9064">
      <w:numFmt w:val="decimal"/>
      <w:lvlText w:val=""/>
      <w:lvlJc w:val="left"/>
    </w:lvl>
    <w:lvl w:ilvl="6" w:tplc="DB420598">
      <w:numFmt w:val="decimal"/>
      <w:lvlText w:val=""/>
      <w:lvlJc w:val="left"/>
    </w:lvl>
    <w:lvl w:ilvl="7" w:tplc="D5361F9C">
      <w:numFmt w:val="decimal"/>
      <w:lvlText w:val=""/>
      <w:lvlJc w:val="left"/>
    </w:lvl>
    <w:lvl w:ilvl="8" w:tplc="FFC6FF0A">
      <w:numFmt w:val="decimal"/>
      <w:lvlText w:val=""/>
      <w:lvlJc w:val="left"/>
    </w:lvl>
  </w:abstractNum>
  <w:num w:numId="1" w16cid:durableId="1293638486">
    <w:abstractNumId w:val="0"/>
    <w:lvlOverride w:ilvl="0">
      <w:startOverride w:val="1"/>
    </w:lvlOverride>
  </w:num>
  <w:num w:numId="2" w16cid:durableId="12836548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387"/>
    <w:rsid w:val="001C6CCF"/>
    <w:rsid w:val="00373DB3"/>
    <w:rsid w:val="00581808"/>
    <w:rsid w:val="00647695"/>
    <w:rsid w:val="00894E37"/>
    <w:rsid w:val="009955A1"/>
    <w:rsid w:val="009A6387"/>
    <w:rsid w:val="00C321A2"/>
    <w:rsid w:val="00CD3691"/>
    <w:rsid w:val="00E31F96"/>
    <w:rsid w:val="00EC1915"/>
    <w:rsid w:val="00F9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3D8F"/>
  <w15:docId w15:val="{E700913E-3653-464B-8EE5-ADC4F4F6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6</Pages>
  <Words>1803</Words>
  <Characters>10281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Dwij Siyal</cp:lastModifiedBy>
  <cp:revision>4</cp:revision>
  <dcterms:created xsi:type="dcterms:W3CDTF">2026-08-07T20:17:00Z</dcterms:created>
  <dcterms:modified xsi:type="dcterms:W3CDTF">2026-09-06T03:44:00Z</dcterms:modified>
</cp:coreProperties>
</file>