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>
          <w:rFonts w:eastAsia="LMRoman12-Bold-Identity-H" w:cs="LMRoman12-Bold-Identity-H" w:ascii="LMRoman12-Bold-Identity-H" w:hAnsi="LMRoman12-Bold-Identity-H"/>
          <w:b/>
          <w:bCs/>
        </w:rPr>
        <w:t xml:space="preserve">2 </w:t>
      </w:r>
      <w:r>
        <w:rPr/>
        <w:t>图像去畸变</w:t>
      </w:r>
      <w:r>
        <w:rPr>
          <w:rFonts w:eastAsia="LMRoman12-Bold-Identity-H" w:cs="LMRoman12-Bold-Identity-H" w:ascii="LMRoman12-Bold-Identity-H" w:hAnsi="LMRoman12-Bold-Identity-H"/>
          <w:b/>
          <w:bCs/>
        </w:rPr>
        <w:t xml:space="preserve">(3 </w:t>
      </w:r>
      <w:r>
        <w:rPr/>
        <w:t>分，约</w:t>
      </w:r>
      <w:r>
        <w:rPr>
          <w:rFonts w:eastAsia="LMRoman12-Bold-Identity-H" w:cs="LMRoman12-Bold-Identity-H" w:ascii="LMRoman12-Bold-Identity-H" w:hAnsi="LMRoman12-Bold-Identity-H"/>
          <w:b/>
          <w:bCs/>
        </w:rPr>
        <w:t xml:space="preserve">1 </w:t>
      </w:r>
      <w:r>
        <w:rPr/>
        <w:t>小时</w:t>
      </w:r>
      <w:r>
        <w:rPr>
          <w:rFonts w:eastAsia="LMRoman12-Bold-Identity-H" w:cs="LMRoman12-Bold-Identity-H" w:ascii="LMRoman12-Bold-Identity-H" w:hAnsi="LMRoman12-Bold-Identity-H"/>
          <w:b/>
          <w:bCs/>
        </w:rPr>
        <w:t>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5623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40271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>
          <w:rFonts w:eastAsia="LMRoman12-Bold-Identity-H" w:cs="LMRoman12-Bold-Identity-H" w:ascii="LMRoman12-Bold-Identity-H" w:hAnsi="LMRoman12-Bold-Identity-H"/>
          <w:b/>
          <w:bCs/>
        </w:rPr>
        <w:t xml:space="preserve">3 </w:t>
      </w:r>
      <w:r>
        <w:rPr/>
        <w:t>双目视差的使用</w:t>
      </w:r>
      <w:r>
        <w:rPr>
          <w:rFonts w:eastAsia="LMRoman12-Bold-Identity-H" w:cs="LMRoman12-Bold-Identity-H" w:ascii="LMRoman12-Bold-Identity-H" w:hAnsi="LMRoman12-Bold-Identity-H"/>
          <w:b/>
          <w:bCs/>
        </w:rPr>
        <w:t xml:space="preserve">(2 </w:t>
      </w:r>
      <w:r>
        <w:rPr/>
        <w:t>分，约</w:t>
      </w:r>
      <w:r>
        <w:rPr>
          <w:rFonts w:eastAsia="LMRoman12-Bold-Identity-H" w:cs="LMRoman12-Bold-Identity-H" w:ascii="LMRoman12-Bold-Identity-H" w:hAnsi="LMRoman12-Bold-Identity-H"/>
          <w:b/>
          <w:bCs/>
        </w:rPr>
        <w:t xml:space="preserve">1 </w:t>
      </w:r>
      <w:r>
        <w:rPr/>
        <w:t>小时</w:t>
      </w:r>
      <w:r>
        <w:rPr>
          <w:rFonts w:eastAsia="LMRoman12-Bold-Identity-H" w:cs="LMRoman12-Bold-Identity-H" w:ascii="LMRoman12-Bold-Identity-H" w:hAnsi="LMRoman12-Bold-Identity-H"/>
          <w:b/>
          <w:bCs/>
        </w:rPr>
        <w:t>)</w:t>
      </w:r>
    </w:p>
    <w:p>
      <w:pPr>
        <w:pStyle w:val="Normal"/>
        <w:rPr>
          <w:rFonts w:ascii="LMRoman12-Bold-Identity-H" w:hAnsi="LMRoman12-Bold-Identity-H" w:eastAsia="LMRoman12-Bold-Identity-H" w:cs="LMRoman12-Bold-Identity-H"/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09956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9">
            <wp:simplePos x="0" y="0"/>
            <wp:positionH relativeFrom="column">
              <wp:posOffset>0</wp:posOffset>
            </wp:positionH>
            <wp:positionV relativeFrom="paragraph">
              <wp:posOffset>3121025</wp:posOffset>
            </wp:positionV>
            <wp:extent cx="5086350" cy="205740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MRoman12-Bold-Identity-H" w:hAnsi="LMRoman12-Bold-Identity-H" w:eastAsia="LMRoman12-Bold-Identity-H" w:cs="LMRoman12-Bold-Identity-H"/>
          <w:b/>
          <w:b/>
          <w:bCs/>
        </w:rPr>
      </w:pPr>
      <w:r>
        <w:rPr/>
      </w:r>
    </w:p>
    <w:p>
      <w:pPr>
        <w:pStyle w:val="Heading1"/>
        <w:rPr/>
      </w:pPr>
      <w:r>
        <w:rPr>
          <w:rFonts w:eastAsia="LMRoman12-Bold-Identity-H" w:cs="LMRoman12-Bold-Identity-H" w:ascii="LMRoman12-Bold-Identity-H" w:hAnsi="LMRoman12-Bold-Identity-H"/>
          <w:b/>
          <w:bCs/>
          <w:sz w:val="29"/>
          <w:szCs w:val="29"/>
        </w:rPr>
        <w:t xml:space="preserve">4 </w:t>
      </w:r>
      <w:r>
        <w:rPr>
          <w:rFonts w:ascii="黑体" w:hAnsi="黑体" w:cs="黑体" w:eastAsia="黑体"/>
          <w:sz w:val="29"/>
          <w:szCs w:val="29"/>
        </w:rPr>
        <w:t>矩阵运算微分</w:t>
      </w:r>
      <w:r>
        <w:rPr>
          <w:rFonts w:eastAsia="LMRoman12-Bold-Identity-H" w:cs="LMRoman12-Bold-Identity-H" w:ascii="LMRoman12-Bold-Identity-H" w:hAnsi="LMRoman12-Bold-Identity-H"/>
          <w:b/>
          <w:bCs/>
          <w:sz w:val="29"/>
          <w:szCs w:val="29"/>
        </w:rPr>
        <w:t xml:space="preserve">(2 </w:t>
      </w:r>
      <w:r>
        <w:rPr>
          <w:rFonts w:ascii="黑体" w:hAnsi="黑体" w:cs="黑体" w:eastAsia="黑体"/>
          <w:sz w:val="29"/>
          <w:szCs w:val="29"/>
        </w:rPr>
        <w:t>分，约</w:t>
      </w:r>
      <w:r>
        <w:rPr>
          <w:rFonts w:eastAsia="LMRoman12-Bold-Identity-H" w:cs="LMRoman12-Bold-Identity-H" w:ascii="LMRoman12-Bold-Identity-H" w:hAnsi="LMRoman12-Bold-Identity-H"/>
          <w:b/>
          <w:bCs/>
          <w:sz w:val="29"/>
          <w:szCs w:val="29"/>
        </w:rPr>
        <w:t xml:space="preserve">1.5 </w:t>
      </w:r>
      <w:r>
        <w:rPr>
          <w:rFonts w:ascii="黑体" w:hAnsi="黑体" w:cs="黑体" w:eastAsia="黑体"/>
          <w:sz w:val="29"/>
          <w:szCs w:val="29"/>
        </w:rPr>
        <w:t>小时</w:t>
      </w:r>
      <w:r>
        <w:rPr>
          <w:rFonts w:eastAsia="LMRoman12-Bold-Identity-H" w:cs="LMRoman12-Bold-Identity-H" w:ascii="LMRoman12-Bold-Identity-H" w:hAnsi="LMRoman12-Bold-Identity-H"/>
          <w:b/>
          <w:bCs/>
          <w:sz w:val="29"/>
          <w:szCs w:val="29"/>
        </w:rPr>
        <w:t>)</w:t>
      </w:r>
    </w:p>
    <w:p>
      <w:pPr>
        <w:pStyle w:val="Heading2"/>
        <w:rPr/>
      </w:pPr>
      <w:r>
        <w:rPr/>
        <w:t>设变量为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/>
        <w:t>，那么</w:t>
      </w:r>
      <w:r>
        <w:rPr/>
        <w:t>:</w:t>
      </w:r>
    </w:p>
    <w:p>
      <w:pPr>
        <w:pStyle w:val="Heading2"/>
        <w:numPr>
          <w:ilvl w:val="0"/>
          <w:numId w:val="1"/>
        </w:numPr>
        <w:rPr/>
      </w:pPr>
      <w:r>
        <w:rPr/>
        <w:t>矩阵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xN</m:t>
            </m:r>
          </m:sup>
        </m:sSup>
      </m:oMath>
      <w:r>
        <w:rPr/>
        <w:t>，那么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f>
          <m:fPr>
            <m:type m:val="lin"/>
          </m:fPr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Ax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</m:oMath>
      <w:r>
        <w:rPr/>
        <w:t>是什么？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11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…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…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nn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sSub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</m:mr>
              <m:mr>
                <m:e>
                  <m:sSub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Ax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</m:mr>
            </m:m>
          </m:e>
        </m:d>
      </m:oMath>
    </w:p>
    <w:p>
      <w:pPr>
        <w:pStyle w:val="Normal"/>
        <w:rPr/>
      </w:pPr>
      <w:r>
        <w:rPr/>
        <w:t>则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Ax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sSub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Ax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</m:mr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sSub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Ax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sSub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Ax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sSub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Ax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⋱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</m:mr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sSub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Ax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sSub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Ax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⋱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</m:mr>
            </m:m>
          </m:e>
        </m:d>
      </m:oMath>
      <w:r>
        <w:rPr/>
        <w:t>=A</w:t>
      </w:r>
    </w:p>
    <w:p>
      <w:pPr>
        <w:pStyle w:val="Heading2"/>
        <w:numPr>
          <w:ilvl w:val="0"/>
          <w:numId w:val="1"/>
        </w:numPr>
        <w:rPr/>
      </w:pPr>
      <w:r>
        <w:rPr/>
        <w:t>矩阵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NxN</m:t>
            </m:r>
          </m:sup>
        </m:sSup>
      </m:oMath>
      <w:r>
        <w:rPr/>
        <w:t>，那么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f>
          <m:fPr>
            <m:type m:val="lin"/>
          </m:fPr>
          <m:num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Ax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</m:oMath>
      <w:r>
        <w:rPr/>
        <w:t>是什么？</w:t>
      </w:r>
    </w:p>
    <w:p>
      <w:pPr>
        <w:pStyle w:val="Normal"/>
        <w:rPr/>
      </w:pPr>
      <w:r>
        <w:rPr/>
        <w:t>这等于是一个标量对向量求导问题。其中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ij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e>
        </m:nary>
      </m:oMath>
    </w:p>
    <w:p>
      <w:pPr>
        <w:pStyle w:val="Normal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∂</m:t>
                      </m:r>
                      <m:nary>
                        <m:naryPr>
                          <m:chr m:val="∑"/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p>
                        <m:e>
                          <m:nary>
                            <m:naryPr>
                              <m:chr m:val="∑"/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sup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ij</m:t>
                                  </m:r>
                                </m:sub>
                              </m:sSub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j</m:t>
                                  </m:r>
                                </m:sub>
                              </m:sSub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∂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</m:mr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∂</m:t>
                      </m:r>
                      <m:nary>
                        <m:naryPr>
                          <m:chr m:val="∑"/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p>
                        <m:e>
                          <m:nary>
                            <m:naryPr>
                              <m:chr m:val="∑"/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sup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ij</m:t>
                                  </m:r>
                                </m:sub>
                              </m:sSub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j</m:t>
                                  </m:r>
                                </m:sub>
                              </m:sSub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∂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</m:mr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∂</m:t>
                      </m:r>
                      <m:nary>
                        <m:naryPr>
                          <m:chr m:val="∑"/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p>
                        <m:e>
                          <m:nary>
                            <m:naryPr>
                              <m:chr m:val="∑"/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sup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ij</m:t>
                                  </m:r>
                                </m:sub>
                              </m:sSub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j</m:t>
                                  </m:r>
                                </m:sub>
                              </m:sSub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∂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 xml:space="preserve">当</m:t>
        </m:r>
        <m:r>
          <w:rPr>
            <w:rFonts w:ascii="Cambria Math" w:hAnsi="Cambria Math"/>
          </w:rPr>
          <m:t xml:space="preserve">一个变量多次出现时</m:t>
        </m:r>
        <m:r>
          <w:rPr>
            <w:rFonts w:ascii="Cambria Math" w:hAnsi="Cambria Math"/>
          </w:rPr>
          <m:t xml:space="preserve">，</m:t>
        </m:r>
        <m:r>
          <w:rPr>
            <w:rFonts w:ascii="Cambria Math" w:hAnsi="Cambria Math"/>
          </w:rPr>
          <m:t xml:space="preserve">可以分别对每次出现求导</m:t>
        </m:r>
        <m:r>
          <w:rPr>
            <w:rFonts w:ascii="Cambria Math" w:hAnsi="Cambria Math"/>
          </w:rPr>
          <m:t xml:space="preserve">，</m:t>
        </m:r>
        <m:r>
          <w:rPr>
            <w:rFonts w:ascii="Cambria Math" w:hAnsi="Cambria Math"/>
          </w:rPr>
          <m:t xml:space="preserve">再求和</m:t>
        </m:r>
        <m:r>
          <w:rPr>
            <w:rFonts w:ascii="Cambria Math" w:hAnsi="Cambria Math"/>
          </w:rPr>
          <m:t xml:space="preserve">，</m:t>
        </m:r>
        <m:r>
          <w:rPr>
            <w:rFonts w:ascii="Cambria Math" w:hAnsi="Cambria Math"/>
          </w:rPr>
          <m:t xml:space="preserve">则上式分别对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求导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nary>
                        <m:naryPr>
                          <m:chr m:val="∑"/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p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j</m:t>
                              </m:r>
                            </m:sub>
                          </m:sSub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j</m:t>
                              </m:r>
                            </m:sub>
                          </m:sSub>
                        </m:e>
                      </m:nary>
                    </m:e>
                  </m:nary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</m:mr>
              <m:mr>
                <m:e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ik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nary>
                        <m:naryPr>
                          <m:chr m:val="∑"/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p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kj</m:t>
                              </m:r>
                            </m:sub>
                          </m:sSub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j</m:t>
                              </m:r>
                            </m:sub>
                          </m:sSub>
                        </m:e>
                      </m:nary>
                    </m:e>
                  </m:nary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⋮</m:t>
                  </m:r>
                </m:e>
              </m:mr>
              <m:mr>
                <m:e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nary>
                        <m:naryPr>
                          <m:chr m:val="∑"/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p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j</m:t>
                              </m:r>
                            </m:sub>
                          </m:sSub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j</m:t>
                              </m:r>
                            </m:sub>
                          </m:sSub>
                        </m:e>
                      </m:nary>
                    </m:e>
                  </m:nary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AX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mr>
            </m:m>
          </m:e>
        </m:d>
      </m:oMath>
    </w:p>
    <w:p>
      <w:pPr>
        <w:pStyle w:val="Heading2"/>
        <w:numPr>
          <w:ilvl w:val="0"/>
          <w:numId w:val="1"/>
        </w:numPr>
        <w:rPr/>
      </w:pPr>
      <w:r>
        <w:rPr/>
        <w:t>证明</w:t>
      </w:r>
      <w:r>
        <w:rPr/>
        <w:t>: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Axx</m:t>
                </m:r>
              </m:e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</m:e>
        </m:d>
      </m:oMath>
      <w:r>
        <w:rPr/>
        <w:t>.</w:t>
      </w:r>
    </w:p>
    <w:p>
      <w:pPr>
        <w:pStyle w:val="Normal"/>
        <w:jc w:val="center"/>
        <w:rPr/>
      </w:pPr>
      <w:r>
        <w:rPr/>
        <w:t>首先上题证明</w:t>
      </w: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X</m:t>
            </m:r>
          </m:e>
          <m:e>
            <m:r>
              <w:rPr>
                <w:rFonts w:ascii="Cambria Math" w:hAnsi="Cambria Math"/>
              </w:rPr>
              <m:t xml:space="preserve">d</m:t>
            </m:r>
            <m:d>
              <m:dPr>
                <m:begChr m:val="("/>
                <m:endChr m:val=")"/>
              </m:dPr>
              <m:e/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AX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AX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</m:e>
          <m:e/>
        </m:eqArr>
      </m:oMath>
    </w:p>
    <w:p>
      <w:pPr>
        <w:pStyle w:val="Normal"/>
        <w:jc w:val="center"/>
        <w:rPr/>
      </w:pPr>
      <w:r>
        <w:rPr/>
        <w:t>这里求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r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AXX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AXX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</m:e>
            </m:d>
          </m:e>
        </m:d>
      </m:oMath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dA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XX</m:t>
                </m:r>
              </m:e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dX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AX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dX</m:t>
                </m:r>
              </m:e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</m:e>
        </m:d>
      </m:oMath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dX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AX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dX</m:t>
                </m:r>
              </m:e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</m:e>
        </m:d>
      </m:oMath>
    </w:p>
    <w:p>
      <w:pPr>
        <w:pStyle w:val="Normal"/>
        <w:rPr/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AX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dX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</m:e>
          <m:e>
            <m:d>
              <m:dPr>
                <m:begChr m:val="("/>
                <m:endChr m:val=")"/>
              </m:dPr>
              <m:e/>
            </m:d>
          </m:e>
          <m:e/>
          <m:e/>
          <m:e>
            <m:r>
              <w:rPr>
                <w:rFonts w:ascii="Cambria Math" w:hAnsi="Cambria Math"/>
              </w:rPr>
              <m:t xml:space="preserve">tr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AdX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tr</m:t>
            </m:r>
          </m:e>
        </m:eqArr>
      </m:oMath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  <m:r>
              <w:rPr>
                <w:rFonts w:ascii="Cambria Math" w:hAnsi="Cambria Math"/>
              </w:rPr>
              <m:t xml:space="preserve">AdX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tr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  <m:r>
              <w:rPr>
                <w:rFonts w:ascii="Cambria Math" w:hAnsi="Cambria Math"/>
              </w:rPr>
              <m:t xml:space="preserve">dX</m:t>
            </m:r>
          </m:e>
        </m:d>
      </m:oMath>
    </w:p>
    <w:p>
      <w:pPr>
        <w:pStyle w:val="Normal"/>
        <w:rPr/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X</m:t>
            </m:r>
          </m:e>
          <m:e>
            <m:d>
              <m:dPr>
                <m:begChr m:val="("/>
                <m:endChr m:val=")"/>
              </m:dPr>
              <m:e/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 xml:space="preserve">dX</m:t>
            </m:r>
          </m:e>
          <m:e/>
          <m:e>
            <m:r>
              <w:rPr>
                <w:rFonts w:ascii="Cambria Math" w:hAnsi="Cambria Math"/>
              </w:rPr>
              <m:t xml:space="preserve">tr</m:t>
            </m:r>
          </m:e>
        </m:eqArr>
      </m:oMath>
    </w:p>
    <w:p>
      <w:pPr>
        <w:pStyle w:val="Normal"/>
        <w:rPr/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X</m:t>
            </m:r>
          </m:e>
          <m:e>
            <m:sSup>
              <m:e>
                <m:d>
                  <m:dPr>
                    <m:begChr m:val="("/>
                    <m:endChr m:val=")"/>
                  </m:dPr>
                  <m:e/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sup>
                    </m:sSup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</m:e>
          <m:e/>
        </m:eqArr>
      </m:oMath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AX</m:t>
        </m:r>
      </m:oMath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617345"/>
            <wp:effectExtent l="0" t="0" r="0" b="0"/>
            <wp:wrapTopAndBottom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LMRoman12-Bold-Identity-H" w:hAnsi="LMRoman12-Bold-Identity-H" w:eastAsia="LMRoman12-Bold-Identity-H" w:cs="LMRoman12-Bold-Identity-H"/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5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738880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>
          <w:rFonts w:eastAsia="LMRoman12-Bold-Identity-H" w:cs="LMRoman12-Bold-Identity-H" w:ascii="LMRoman12-Bold-Identity-H" w:hAnsi="LMRoman12-Bold-Identity-H"/>
          <w:b/>
          <w:bCs/>
        </w:rPr>
        <w:t xml:space="preserve">6 * </w:t>
      </w:r>
      <w:r>
        <w:rPr/>
        <w:t>批量最大似然估计</w:t>
      </w:r>
      <w:r>
        <w:rPr>
          <w:rFonts w:eastAsia="LMRoman12-Bold-Identity-H" w:cs="LMRoman12-Bold-Identity-H" w:ascii="LMRoman12-Bold-Identity-H" w:hAnsi="LMRoman12-Bold-Identity-H"/>
          <w:b/>
          <w:bCs/>
        </w:rPr>
        <w:t xml:space="preserve">(2 </w:t>
      </w:r>
      <w:r>
        <w:rPr/>
        <w:t>分，约</w:t>
      </w:r>
      <w:r>
        <w:rPr>
          <w:rFonts w:eastAsia="LMRoman12-Bold-Identity-H" w:cs="LMRoman12-Bold-Identity-H" w:ascii="LMRoman12-Bold-Identity-H" w:hAnsi="LMRoman12-Bold-Identity-H"/>
          <w:b/>
          <w:bCs/>
        </w:rPr>
        <w:t xml:space="preserve">2 </w:t>
      </w:r>
      <w:r>
        <w:rPr/>
        <w:t>小时</w:t>
      </w:r>
      <w:r>
        <w:rPr>
          <w:rFonts w:eastAsia="LMRoman12-Bold-Identity-H" w:cs="LMRoman12-Bold-Identity-H" w:ascii="LMRoman12-Bold-Identity-H" w:hAnsi="LMRoman12-Bold-Identity-H"/>
          <w:b/>
          <w:bCs/>
        </w:rPr>
        <w:t>)</w:t>
      </w:r>
    </w:p>
    <w:p>
      <w:pPr>
        <w:pStyle w:val="Heading2"/>
        <w:numPr>
          <w:ilvl w:val="0"/>
          <w:numId w:val="2"/>
        </w:numPr>
        <w:rPr/>
      </w:pPr>
      <w:r>
        <w:rPr/>
        <w:t>可以定义矩阵</w:t>
      </w:r>
      <w:r>
        <w:rPr>
          <w:rFonts w:eastAsia="LMRoman10-Bold-Identity-H" w:cs="LMRoman10-Bold-Identity-H" w:ascii="LMRoman10-Bold-Identity-H" w:hAnsi="LMRoman10-Bold-Identity-H"/>
          <w:b/>
          <w:bCs/>
        </w:rPr>
        <w:t>H</w:t>
      </w:r>
      <w:r>
        <w:rPr/>
        <w:t>，使得批量误差为</w:t>
      </w:r>
      <w:r>
        <w:rPr>
          <w:rFonts w:eastAsia="LMRoman10-Bold-Identity-H" w:cs="LMRoman10-Bold-Identity-H" w:ascii="LMRoman10-Bold-Identity-H" w:hAnsi="LMRoman10-Bold-Identity-H"/>
          <w:b/>
          <w:bCs/>
        </w:rPr>
        <w:t xml:space="preserve">e </w:t>
      </w:r>
      <w:r>
        <w:rPr>
          <w:rFonts w:eastAsia="LMRoman10-Regular-Identity-H" w:cs="CMR10" w:ascii="CMR10" w:hAnsi="CMR10"/>
        </w:rPr>
        <w:t xml:space="preserve">= </w:t>
      </w:r>
      <w:r>
        <w:rPr>
          <w:rFonts w:eastAsia="LMRoman10-Bold-Identity-H" w:cs="LMRoman10-Bold-Identity-H" w:ascii="LMRoman10-Bold-Identity-H" w:hAnsi="LMRoman10-Bold-Identity-H"/>
          <w:b/>
          <w:bCs/>
        </w:rPr>
        <w:t xml:space="preserve">z </w:t>
      </w:r>
      <w:r>
        <w:rPr>
          <w:rFonts w:eastAsia="Calibri" w:cs="Calibri" w:ascii="Calibri" w:hAnsi="Calibri"/>
          <w:i/>
          <w:iCs/>
        </w:rPr>
        <w:t>-</w:t>
      </w:r>
      <w:r>
        <w:rPr>
          <w:rFonts w:eastAsia="LMRoman10-Regular-Identity-H" w:cs="CMSY10" w:ascii="CMSY10" w:hAnsi="CMSY10"/>
          <w:i/>
          <w:iCs/>
        </w:rPr>
        <w:t xml:space="preserve"> </w:t>
      </w:r>
      <w:r>
        <w:rPr>
          <w:rFonts w:eastAsia="LMRoman10-Bold-Identity-H" w:cs="LMRoman10-Bold-Identity-H" w:ascii="LMRoman10-Bold-Identity-H" w:hAnsi="LMRoman10-Bold-Identity-H"/>
          <w:b/>
          <w:bCs/>
        </w:rPr>
        <w:t>Hx</w:t>
      </w:r>
      <w:r>
        <w:rPr/>
        <w:t>。请给出此处</w:t>
      </w:r>
      <w:r>
        <w:rPr>
          <w:rFonts w:eastAsia="LMRoman10-Bold-Identity-H" w:cs="LMRoman10-Bold-Identity-H" w:ascii="LMRoman10-Bold-Identity-H" w:hAnsi="LMRoman10-Bold-Identity-H"/>
          <w:b/>
          <w:bCs/>
        </w:rPr>
        <w:t xml:space="preserve">H </w:t>
      </w:r>
      <w:r>
        <w:rPr/>
        <w:t>的具体形式。</w:t>
      </w:r>
    </w:p>
    <w:p>
      <w:pPr>
        <w:pStyle w:val="Normal"/>
        <w:ind w:left="360" w:hanging="0"/>
        <w:rPr/>
      </w:pPr>
      <w:r>
        <w:rPr/>
        <w:t>在此系统中，</w:t>
      </w:r>
      <w:r>
        <w:rPr/>
        <w:t>v</w:t>
      </w:r>
      <w:r>
        <w:rPr/>
        <w:t>为两帧之间的位移变量，</w:t>
      </w:r>
      <w:r>
        <w:rPr/>
        <w:t>x</w:t>
      </w:r>
      <w:r>
        <w:rPr/>
        <w:t>为位移，而且</w:t>
      </w:r>
      <w:r>
        <w:rPr/>
        <w:t>x</w:t>
      </w:r>
      <w:r>
        <w:rPr/>
        <w:t>是直接观测。</w:t>
      </w:r>
    </w:p>
    <w:p>
      <w:pPr>
        <w:pStyle w:val="Normal"/>
        <w:ind w:left="360" w:hanging="0"/>
        <w:rPr/>
      </w:pPr>
      <w:r>
        <w:rPr/>
        <w:t>我们的观测</w:t>
      </w:r>
      <w:r>
        <w:rPr/>
        <w:t>Z</w:t>
      </w:r>
      <w:r>
        <w:rPr/>
        <w:t>是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</m:m>
          </m:e>
        </m:d>
      </m:oMath>
      <w:r>
        <w:rPr/>
        <w:t>,</w:t>
      </w:r>
      <w:r>
        <w:rPr/>
        <w:t>则我们要有一个</w:t>
      </w:r>
      <w:r>
        <w:rPr/>
        <w:t>H</w:t>
      </w:r>
      <w:r>
        <w:rPr/>
        <w:t>矩阵把状态量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e>
            </m:eqArr>
          </m:e>
        </m:d>
      </m:oMath>
      <w:r>
        <w:rPr/>
        <w:t>map</w:t>
      </w:r>
      <w:r>
        <w:rPr/>
        <w:t>（映射）到观测空间。最小二乘问题就是找到使得映射结果最接近观测的状态量</w:t>
      </w:r>
      <w:r>
        <w:rPr/>
        <w:t>X</w:t>
      </w:r>
      <w:r>
        <w:rPr/>
        <w:t>（映射结果和观测的误差最小）。而这种误差包括</w:t>
      </w:r>
      <w:r>
        <w:rPr/>
        <w:t>v</w:t>
      </w:r>
      <w:r>
        <w:rPr/>
        <w:t>的误差，即我们通过相邻帧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>的得到的</w:t>
      </w:r>
      <w:r>
        <w:rPr/>
        <w:t>v</w:t>
      </w:r>
      <w:r>
        <w:rPr/>
        <w:t>和实际</w:t>
      </w:r>
      <w:r>
        <w:rPr/>
        <w:t>v</w:t>
      </w:r>
      <w:r>
        <w:rPr/>
        <w:t>的误差</w:t>
      </w:r>
      <w:r>
        <w:rPr/>
        <w:t>: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error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obser</m:t>
            </m:r>
          </m:sub>
        </m:sSub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/>
        <w:t>以及我们通过前一帧预测的下一帧的位置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>和直接观测到的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>之间的误差</w:t>
      </w:r>
      <w:r>
        <w:rPr/>
        <w:t>: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error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/>
        <w:t>。</w:t>
      </w:r>
    </w:p>
    <w:p>
      <w:pPr>
        <w:pStyle w:val="Normal"/>
        <w:ind w:left="360" w:hanging="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则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H</m:t>
        </m:r>
        <m:d>
          <m:dPr>
            <m:begChr m:val="["/>
            <m:endChr m:val="]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Heading2"/>
        <w:numPr>
          <w:ilvl w:val="0"/>
          <w:numId w:val="2"/>
        </w:numPr>
        <w:rPr/>
      </w:pPr>
      <w:r>
        <w:rPr/>
        <w:t>请给出此问题下</w:t>
      </w:r>
      <w:r>
        <w:rPr/>
        <w:t xml:space="preserve">W </w:t>
      </w:r>
      <w:r>
        <w:rPr/>
        <w:t>的具体取值</w:t>
      </w:r>
    </w:p>
    <w:p>
      <w:pPr>
        <w:pStyle w:val="Normal"/>
        <w:ind w:left="360" w:hanging="0"/>
        <w:rPr/>
      </w:pPr>
      <w:r>
        <w:rPr/>
        <w:t>因为最小二乘问题本质是求一个高斯分布的最大似然，而我们的观测和输入是互相独立的，那么他们的概率是乘积的形式合到一起。等于我们要求的”找到状态</w:t>
      </w:r>
      <w:r>
        <w:rPr/>
        <w:t>X</w:t>
      </w:r>
      <w:r>
        <w:rPr/>
        <w:t>，使得到观测</w:t>
      </w:r>
      <w:r>
        <w:rPr/>
        <w:t>z</w:t>
      </w:r>
      <w:r>
        <w:rPr/>
        <w:t>和输入</w:t>
      </w:r>
      <w:r>
        <w:rPr/>
        <w:t>u</w:t>
      </w:r>
      <w:r>
        <w:rPr/>
        <w:t>的概率最大”的问题就可以分解成如下形式</w:t>
      </w:r>
    </w:p>
    <w:p>
      <w:pPr>
        <w:pStyle w:val="Normal"/>
        <w:ind w:left="360" w:hanging="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argmax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sepChr m:val="|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u</m:t>
            </m:r>
          </m:e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argmax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sepChr m:val="|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sepChr m:val="|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</m:e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Normal"/>
        <w:ind w:left="360" w:hanging="0"/>
        <w:rPr/>
      </w:pPr>
      <w:r>
        <w:rPr/>
      </w:r>
      <m:oMath xmlns:m="http://schemas.openxmlformats.org/officeDocument/2006/math">
        <m:nary>
          <m:naryPr>
            <m:chr m:val="∏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  <m:e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∨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nary>
              <m:naryPr>
                <m:chr m:val="∏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  <m:e>
                <m:r>
                  <w:rPr>
                    <w:rFonts w:ascii="Cambria Math" w:hAnsi="Cambria Math"/>
                  </w:rPr>
                  <m:t xml:space="preserve">p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∨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</m:sSub>
                  </m:e>
                </m:d>
              </m:e>
            </m:nary>
          </m:e>
        </m:nary>
      </m:oMath>
    </w:p>
    <w:p>
      <w:pPr>
        <w:pStyle w:val="Normal"/>
        <w:ind w:left="360" w:hanging="0"/>
        <w:rPr/>
      </w:pPr>
      <w:r>
        <w:rPr/>
        <w:t>我们对高斯分布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sepChr m:val="|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>和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sepChr m:val="|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</m:e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>做概率密度展开，再取负对数，原最大概率问题变成了对下式求最小问题。</w:t>
      </w:r>
    </w:p>
    <w:p>
      <w:pPr>
        <w:pStyle w:val="Normal"/>
        <w:ind w:left="360" w:hanging="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argmin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  <m:e>
            <m:sSub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v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k</m:t>
                </m:r>
              </m:sub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bSup>
            <m:sSubSup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bSup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v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bSup>
                <m:sSubSup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bSup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nary>
          </m:e>
        </m:nary>
      </m:oMath>
    </w:p>
    <w:p>
      <w:pPr>
        <w:pStyle w:val="Normal"/>
        <w:ind w:left="360" w:hanging="0"/>
        <w:rPr/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v</m:t>
            </m:r>
          </m:e>
          <m:e>
            <m:r>
              <w:rPr>
                <w:rFonts w:ascii="Cambria Math" w:hAnsi="Cambria Math"/>
              </w:rPr>
              <m:t xml:space="preserve">v</m:t>
            </m:r>
          </m:e>
          <m:e>
            <m:r>
              <w:rPr>
                <w:rFonts w:ascii="Cambria Math" w:hAnsi="Cambria Math"/>
              </w:rPr>
              <m:t xml:space="preserve">y</m:t>
            </m:r>
          </m:e>
          <m:e>
            <m:r>
              <w:rPr>
                <w:rFonts w:ascii="Cambria Math" w:hAnsi="Cambria Math"/>
              </w:rPr>
              <m:t xml:space="preserve">y</m:t>
            </m:r>
          </m:e>
          <m:e>
            <m:sSup>
              <m:e>
                <m:d>
                  <m:dPr>
                    <m:begChr m:val="("/>
                    <m:endChr m:val=")"/>
                  </m:dPr>
                  <m:e/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  <m:sSub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bSup>
            <m:d>
              <m:dPr>
                <m:begChr m:val="("/>
                <m:endChr m:val=")"/>
              </m:dPr>
              <m:e/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d>
          </m:e>
          <m:e>
            <m:d>
              <m:dPr>
                <m:begChr m:val="("/>
                <m:endChr m:val=")"/>
              </m:dPr>
              <m:e/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  <m:e/>
            </m:nary>
          </m:e>
          <m:e>
            <m:sSup>
              <m:e>
                <m:d>
                  <m:dPr>
                    <m:begChr m:val="("/>
                    <m:endChr m:val=")"/>
                  </m:dPr>
                  <m:e/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  <m:sSubSup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bSup>
          </m:e>
          <m:e/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  <m:e/>
            </m:nary>
          </m:e>
        </m:eqArr>
      </m:oMath>
    </w:p>
    <w:p>
      <w:pPr>
        <w:pStyle w:val="Normal"/>
        <w:ind w:left="360" w:hanging="0"/>
        <w:rPr/>
      </w:pPr>
      <w:r>
        <w:rPr/>
        <w:t>第一题定义了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Hx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−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  <m:d>
          <m:dPr>
            <m:begChr m:val="["/>
            <m:endChr m:val="]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e>
            </m:eqArr>
          </m:e>
        </m:d>
      </m:oMath>
      <w:r>
        <w:rPr/>
        <w:t>，可以得到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eqArr>
              <m:e>
                <m:m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mr>
                </m:m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e>
            </m:eqArr>
          </m:e>
        </m:d>
      </m:oMath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参考上面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和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的设计</m:t>
        </m:r>
        <m:r>
          <w:rPr>
            <w:rFonts w:ascii="Cambria Math" w:hAnsi="Cambria Math"/>
          </w:rPr>
          <m:t xml:space="preserve">，</m:t>
        </m:r>
        <m:r>
          <w:rPr>
            <w:rFonts w:ascii="Cambria Math" w:hAnsi="Cambria Math"/>
          </w:rPr>
          <m:t xml:space="preserve">易得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</m:m>
          </m:e>
        </m:d>
      </m:oMath>
    </w:p>
    <w:p>
      <w:pPr>
        <w:pStyle w:val="Heading2"/>
        <w:numPr>
          <w:ilvl w:val="0"/>
          <w:numId w:val="2"/>
        </w:numPr>
        <w:rPr/>
      </w:pPr>
      <w:r>
        <w:rPr/>
        <w:t>假设所有噪声相互无关，该问题存在唯一的解吗？若有，唯一解是什么？若没有，说明理由。</w:t>
      </w:r>
    </w:p>
    <w:p>
      <w:pPr>
        <w:pStyle w:val="Normal"/>
        <w:ind w:left="360" w:hanging="0"/>
        <w:rPr/>
      </w:pPr>
      <w:r>
        <w:rPr/>
        <w:t>有唯一解，需要</w:t>
      </w:r>
      <w:r>
        <w:rPr/>
        <w:t>rank(H)&gt;=size(X)</w:t>
      </w:r>
      <w:r>
        <w:rPr/>
        <w:t>。即公式数量超过未知数数量。这个问题其实就是</w:t>
      </w:r>
      <w:r>
        <w:rPr/>
        <w:t>HX=Y</w:t>
      </w:r>
      <w:r>
        <w:rPr/>
        <w:t>的最小二乘问题。</w:t>
      </w:r>
    </w:p>
    <w:p>
      <w:pPr>
        <w:pStyle w:val="Normal"/>
        <w:ind w:left="360" w:hanging="0"/>
        <w:rPr/>
      </w:pPr>
      <w:r>
        <w:rPr/>
        <w:t>设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</w:p>
    <w:p>
      <w:pPr>
        <w:pStyle w:val="Normal"/>
        <w:ind w:left="360" w:hanging="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</m:oMath>
    </w:p>
    <w:p>
      <w:pPr>
        <w:pStyle w:val="Normal"/>
        <w:ind w:left="360" w:hanging="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HX</m:t>
        </m:r>
      </m:oMath>
    </w:p>
    <w:p>
      <w:pPr>
        <w:pStyle w:val="Normal"/>
        <w:ind w:left="360" w:hanging="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minF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d>
              <m:dPr>
                <m:begChr m:val="‖"/>
                <m:endChr m:val="‖"/>
              </m:dPr>
              <m:e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ind w:left="360" w:hanging="0"/>
        <w:rPr/>
      </w:pPr>
      <w:r>
        <w:rPr/>
        <w:t>对</w:t>
      </w:r>
      <w:r>
        <w:rPr/>
        <w:t>X</w:t>
      </w:r>
      <w:r>
        <w:rPr/>
        <w:t>求导并令导数</w:t>
      </w:r>
      <w:r>
        <w:rPr/>
        <w:t>=0</w:t>
      </w:r>
      <w:r>
        <w:rPr/>
        <w:t>，有</w:t>
      </w:r>
    </w:p>
    <w:p>
      <w:pPr>
        <w:pStyle w:val="Normal"/>
        <w:ind w:left="360" w:hanging="0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minF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f>
              <m:num>
                <m:r>
                  <w:rPr>
                    <w:rFonts w:ascii="Cambria Math" w:hAnsi="Cambria Math"/>
                  </w:rPr>
                  <m:t xml:space="preserve">d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HX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d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HX</m:t>
                    </m:r>
                  </m:e>
                </m:d>
              </m:den>
            </m:f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d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HX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ind w:left="360" w:hanging="0"/>
        <w:rPr/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HX</m:t>
            </m:r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H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ind w:left="360" w:hanging="0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HX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Y</m:t>
        </m:r>
      </m:oMath>
    </w:p>
    <w:p>
      <w:pPr>
        <w:pStyle w:val="Normal"/>
        <w:ind w:left="360" w:hanging="0"/>
        <w:rPr/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H</m:t>
            </m:r>
          </m:e>
          <m:e>
            <m:sSup>
              <m:e>
                <m:d>
                  <m:dPr>
                    <m:begChr m:val="("/>
                    <m:endChr m:val=")"/>
                  </m:dPr>
                  <m:e/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p>
            <m:r>
              <w:rPr>
                <w:rFonts w:ascii="Cambria Math" w:hAnsi="Cambria Math"/>
              </w:rPr>
              <m:t xml:space="preserve">Y</m:t>
            </m:r>
          </m:e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</m:e>
        </m:eqArr>
      </m:oMath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MRoman12-Bold-Identity-H">
    <w:charset w:val="01"/>
    <w:family w:val="roman"/>
    <w:pitch w:val="variable"/>
  </w:font>
  <w:font w:name="黑体">
    <w:charset w:val="01"/>
    <w:family w:val="roman"/>
    <w:pitch w:val="variable"/>
  </w:font>
  <w:font w:name="LMRoman10-Bold-Identity-H">
    <w:charset w:val="01"/>
    <w:family w:val="roman"/>
    <w:pitch w:val="variable"/>
  </w:font>
  <w:font w:name="CMR10">
    <w:charset w:val="01"/>
    <w:family w:val="roman"/>
    <w:pitch w:val="variable"/>
  </w:font>
  <w:font w:name="Calibri">
    <w:charset w:val="01"/>
    <w:family w:val="roman"/>
    <w:pitch w:val="variable"/>
  </w:font>
  <w:font w:name="CMSY10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eastAsia="LMRoman10-Regular-Identity-H" w:cs="LMRoman10-Regular-Identity-H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GB"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fa0"/>
    <w:pPr>
      <w:keepNext/>
      <w:keepLines/>
      <w:spacing w:before="240" w:after="0"/>
      <w:outlineLvl w:val="0"/>
    </w:pPr>
    <w:rPr>
      <w:rFonts w:ascii="等线 Light" w:hAnsi="等线 Light" w:eastAsia="等线 Light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27c"/>
    <w:pPr>
      <w:keepNext/>
      <w:keepLines/>
      <w:spacing w:before="40" w:after="0"/>
      <w:outlineLvl w:val="1"/>
    </w:pPr>
    <w:rPr>
      <w:rFonts w:ascii="等线 Light" w:hAnsi="等线 Light" w:eastAsia="等线 Light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21fa0"/>
    <w:rPr>
      <w:rFonts w:ascii="等线 Light" w:hAnsi="等线 Light" w:eastAsia="等线 Light" w:cs="" w:asciiTheme="majorHAnsi" w:cstheme="majorBidi" w:eastAsiaTheme="majorEastAsia" w:hAnsiTheme="majorHAnsi"/>
      <w:color w:val="2E74B5" w:themeColor="accent1" w:themeShade="bf"/>
      <w:sz w:val="32"/>
      <w:szCs w:val="32"/>
      <w:lang w:val="en-GB"/>
    </w:rPr>
  </w:style>
  <w:style w:type="character" w:styleId="PlaceholderText">
    <w:name w:val="Placeholder Text"/>
    <w:basedOn w:val="DefaultParagraphFont"/>
    <w:uiPriority w:val="99"/>
    <w:semiHidden/>
    <w:qFormat/>
    <w:rsid w:val="003904fb"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2127c"/>
    <w:rPr>
      <w:rFonts w:ascii="等线 Light" w:hAnsi="等线 Light" w:eastAsia="等线 Light" w:cs="" w:asciiTheme="majorHAnsi" w:cstheme="majorBidi" w:eastAsiaTheme="majorEastAsia" w:hAnsiTheme="majorHAnsi"/>
      <w:color w:val="2E74B5" w:themeColor="accent1" w:themeShade="bf"/>
      <w:sz w:val="26"/>
      <w:szCs w:val="26"/>
      <w:lang w:val="en-GB"/>
    </w:rPr>
  </w:style>
  <w:style w:type="character" w:styleId="ListLabel1">
    <w:name w:val="ListLabel 1"/>
    <w:qFormat/>
    <w:rPr>
      <w:rFonts w:eastAsia="LMRoman10-Regular-Identity-H" w:cs="LMRoman10-Regular-Identity-H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678d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3317</TotalTime>
  <Application>LibreOffice/5.1.6.2$Linux_X86_64 LibreOffice_project/10m0$Build-2</Application>
  <Pages>7</Pages>
  <Words>589</Words>
  <Characters>625</Characters>
  <CharactersWithSpaces>644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2020-06-11T19:20:00Z</dcterms:created>
  <dc:creator>Bingxin</dc:creator>
  <dc:description/>
  <dc:language>en-GB</dc:language>
  <cp:lastModifiedBy/>
  <dcterms:modified xsi:type="dcterms:W3CDTF">2020-06-14T04:12:41Z</dcterms:modified>
  <cp:revision>199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