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9A8" w:rsidRDefault="00040A45" w:rsidP="00040A45">
      <w:pPr>
        <w:pStyle w:val="Heading1"/>
      </w:pPr>
      <w:r>
        <w:t>UW Data Science – Methods of Data Analysis</w:t>
      </w:r>
      <w:r>
        <w:tab/>
        <w:t>Dave Wine 8430191</w:t>
      </w:r>
    </w:p>
    <w:p w:rsidR="00040A45" w:rsidRDefault="00040A45" w:rsidP="00040A45"/>
    <w:p w:rsidR="00040A45" w:rsidRDefault="00040A45" w:rsidP="00040A45">
      <w:pPr>
        <w:pStyle w:val="Heading2"/>
      </w:pPr>
      <w:r>
        <w:t>Summary</w:t>
      </w:r>
    </w:p>
    <w:p w:rsidR="00040A45" w:rsidRDefault="00040A45" w:rsidP="00040A45"/>
    <w:p w:rsidR="00040A45" w:rsidRDefault="00040A45" w:rsidP="00040A45"/>
    <w:p w:rsidR="00040A45" w:rsidRDefault="00040A45" w:rsidP="00040A45">
      <w:pPr>
        <w:pStyle w:val="Heading2"/>
      </w:pPr>
      <w:r>
        <w:t>Analysis</w:t>
      </w:r>
    </w:p>
    <w:p w:rsidR="00040A45" w:rsidRDefault="00040A45" w:rsidP="00040A45"/>
    <w:p w:rsidR="00040A45" w:rsidRDefault="00040A45" w:rsidP="00040A45">
      <w:pPr>
        <w:pStyle w:val="Heading2"/>
      </w:pPr>
      <w:r>
        <w:t>Observations - Heating Load</w:t>
      </w:r>
    </w:p>
    <w:p w:rsidR="00CA3725" w:rsidRDefault="00CA3725" w:rsidP="00040A45">
      <w:pPr>
        <w:pStyle w:val="ListParagraph"/>
        <w:numPr>
          <w:ilvl w:val="0"/>
          <w:numId w:val="1"/>
        </w:numPr>
      </w:pPr>
      <w:r>
        <w:t>Looked at overall correlation</w:t>
      </w:r>
      <w:r w:rsidR="002079B1">
        <w:t>s:</w:t>
      </w:r>
    </w:p>
    <w:p w:rsidR="00CA3725" w:rsidRDefault="00CA3725" w:rsidP="00CA3725">
      <w:r>
        <w:rPr>
          <w:noProof/>
        </w:rPr>
        <w:drawing>
          <wp:inline distT="0" distB="0" distL="0" distR="0" wp14:anchorId="4E2B46FB" wp14:editId="4B26DA9F">
            <wp:extent cx="5943600" cy="4213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B8" w:rsidRDefault="00040A45" w:rsidP="00040A45">
      <w:pPr>
        <w:pStyle w:val="ListParagraph"/>
        <w:numPr>
          <w:ilvl w:val="0"/>
          <w:numId w:val="1"/>
        </w:numPr>
      </w:pPr>
      <w:r>
        <w:t xml:space="preserve">Heating Load </w:t>
      </w:r>
      <w:r w:rsidR="000816B8">
        <w:t>is obviously bimodal.</w:t>
      </w:r>
    </w:p>
    <w:p w:rsidR="00040A45" w:rsidRDefault="000816B8" w:rsidP="00040A45">
      <w:pPr>
        <w:pStyle w:val="ListParagraph"/>
        <w:numPr>
          <w:ilvl w:val="0"/>
          <w:numId w:val="1"/>
        </w:numPr>
      </w:pPr>
      <w:r>
        <w:t xml:space="preserve">Heating Load </w:t>
      </w:r>
      <w:r w:rsidR="00040A45">
        <w:t xml:space="preserve">does not appear to depend </w:t>
      </w:r>
      <w:r w:rsidR="009F3DEE">
        <w:t>strongly on</w:t>
      </w:r>
      <w:r w:rsidR="00040A45">
        <w:t xml:space="preserve"> Orientation or Glazing Area Distribution.</w:t>
      </w:r>
    </w:p>
    <w:p w:rsidR="008B17C4" w:rsidRDefault="008B17C4" w:rsidP="00040A45">
      <w:pPr>
        <w:pStyle w:val="ListParagraph"/>
        <w:numPr>
          <w:ilvl w:val="0"/>
          <w:numId w:val="1"/>
        </w:numPr>
      </w:pPr>
      <w:r>
        <w:t>Notice that Overall Height and Roof Area are inversely coupled to Wall Area.</w:t>
      </w:r>
    </w:p>
    <w:p w:rsidR="00C54681" w:rsidRDefault="00C54681" w:rsidP="00C54681">
      <w:pPr>
        <w:ind w:left="360"/>
      </w:pPr>
      <w:r>
        <w:rPr>
          <w:noProof/>
        </w:rPr>
        <w:lastRenderedPageBreak/>
        <w:drawing>
          <wp:inline distT="0" distB="0" distL="0" distR="0" wp14:anchorId="71EEC3DB" wp14:editId="7A85DDF3">
            <wp:extent cx="2743200" cy="258775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DEE">
        <w:rPr>
          <w:noProof/>
        </w:rPr>
        <w:drawing>
          <wp:inline distT="0" distB="0" distL="0" distR="0" wp14:anchorId="76C6FBEA" wp14:editId="203F8FF3">
            <wp:extent cx="2743200" cy="258775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45" w:rsidRDefault="00040A45" w:rsidP="00040A45">
      <w:pPr>
        <w:pStyle w:val="ListParagraph"/>
        <w:numPr>
          <w:ilvl w:val="0"/>
          <w:numId w:val="1"/>
        </w:numPr>
      </w:pPr>
      <w:r>
        <w:t>Affected slightly by Glazing Area</w:t>
      </w:r>
      <w:r w:rsidR="00495E7B">
        <w:t xml:space="preserve"> but it’s not the only factor.</w:t>
      </w:r>
    </w:p>
    <w:p w:rsidR="00040A45" w:rsidRDefault="00040A45" w:rsidP="00040A45">
      <w:pPr>
        <w:pStyle w:val="ListParagraph"/>
        <w:numPr>
          <w:ilvl w:val="0"/>
          <w:numId w:val="1"/>
        </w:numPr>
      </w:pPr>
      <w:r>
        <w:t xml:space="preserve">Some positive correlation with Overall Height, and negative correlation with Roof Area.  Both are not surprising – tall buildings have more </w:t>
      </w:r>
      <w:r w:rsidR="00495E7B">
        <w:t>overall area, and tall thin buildings (low Roof Area) will not hold heat as well.</w:t>
      </w:r>
    </w:p>
    <w:p w:rsidR="000A3894" w:rsidRDefault="000A3894" w:rsidP="00040A45">
      <w:pPr>
        <w:pStyle w:val="ListParagraph"/>
        <w:numPr>
          <w:ilvl w:val="0"/>
          <w:numId w:val="1"/>
        </w:numPr>
      </w:pPr>
      <w:r>
        <w:t>Apparently, all short buildings have the same roof area:</w:t>
      </w:r>
    </w:p>
    <w:p w:rsidR="000A3894" w:rsidRDefault="000A3894" w:rsidP="000A3894">
      <w:pPr>
        <w:pStyle w:val="ListParagraph"/>
      </w:pPr>
      <w:r>
        <w:rPr>
          <w:noProof/>
        </w:rPr>
        <w:drawing>
          <wp:inline distT="0" distB="0" distL="0" distR="0" wp14:anchorId="596530A1" wp14:editId="6E895BE5">
            <wp:extent cx="3200400" cy="301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E9" w:rsidRDefault="009717E9" w:rsidP="00204C8D">
      <w:pPr>
        <w:pStyle w:val="ListParagraph"/>
        <w:numPr>
          <w:ilvl w:val="0"/>
          <w:numId w:val="1"/>
        </w:numPr>
      </w:pPr>
      <w:r>
        <w:t>So if they are all the same height and have the same roof area</w:t>
      </w:r>
      <w:r w:rsidR="00827B29">
        <w:t xml:space="preserve"> (confirmed by summary statistics) </w:t>
      </w:r>
      <w:r>
        <w:t>then Wall Area must be the non-glazed area of the walls.  The buildings are all the same size, but have different amounts of glazing.</w:t>
      </w:r>
      <w:r w:rsidR="00827B29">
        <w:t xml:space="preserve">  So plot heating load vs glazed area for short buildings only:</w:t>
      </w:r>
    </w:p>
    <w:p w:rsidR="009717E9" w:rsidRDefault="00827B29" w:rsidP="009717E9">
      <w:r>
        <w:rPr>
          <w:noProof/>
        </w:rPr>
        <w:lastRenderedPageBreak/>
        <w:drawing>
          <wp:inline distT="0" distB="0" distL="0" distR="0" wp14:anchorId="44394668" wp14:editId="1649A15E">
            <wp:extent cx="5714286" cy="5380952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29" w:rsidRDefault="00827B29" w:rsidP="009717E9">
      <w:r>
        <w:t>Hmm, try reversing the factors</w:t>
      </w:r>
      <w:bookmarkStart w:id="0" w:name="_GoBack"/>
      <w:bookmarkEnd w:id="0"/>
      <w:r>
        <w:t>:</w:t>
      </w:r>
    </w:p>
    <w:p w:rsidR="00827B29" w:rsidRDefault="00827B29" w:rsidP="009717E9">
      <w:r>
        <w:rPr>
          <w:noProof/>
        </w:rPr>
        <w:lastRenderedPageBreak/>
        <w:drawing>
          <wp:inline distT="0" distB="0" distL="0" distR="0" wp14:anchorId="01C12CA0" wp14:editId="6EF7B426">
            <wp:extent cx="5714286" cy="5380952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29" w:rsidRDefault="00827B29" w:rsidP="009717E9">
      <w:r>
        <w:t>Ah ha!  Now we can tell the difference between warehouses (no windows), old office buildings (some windows) and new office buildings (lots of windows) except t</w:t>
      </w:r>
    </w:p>
    <w:p w:rsidR="00204C8D" w:rsidRDefault="00495E7B" w:rsidP="00204C8D">
      <w:pPr>
        <w:pStyle w:val="ListParagraph"/>
        <w:numPr>
          <w:ilvl w:val="0"/>
          <w:numId w:val="1"/>
        </w:numPr>
      </w:pPr>
      <w:r>
        <w:t xml:space="preserve">Another unsurprising relationship is that relative compactness is inversely </w:t>
      </w:r>
      <w:r w:rsidR="00204C8D">
        <w:t>correlated to surface area</w:t>
      </w:r>
    </w:p>
    <w:p w:rsidR="00204C8D" w:rsidRPr="00040A45" w:rsidRDefault="00204C8D" w:rsidP="00204C8D">
      <w:pPr>
        <w:pStyle w:val="ListParagraph"/>
        <w:numPr>
          <w:ilvl w:val="0"/>
          <w:numId w:val="1"/>
        </w:numPr>
      </w:pPr>
      <w:r>
        <w:t>Lots of confounding factors in Wall Area vs Heating Load</w:t>
      </w:r>
    </w:p>
    <w:p w:rsidR="00204C8D" w:rsidRDefault="00204C8D" w:rsidP="00204C8D">
      <w:r>
        <w:rPr>
          <w:noProof/>
        </w:rPr>
        <w:lastRenderedPageBreak/>
        <w:drawing>
          <wp:inline distT="0" distB="0" distL="0" distR="0" wp14:anchorId="3B7A34C9" wp14:editId="5A47CFE5">
            <wp:extent cx="3200400" cy="2267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5B" w:rsidRDefault="00495E7B" w:rsidP="00CA3725">
      <w:pPr>
        <w:pStyle w:val="ListParagraph"/>
        <w:numPr>
          <w:ilvl w:val="0"/>
          <w:numId w:val="1"/>
        </w:numPr>
      </w:pPr>
      <w:r>
        <w:t>The sum of (wall area + roof area) should be roughly equal to the surface area</w:t>
      </w:r>
      <w:r w:rsidR="00B75306">
        <w:t>, so l</w:t>
      </w:r>
      <w:r w:rsidR="00CA3725">
        <w:t>ook at HL vs S</w:t>
      </w:r>
      <w:r w:rsidR="0027285B">
        <w:t>A</w:t>
      </w:r>
      <w:r w:rsidR="00B75306">
        <w:t>:</w:t>
      </w:r>
    </w:p>
    <w:p w:rsidR="005F5F84" w:rsidRDefault="0027285B" w:rsidP="0027285B">
      <w:r>
        <w:rPr>
          <w:noProof/>
        </w:rPr>
        <w:drawing>
          <wp:inline distT="0" distB="0" distL="0" distR="0" wp14:anchorId="270971F9" wp14:editId="30662F0E">
            <wp:extent cx="3200400" cy="22677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725">
        <w:tab/>
      </w:r>
    </w:p>
    <w:p w:rsidR="00B75306" w:rsidRDefault="00B75306" w:rsidP="00040A45">
      <w:pPr>
        <w:pStyle w:val="ListParagraph"/>
        <w:numPr>
          <w:ilvl w:val="0"/>
          <w:numId w:val="1"/>
        </w:numPr>
      </w:pPr>
      <w:r>
        <w:t>So h</w:t>
      </w:r>
      <w:r w:rsidR="005F5F84">
        <w:t>eight is clearly important</w:t>
      </w:r>
      <w:r>
        <w:t>.  Another way to look at the same data:</w:t>
      </w:r>
    </w:p>
    <w:p w:rsidR="00204C8D" w:rsidRDefault="00204C8D" w:rsidP="00204C8D">
      <w:r>
        <w:rPr>
          <w:noProof/>
        </w:rPr>
        <w:drawing>
          <wp:inline distT="0" distB="0" distL="0" distR="0" wp14:anchorId="6BE6408A" wp14:editId="407829FE">
            <wp:extent cx="3200400" cy="22677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06" w:rsidRDefault="00B75306" w:rsidP="00204C8D">
      <w:r>
        <w:lastRenderedPageBreak/>
        <w:t>Tall buildings have in general lower surface area than shorter buildings.  Then why does it take more energy to cool them?  A violin plot shows the differences more clearly:</w:t>
      </w:r>
    </w:p>
    <w:p w:rsidR="00B75306" w:rsidRDefault="00B75306" w:rsidP="00B75306">
      <w:r>
        <w:rPr>
          <w:noProof/>
        </w:rPr>
        <w:drawing>
          <wp:inline distT="0" distB="0" distL="0" distR="0" wp14:anchorId="1BE12F26" wp14:editId="28DA8D43">
            <wp:extent cx="3200400" cy="2267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06" w:rsidRDefault="00B75306" w:rsidP="00B75306">
      <w:pPr>
        <w:pStyle w:val="ListParagraph"/>
        <w:numPr>
          <w:ilvl w:val="0"/>
          <w:numId w:val="1"/>
        </w:numPr>
      </w:pPr>
      <w:r>
        <w:t>It explains the difference in the Surface Area clusters and to a first order, the bimodality.</w:t>
      </w:r>
      <w:r>
        <w:t xml:space="preserve">  The different shapes indicate</w:t>
      </w:r>
      <w:r>
        <w:t xml:space="preserve"> that there may be differing factors at work between tall and short buildings.</w:t>
      </w:r>
      <w:r w:rsidR="00BA55F2">
        <w:t xml:space="preserve">  One obvious thing is that taller buildings generally will have a larger aspect ratio, changing the conduction and convection coefficients</w:t>
      </w:r>
      <w:r w:rsidR="008B17C4">
        <w:t>.  Let’s compare</w:t>
      </w:r>
    </w:p>
    <w:p w:rsidR="00204C8D" w:rsidRDefault="00813B04" w:rsidP="00204C8D">
      <w:r>
        <w:t>Look at Tall Buildings</w:t>
      </w:r>
    </w:p>
    <w:p w:rsidR="00813B04" w:rsidRDefault="00813B04" w:rsidP="00204C8D">
      <w:r>
        <w:rPr>
          <w:noProof/>
        </w:rPr>
        <w:lastRenderedPageBreak/>
        <w:drawing>
          <wp:inline distT="0" distB="0" distL="0" distR="0" wp14:anchorId="708C2BF7" wp14:editId="3996D85F">
            <wp:extent cx="5714286" cy="5380952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06" w:rsidRDefault="00B75306" w:rsidP="00204C8D"/>
    <w:p w:rsidR="00B75306" w:rsidRDefault="00B75306" w:rsidP="00204C8D">
      <w:r>
        <w:t>Glazing area is the only obvious quasi-linear correlation:</w:t>
      </w:r>
    </w:p>
    <w:p w:rsidR="00813B04" w:rsidRDefault="00813B04" w:rsidP="00204C8D">
      <w:r>
        <w:rPr>
          <w:noProof/>
        </w:rPr>
        <w:lastRenderedPageBreak/>
        <w:drawing>
          <wp:inline distT="0" distB="0" distL="0" distR="0" wp14:anchorId="3566FE15" wp14:editId="6A2D7397">
            <wp:extent cx="3200400" cy="3017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06" w:rsidRDefault="00B75306" w:rsidP="00204C8D">
      <w:r>
        <w:t>This violin plot illustrates that there are probably a couple more factors inside, but it’s hard to se</w:t>
      </w:r>
    </w:p>
    <w:p w:rsidR="00813B04" w:rsidRDefault="00813B04" w:rsidP="00204C8D"/>
    <w:p w:rsidR="00204C8D" w:rsidRDefault="00204C8D" w:rsidP="00204C8D">
      <w:r>
        <w:t>The same is true for Cooling Load:</w:t>
      </w:r>
    </w:p>
    <w:p w:rsidR="00204C8D" w:rsidRDefault="00204C8D" w:rsidP="00204C8D">
      <w:r>
        <w:rPr>
          <w:noProof/>
        </w:rPr>
        <w:drawing>
          <wp:inline distT="0" distB="0" distL="0" distR="0" wp14:anchorId="548EEE0E" wp14:editId="531DD7AC">
            <wp:extent cx="5946646" cy="42153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6646" cy="42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45" w:rsidRDefault="00040A45" w:rsidP="00040A45"/>
    <w:p w:rsidR="00040A45" w:rsidRPr="00040A45" w:rsidRDefault="00040A45" w:rsidP="00040A45"/>
    <w:p w:rsidR="00040A45" w:rsidRDefault="00040A45"/>
    <w:sectPr w:rsidR="0004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756A8"/>
    <w:multiLevelType w:val="hybridMultilevel"/>
    <w:tmpl w:val="42BE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45"/>
    <w:rsid w:val="00040A45"/>
    <w:rsid w:val="000816B8"/>
    <w:rsid w:val="000A3894"/>
    <w:rsid w:val="000F5585"/>
    <w:rsid w:val="00204C8D"/>
    <w:rsid w:val="002079B1"/>
    <w:rsid w:val="0027285B"/>
    <w:rsid w:val="003E69A8"/>
    <w:rsid w:val="00495E7B"/>
    <w:rsid w:val="005F5F84"/>
    <w:rsid w:val="00813B04"/>
    <w:rsid w:val="00827B29"/>
    <w:rsid w:val="008B17C4"/>
    <w:rsid w:val="009717E9"/>
    <w:rsid w:val="009F3DEE"/>
    <w:rsid w:val="00A33596"/>
    <w:rsid w:val="00B75306"/>
    <w:rsid w:val="00BA55F2"/>
    <w:rsid w:val="00C54681"/>
    <w:rsid w:val="00C60162"/>
    <w:rsid w:val="00CA3725"/>
    <w:rsid w:val="00E76922"/>
    <w:rsid w:val="00F4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E387"/>
  <w15:chartTrackingRefBased/>
  <w15:docId w15:val="{B0B1F674-CCAB-457D-B252-436CA1B1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A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0A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0A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0A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40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Wine</dc:creator>
  <cp:keywords/>
  <dc:description/>
  <cp:lastModifiedBy>Dave Wine</cp:lastModifiedBy>
  <cp:revision>9</cp:revision>
  <dcterms:created xsi:type="dcterms:W3CDTF">2017-01-16T03:17:00Z</dcterms:created>
  <dcterms:modified xsi:type="dcterms:W3CDTF">2017-01-17T06:14:00Z</dcterms:modified>
</cp:coreProperties>
</file>