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28"/>
          <w:szCs w:val="28"/>
        </w:rPr>
        <w:t xml:space="preserve">NHANES Liver Disease &amp; Hepatic Biomarker Mortality — Annotated Literature Search</w:t>
      </w:r>
    </w:p>
    <w:p>
      <w:pPr>
        <w:spacing w:after="120"/>
      </w:pPr>
      <w:r>
        <w:rPr>
          <w:rFonts w:ascii="Arial" w:cs="Arial" w:eastAsia="Arial" w:hAnsi="Arial"/>
          <w:sz w:val="22"/>
          <w:szCs w:val="22"/>
        </w:rPr>
        <w:t xml:space="preserve">Compiled: June 2, 2026</w:t>
      </w:r>
    </w:p>
    <w:p>
      <w:pPr>
        <w:spacing w:after="120"/>
      </w:pPr>
      <w:r>
        <w:rPr>
          <w:rFonts w:ascii="Arial" w:cs="Arial" w:eastAsia="Arial" w:hAnsi="Arial"/>
          <w:sz w:val="22"/>
          <w:szCs w:val="22"/>
        </w:rPr>
        <w:t xml:space="preserve">Purpose: Working bibliography for hepatobiliary mortality paper and nhanesR methods paper. Entries organized by topic with analytical commentary for manuscript placement. Items may be deleted or moved to reference manager as needed.</w:t>
      </w:r>
    </w:p>
    <w:p>
      <w:pPr>
        <w:spacing w:after="80"/>
      </w:pPr>
      <w:r>
        <w:t xml:space="preserve"/>
      </w:r>
    </w:p>
    <w:p>
      <w:pPr>
        <w:pStyle w:val="Heading2"/>
      </w:pPr>
      <w:r>
        <w:rPr>
          <w:rFonts w:ascii="Arial" w:cs="Arial" w:eastAsia="Arial" w:hAnsi="Arial"/>
          <w:b/>
          <w:bCs/>
          <w:color w:val="2E75B6"/>
          <w:sz w:val="24"/>
          <w:szCs w:val="24"/>
        </w:rPr>
        <w:t xml:space="preserve">1. NHANES Quality Framework — Primary Methodological Authority</w:t>
      </w:r>
    </w:p>
    <w:p>
      <w:pPr>
        <w:spacing w:after="80"/>
      </w:pPr>
      <w:r>
        <w:t xml:space="preserve"/>
      </w:r>
    </w:p>
    <w:p>
      <w:pPr>
        <w:spacing w:after="120"/>
      </w:pPr>
      <w:r>
        <w:rPr>
          <w:rFonts w:ascii="Arial" w:cs="Arial" w:eastAsia="Arial" w:hAnsi="Arial"/>
          <w:b/>
          <w:bCs/>
          <w:sz w:val="22"/>
          <w:szCs w:val="22"/>
        </w:rPr>
        <w:t xml:space="preserve">1.1</w:t>
      </w:r>
    </w:p>
    <w:p>
      <w:pPr>
        <w:spacing w:after="160" w:before="80"/>
        <w:ind w:left="720" w:hanging="720"/>
      </w:pPr>
      <w:r>
        <w:rPr>
          <w:rFonts w:ascii="Arial" w:cs="Arial" w:eastAsia="Arial" w:hAnsi="Arial"/>
          <w:sz w:val="22"/>
          <w:szCs w:val="22"/>
        </w:rPr>
        <w:t xml:space="preserve">National Center for Health Statistics. Guidelines for High Quality Analyses of NHANES Data. Centers for Disease Control and Prevention. Published January 26, 2026. Available at: https://wwwn.cdc.gov/nchs/nhanes/QualityAnalysesGuidelines.aspx. Accessed June 2026.</w:t>
      </w:r>
    </w:p>
    <w:p>
      <w:pPr>
        <w:spacing w:after="80" w:before="60"/>
        <w:ind w:left="720"/>
      </w:pPr>
      <w:r>
        <w:rPr>
          <w:rFonts w:ascii="Arial" w:cs="Arial" w:eastAsia="Arial" w:hAnsi="Arial"/>
          <w:i/>
          <w:iCs/>
          <w:color w:val="7B7B7B"/>
          <w:sz w:val="20"/>
          <w:szCs w:val="20"/>
        </w:rPr>
        <w:t xml:space="preserve">// CRITICAL PRIMARY CITATION. NCHS's own quality framework, published January 2026. Opening statement explicitly acknowledges: 'an exponential rise in NHANES-based studies has raised concerns about the publication of low-quality studies driven by freely available data and new artificial intelligence tools.' Directly positions nhanesR as a response to NCHS's stated concerns.</w:t>
      </w:r>
    </w:p>
    <w:p>
      <w:pPr>
        <w:spacing w:after="80" w:before="60"/>
        <w:ind w:left="720"/>
      </w:pPr>
      <w:r>
        <w:rPr>
          <w:rFonts w:ascii="Arial" w:cs="Arial" w:eastAsia="Arial" w:hAnsi="Arial"/>
          <w:i/>
          <w:iCs/>
          <w:color w:val="7B7B7B"/>
          <w:sz w:val="20"/>
          <w:szCs w:val="20"/>
        </w:rPr>
        <w:t xml:space="preserve">// Six quality criteria: (1) Skip patterns; (2) Bridging equations — cross-cycle lab method harmonization; (3) Survey weights — must be specified; (4) Survey design variables — PSU/strata required for correct variance; (5) Statistical reliability; (6) Weighted population counts. nhanesR satisfies all six at software level.</w:t>
      </w:r>
    </w:p>
    <w:p>
      <w:pPr>
        <w:spacing w:after="80" w:before="60"/>
        <w:ind w:left="720"/>
      </w:pPr>
      <w:r>
        <w:rPr>
          <w:rFonts w:ascii="Arial" w:cs="Arial" w:eastAsia="Arial" w:hAnsi="Arial"/>
          <w:i/>
          <w:iCs/>
          <w:color w:val="7B7B7B"/>
          <w:sz w:val="20"/>
          <w:szCs w:val="20"/>
        </w:rPr>
        <w:t xml:space="preserve">// Key quote for introduction: 'Using NHANES for unweighted analyses or as a convenience sample is generally not recommended given the clustered design. Inferences made using unweighted analyses are not generalizable to the US population.'</w:t>
      </w:r>
    </w:p>
    <w:p>
      <w:pPr>
        <w:spacing w:after="80" w:before="60"/>
        <w:ind w:left="720"/>
      </w:pPr>
      <w:r>
        <w:rPr>
          <w:rFonts w:ascii="Arial" w:cs="Arial" w:eastAsia="Arial" w:hAnsi="Arial"/>
          <w:i/>
          <w:iCs/>
          <w:color w:val="7B7B7B"/>
          <w:sz w:val="20"/>
          <w:szCs w:val="20"/>
        </w:rPr>
        <w:t xml:space="preserve">// Key quote for methods: 'If the survey design variables are not incorporated using specific statistical software (e.g., SUDAAN or survey procedures in SAS or R), analysts will overestimate precision and could inaccurately conclude that differences between subgroups are significant.'</w:t>
      </w:r>
    </w:p>
    <w:p>
      <w:pPr>
        <w:spacing w:after="80" w:before="60"/>
        <w:ind w:left="720"/>
      </w:pPr>
      <w:r>
        <w:rPr>
          <w:rFonts w:ascii="Arial" w:cs="Arial" w:eastAsia="Arial" w:hAnsi="Arial"/>
          <w:i/>
          <w:iCs/>
          <w:color w:val="7B7B7B"/>
          <w:sz w:val="20"/>
          <w:szCs w:val="20"/>
        </w:rPr>
        <w:t xml:space="preserve">// Cite in: Introduction, Methods, Discussion, nhanesR CRAN DESCRIPTION and pkgdown documentation.</w:t>
      </w:r>
    </w:p>
    <w:p>
      <w:pPr>
        <w:spacing w:after="80"/>
      </w:pPr>
      <w:r>
        <w:t xml:space="preserve"/>
      </w:r>
    </w:p>
    <w:p>
      <w:pPr>
        <w:spacing w:after="120"/>
      </w:pPr>
      <w:r>
        <w:rPr>
          <w:rFonts w:ascii="Arial" w:cs="Arial" w:eastAsia="Arial" w:hAnsi="Arial"/>
          <w:b/>
          <w:bCs/>
          <w:sz w:val="22"/>
          <w:szCs w:val="22"/>
        </w:rPr>
        <w:t xml:space="preserve">1.2  *** HIGHLY RECOMMENDED FOR INTRODUCTION ***</w:t>
      </w:r>
    </w:p>
    <w:p>
      <w:pPr>
        <w:spacing w:after="160" w:before="80"/>
        <w:ind w:left="720" w:hanging="720"/>
      </w:pPr>
      <w:r>
        <w:rPr>
          <w:rFonts w:ascii="Arial" w:cs="Arial" w:eastAsia="Arial" w:hAnsi="Arial"/>
          <w:sz w:val="22"/>
          <w:szCs w:val="22"/>
        </w:rPr>
        <w:t xml:space="preserve">Suchak T, Aliu AE, Harrison C, Zwiggelaar R, Geifman N, Spick M. Explosion of formulaic research articles, including inappropriate study designs and false discoveries, based on the NHANES US national health database. PLoS Biol. 2025;23(5):e3003152. doi:10.1371/journal.pbio.3003152. Published May 8, 2025.</w:t>
      </w:r>
    </w:p>
    <w:p>
      <w:pPr>
        <w:spacing w:after="80" w:before="60"/>
        <w:ind w:left="720"/>
      </w:pPr>
      <w:r>
        <w:rPr>
          <w:rFonts w:ascii="Arial" w:cs="Arial" w:eastAsia="Arial" w:hAnsi="Arial"/>
          <w:i/>
          <w:iCs/>
          <w:color w:val="7B7B7B"/>
          <w:sz w:val="20"/>
          <w:szCs w:val="20"/>
        </w:rPr>
        <w:t xml:space="preserve">// University of Surrey and Aberystwyth University, UK. Meta-Research Article in PLOS Biology. Systematic analysis of 341 NHANES single-factor analyses over the past decade.</w:t>
      </w:r>
    </w:p>
    <w:p>
      <w:pPr>
        <w:spacing w:after="80" w:before="60"/>
        <w:ind w:left="720"/>
      </w:pPr>
      <w:r>
        <w:rPr>
          <w:rFonts w:ascii="Arial" w:cs="Arial" w:eastAsia="Arial" w:hAnsi="Arial"/>
          <w:i/>
          <w:iCs/>
          <w:color w:val="7B7B7B"/>
          <w:sz w:val="20"/>
          <w:szCs w:val="20"/>
        </w:rPr>
        <w:t xml:space="preserve">// KEY FINDINGS: (1) Average 4 NHANES papers/year 2014–2021, exploding to 190 in 2024 alone. (2) 292/316 manuscripts 2021–2024 had primary author affiliation in China. (3) Average impact factor of publishing journals: 3.6. (4) Frontiers Media SA accounted for 22% of papers. (5) Papers systematically failed to account for multifactorial relationships, did not correct for false discovery, and used restricted date ranges without justification.</w:t>
      </w:r>
    </w:p>
    <w:p>
      <w:pPr>
        <w:spacing w:after="80" w:before="60"/>
        <w:ind w:left="720"/>
      </w:pPr>
      <w:r>
        <w:rPr>
          <w:rFonts w:ascii="Arial" w:cs="Arial" w:eastAsia="Arial" w:hAnsi="Arial"/>
          <w:i/>
          <w:iCs/>
          <w:color w:val="7B7B7B"/>
          <w:sz w:val="20"/>
          <w:szCs w:val="20"/>
        </w:rPr>
        <w:t xml:space="preserve">// Table 3 in Spick et al. lists SII-disease association papers as exemplars of formulaic single-factor analyses — two of which directly overlap with our analytic territory (see Sections 13.1 and 13.2 below).</w:t>
      </w:r>
    </w:p>
    <w:p>
      <w:pPr>
        <w:spacing w:after="80" w:before="60"/>
        <w:ind w:left="720"/>
      </w:pPr>
      <w:r>
        <w:rPr>
          <w:rFonts w:ascii="Arial" w:cs="Arial" w:eastAsia="Arial" w:hAnsi="Arial"/>
          <w:i/>
          <w:iCs/>
          <w:color w:val="7B7B7B"/>
          <w:sz w:val="20"/>
          <w:szCs w:val="20"/>
        </w:rPr>
        <w:t xml:space="preserve">// Our papers are the positive counter-exemplars: multifactorial joint surface analysis, full cycle range, proper survey weighting, crossed nonlinear interactions, reproducible open-source platform, pre-specified hypotheses.</w:t>
      </w:r>
    </w:p>
    <w:p>
      <w:pPr>
        <w:spacing w:after="80" w:before="60"/>
        <w:ind w:left="720"/>
      </w:pPr>
      <w:r>
        <w:rPr>
          <w:rFonts w:ascii="Arial" w:cs="Arial" w:eastAsia="Arial" w:hAnsi="Arial"/>
          <w:i/>
          <w:iCs/>
          <w:color w:val="7B7B7B"/>
          <w:sz w:val="20"/>
          <w:szCs w:val="20"/>
        </w:rPr>
        <w:t xml:space="preserve">// Cite in: Introduction — 'In response to documented concerns about low-quality NHANES analyses (Spick et al. 2025; NCHS 2026)...' URL: https://journals.plos.org/plosbiology/article?id=10.1371/journal.pbio.3003152</w:t>
      </w:r>
    </w:p>
    <w:p>
      <w:pPr>
        <w:spacing w:after="80"/>
      </w:pPr>
      <w:r>
        <w:t xml:space="preserve"/>
      </w:r>
    </w:p>
    <w:p>
      <w:pPr>
        <w:spacing w:after="120"/>
      </w:pPr>
      <w:r>
        <w:rPr>
          <w:rFonts w:ascii="Arial" w:cs="Arial" w:eastAsia="Arial" w:hAnsi="Arial"/>
          <w:b/>
          <w:bCs/>
          <w:sz w:val="22"/>
          <w:szCs w:val="22"/>
        </w:rPr>
        <w:t xml:space="preserve">1.3</w:t>
      </w:r>
    </w:p>
    <w:p>
      <w:pPr>
        <w:spacing w:after="160" w:before="80"/>
        <w:ind w:left="720" w:hanging="720"/>
      </w:pPr>
      <w:r>
        <w:rPr>
          <w:rFonts w:ascii="Arial" w:cs="Arial" w:eastAsia="Arial" w:hAnsi="Arial"/>
          <w:sz w:val="22"/>
          <w:szCs w:val="22"/>
        </w:rPr>
        <w:t xml:space="preserve">National Center for Health Statistics. NHANES Analytic Guidelines. Hyattsville, MD: Centers for Disease Control and Prevention; 2013. Available at: https://wwwn.cdc.gov/nchs/nhanes/analyticguidelines.aspx</w:t>
      </w:r>
    </w:p>
    <w:p>
      <w:pPr>
        <w:spacing w:after="80" w:before="60"/>
        <w:ind w:left="720"/>
      </w:pPr>
      <w:r>
        <w:rPr>
          <w:rFonts w:ascii="Arial" w:cs="Arial" w:eastAsia="Arial" w:hAnsi="Arial"/>
          <w:i/>
          <w:iCs/>
          <w:color w:val="7B7B7B"/>
          <w:sz w:val="20"/>
          <w:szCs w:val="20"/>
        </w:rPr>
        <w:t xml:space="preserve">// General NHANES analytic guidelines. Covers complex survey design broadly. Predates the January 2026 quality guidelines. Use in conjunction with 1.1 and 1.4.</w:t>
      </w:r>
    </w:p>
    <w:p>
      <w:pPr>
        <w:spacing w:after="80"/>
      </w:pPr>
      <w:r>
        <w:t xml:space="preserve"/>
      </w:r>
    </w:p>
    <w:p>
      <w:pPr>
        <w:spacing w:after="120"/>
      </w:pPr>
      <w:r>
        <w:rPr>
          <w:rFonts w:ascii="Arial" w:cs="Arial" w:eastAsia="Arial" w:hAnsi="Arial"/>
          <w:b/>
          <w:bCs/>
          <w:sz w:val="22"/>
          <w:szCs w:val="22"/>
        </w:rPr>
        <w:t xml:space="preserve">1.4</w:t>
      </w:r>
    </w:p>
    <w:p>
      <w:pPr>
        <w:spacing w:after="160" w:before="80"/>
        <w:ind w:left="720" w:hanging="720"/>
      </w:pPr>
      <w:r>
        <w:rPr>
          <w:rFonts w:ascii="Arial" w:cs="Arial" w:eastAsia="Arial" w:hAnsi="Arial"/>
          <w:sz w:val="22"/>
          <w:szCs w:val="22"/>
        </w:rPr>
        <w:t xml:space="preserve">National Center for Health Statistics. NHANES Tutorials — Weighting Module. Centers for Disease Control and Prevention. Available at: https://wwwn.cdc.gov/nchs/nhanes/tutorials/weighting.aspx. Accessed [date].</w:t>
      </w:r>
    </w:p>
    <w:p>
      <w:pPr>
        <w:spacing w:after="80" w:before="60"/>
        <w:ind w:left="720"/>
      </w:pPr>
      <w:r>
        <w:rPr>
          <w:rFonts w:ascii="Arial" w:cs="Arial" w:eastAsia="Arial" w:hAnsi="Arial"/>
          <w:i/>
          <w:iCs/>
          <w:color w:val="7B7B7B"/>
          <w:sz w:val="20"/>
          <w:szCs w:val="20"/>
        </w:rPr>
        <w:t xml:space="preserve">// Multi-cycle weight construction formulas. Current analyses (2003 onward) use WTMEC2YR/n_cycles throughout — WTMEC4YR complication does not apply to primary analyses but handled correctly in nhanesR.</w:t>
      </w:r>
    </w:p>
    <w:p>
      <w:pPr>
        <w:spacing w:after="80"/>
      </w:pPr>
      <w:r>
        <w:t xml:space="preserve"/>
      </w:r>
    </w:p>
    <w:p>
      <w:pPr>
        <w:spacing w:after="120"/>
      </w:pPr>
      <w:r>
        <w:rPr>
          <w:rFonts w:ascii="Arial" w:cs="Arial" w:eastAsia="Arial" w:hAnsi="Arial"/>
          <w:b/>
          <w:bCs/>
          <w:sz w:val="22"/>
          <w:szCs w:val="22"/>
        </w:rPr>
        <w:t xml:space="preserve">1.5</w:t>
      </w:r>
    </w:p>
    <w:p>
      <w:pPr>
        <w:spacing w:after="160" w:before="80"/>
        <w:ind w:left="720" w:hanging="720"/>
      </w:pPr>
      <w:r>
        <w:rPr>
          <w:rFonts w:ascii="Arial" w:cs="Arial" w:eastAsia="Arial" w:hAnsi="Arial"/>
          <w:sz w:val="22"/>
          <w:szCs w:val="22"/>
        </w:rPr>
        <w:t xml:space="preserve">National Center for Health Statistics. Public-Use Linked Mortality Files. Centers for Disease Control and Prevention. Updated August 2025. Available at: https://www.cdc.gov/nchs/data-linkage/mortality-public.htm</w:t>
      </w:r>
    </w:p>
    <w:p>
      <w:pPr>
        <w:spacing w:after="80" w:before="60"/>
        <w:ind w:left="720"/>
      </w:pPr>
      <w:r>
        <w:rPr>
          <w:rFonts w:ascii="Arial" w:cs="Arial" w:eastAsia="Arial" w:hAnsi="Arial"/>
          <w:i/>
          <w:iCs/>
          <w:color w:val="7B7B7B"/>
          <w:sz w:val="20"/>
          <w:szCs w:val="20"/>
        </w:rPr>
        <w:t xml:space="preserve">// Primary LMF documentation. Follow-up through December 31, 2019. NHANES 1999–2018. Data perturbation applied — caveat for cause-specific mortality analyses. Cite in Data Sources.</w:t>
      </w:r>
    </w:p>
    <w:p>
      <w:pPr>
        <w:spacing w:after="80"/>
      </w:pPr>
      <w:r>
        <w:t xml:space="preserve"/>
      </w:r>
    </w:p>
    <w:p>
      <w:pPr>
        <w:pStyle w:val="Heading2"/>
      </w:pPr>
      <w:r>
        <w:rPr>
          <w:rFonts w:ascii="Arial" w:cs="Arial" w:eastAsia="Arial" w:hAnsi="Arial"/>
          <w:b/>
          <w:bCs/>
          <w:color w:val="2E75B6"/>
          <w:sz w:val="24"/>
          <w:szCs w:val="24"/>
        </w:rPr>
        <w:t xml:space="preserve">2. Alkaline Phosphatase (ALP) and Mortality — NHANES</w:t>
      </w:r>
    </w:p>
    <w:p>
      <w:pPr>
        <w:spacing w:after="80"/>
      </w:pPr>
      <w:r>
        <w:t xml:space="preserve"/>
      </w:r>
    </w:p>
    <w:p>
      <w:pPr>
        <w:spacing w:after="120"/>
      </w:pPr>
      <w:r>
        <w:rPr>
          <w:rFonts w:ascii="Arial" w:cs="Arial" w:eastAsia="Arial" w:hAnsi="Arial"/>
          <w:b/>
          <w:bCs/>
          <w:sz w:val="22"/>
          <w:szCs w:val="22"/>
        </w:rPr>
        <w:t xml:space="preserve">2.1</w:t>
      </w:r>
    </w:p>
    <w:p>
      <w:pPr>
        <w:spacing w:after="160" w:before="80"/>
        <w:ind w:left="720" w:hanging="720"/>
      </w:pPr>
      <w:r>
        <w:rPr>
          <w:rFonts w:ascii="Arial" w:cs="Arial" w:eastAsia="Arial" w:hAnsi="Arial"/>
          <w:sz w:val="22"/>
          <w:szCs w:val="22"/>
        </w:rPr>
        <w:t xml:space="preserve">Yan W, Yan M, Wang H, Xu Z. Associations of serum alkaline phosphatase level with all-cause and cardiovascular mortality in the general population. Front Endocrinol (Lausanne). 2023;14:1217369. doi:10.3389/fendo.2023.1217369. PMC10585255.</w:t>
      </w:r>
    </w:p>
    <w:p>
      <w:pPr>
        <w:spacing w:after="80" w:before="60"/>
        <w:ind w:left="720"/>
      </w:pPr>
      <w:r>
        <w:rPr>
          <w:rFonts w:ascii="Arial" w:cs="Arial" w:eastAsia="Arial" w:hAnsi="Arial"/>
          <w:i/>
          <w:iCs/>
          <w:color w:val="7B7B7B"/>
          <w:sz w:val="20"/>
          <w:szCs w:val="20"/>
        </w:rPr>
        <w:t xml:space="preserve">// NHANES 1999–2014; N=34,147; Cox models. Primary NHANES ALP-mortality reference. Reports GGT as mediator (13–16%). CRITICAL LIMITATION: no survey weights or complex survey design — violates NCHS criteria 3 and 4 (Guideline 1.1). Exemplifies Spick et al. formulaic single-factor analysis pattern: Chinese institutional authors, Frontiers journal, IF ~4. Cite with explicit methodological caveat. PDF saved in ~/Documents/NHANES 1999-2018/literature/</w:t>
      </w:r>
    </w:p>
    <w:p>
      <w:pPr>
        <w:spacing w:after="80"/>
      </w:pPr>
      <w:r>
        <w:t xml:space="preserve"/>
      </w:r>
    </w:p>
    <w:p>
      <w:pPr>
        <w:spacing w:after="120"/>
      </w:pPr>
      <w:r>
        <w:rPr>
          <w:rFonts w:ascii="Arial" w:cs="Arial" w:eastAsia="Arial" w:hAnsi="Arial"/>
          <w:b/>
          <w:bCs/>
          <w:sz w:val="22"/>
          <w:szCs w:val="22"/>
        </w:rPr>
        <w:t xml:space="preserve">2.2</w:t>
      </w:r>
    </w:p>
    <w:p>
      <w:pPr>
        <w:spacing w:after="160" w:before="80"/>
        <w:ind w:left="720" w:hanging="720"/>
      </w:pPr>
      <w:r>
        <w:rPr>
          <w:rFonts w:ascii="Arial" w:cs="Arial" w:eastAsia="Arial" w:hAnsi="Arial"/>
          <w:sz w:val="22"/>
          <w:szCs w:val="22"/>
        </w:rPr>
        <w:t xml:space="preserve">Wu [first author TBD]. Association between alkaline phosphatase and cancer mortality in US adults. BMC Cancer. 2025;25:1157. doi:10.1186/s12885-025-14533-x.</w:t>
      </w:r>
    </w:p>
    <w:p>
      <w:pPr>
        <w:spacing w:after="80" w:before="60"/>
        <w:ind w:left="720"/>
      </w:pPr>
      <w:r>
        <w:rPr>
          <w:rFonts w:ascii="Arial" w:cs="Arial" w:eastAsia="Arial" w:hAnsi="Arial"/>
          <w:i/>
          <w:iCs/>
          <w:color w:val="7B7B7B"/>
          <w:sz w:val="20"/>
          <w:szCs w:val="20"/>
        </w:rPr>
        <w:t xml:space="preserve">// NHANES 2003–2016; ALP and cancer-specific mortality. Adjusted model includes ALT, AST, bilirubin, GGT. Survey weighting status unclear — verify.</w:t>
      </w:r>
    </w:p>
    <w:p>
      <w:pPr>
        <w:spacing w:after="80"/>
      </w:pPr>
      <w:r>
        <w:t xml:space="preserve"/>
      </w:r>
    </w:p>
    <w:p>
      <w:pPr>
        <w:spacing w:after="120"/>
      </w:pPr>
      <w:r>
        <w:rPr>
          <w:rFonts w:ascii="Arial" w:cs="Arial" w:eastAsia="Arial" w:hAnsi="Arial"/>
          <w:b/>
          <w:bCs/>
          <w:sz w:val="22"/>
          <w:szCs w:val="22"/>
        </w:rPr>
        <w:t xml:space="preserve">2.3</w:t>
      </w:r>
    </w:p>
    <w:p>
      <w:pPr>
        <w:spacing w:after="160" w:before="80"/>
        <w:ind w:left="720" w:hanging="720"/>
      </w:pPr>
      <w:r>
        <w:rPr>
          <w:rFonts w:ascii="Arial" w:cs="Arial" w:eastAsia="Arial" w:hAnsi="Arial"/>
          <w:sz w:val="22"/>
          <w:szCs w:val="22"/>
        </w:rPr>
        <w:t xml:space="preserve">[Author TBD]. Association of serum ALP with bone mineral density, osteoporosis, and mortality: NHANES 2005–2018. Osteoporos Int. 2025;36(2):283–[page].</w:t>
      </w:r>
    </w:p>
    <w:p>
      <w:pPr>
        <w:spacing w:after="80" w:before="60"/>
        <w:ind w:left="720"/>
      </w:pPr>
      <w:r>
        <w:rPr>
          <w:rFonts w:ascii="Arial" w:cs="Arial" w:eastAsia="Arial" w:hAnsi="Arial"/>
          <w:i/>
          <w:iCs/>
          <w:color w:val="7B7B7B"/>
          <w:sz w:val="20"/>
          <w:szCs w:val="20"/>
        </w:rPr>
        <w:t xml:space="preserve">// Bone-context ALP-mortality. Supports ALP as nonspecific metabolic stress signal — relevant for Discussion on source attribution without isoenzyme fractionation.</w:t>
      </w:r>
    </w:p>
    <w:p>
      <w:pPr>
        <w:spacing w:after="80"/>
      </w:pPr>
      <w:r>
        <w:t xml:space="preserve"/>
      </w:r>
    </w:p>
    <w:p>
      <w:pPr>
        <w:pStyle w:val="Heading2"/>
      </w:pPr>
      <w:r>
        <w:rPr>
          <w:rFonts w:ascii="Arial" w:cs="Arial" w:eastAsia="Arial" w:hAnsi="Arial"/>
          <w:b/>
          <w:bCs/>
          <w:color w:val="2E75B6"/>
          <w:sz w:val="24"/>
          <w:szCs w:val="24"/>
        </w:rPr>
        <w:t xml:space="preserve">3. GGT and Mortality — NHANES and General Population</w:t>
      </w:r>
    </w:p>
    <w:p>
      <w:pPr>
        <w:spacing w:after="80"/>
      </w:pPr>
      <w:r>
        <w:t xml:space="preserve"/>
      </w:r>
    </w:p>
    <w:p>
      <w:pPr>
        <w:spacing w:after="120"/>
      </w:pPr>
      <w:r>
        <w:rPr>
          <w:rFonts w:ascii="Arial" w:cs="Arial" w:eastAsia="Arial" w:hAnsi="Arial"/>
          <w:b/>
          <w:bCs/>
          <w:sz w:val="22"/>
          <w:szCs w:val="22"/>
        </w:rPr>
        <w:t xml:space="preserve">3.1</w:t>
      </w:r>
    </w:p>
    <w:p>
      <w:pPr>
        <w:spacing w:after="160" w:before="80"/>
        <w:ind w:left="720" w:hanging="720"/>
      </w:pPr>
      <w:r>
        <w:rPr>
          <w:rFonts w:ascii="Arial" w:cs="Arial" w:eastAsia="Arial" w:hAnsi="Arial"/>
          <w:sz w:val="22"/>
          <w:szCs w:val="22"/>
        </w:rPr>
        <w:t xml:space="preserve">[Author TBD]. Associations between elevated kidney and liver biomarker ratios, metabolic syndrome and all-cause and CHD mortality: NHANES 1999–2016. PMC8311936.</w:t>
      </w:r>
    </w:p>
    <w:p>
      <w:pPr>
        <w:spacing w:after="80" w:before="60"/>
        <w:ind w:left="720"/>
      </w:pPr>
      <w:r>
        <w:rPr>
          <w:rFonts w:ascii="Arial" w:cs="Arial" w:eastAsia="Arial" w:hAnsi="Arial"/>
          <w:i/>
          <w:iCs/>
          <w:color w:val="7B7B7B"/>
          <w:sz w:val="20"/>
          <w:szCs w:val="20"/>
        </w:rPr>
        <w:t xml:space="preserve">// GGT-ALP ratio and AST-ALT ratio combined with MetS in relation to mortality. HR elevated AST-ALT ratio 1.71 (all-cause), 2.22 with MetS (CHD). Ratio-based rather than joint surface. Verify survey weighting. URL: https://www.ncbi.nlm.nih.gov/pmc/articles/PMC8311936/</w:t>
      </w:r>
    </w:p>
    <w:p>
      <w:pPr>
        <w:spacing w:after="80"/>
      </w:pPr>
      <w:r>
        <w:t xml:space="preserve"/>
      </w:r>
    </w:p>
    <w:p>
      <w:pPr>
        <w:pStyle w:val="Heading2"/>
      </w:pPr>
      <w:r>
        <w:rPr>
          <w:rFonts w:ascii="Arial" w:cs="Arial" w:eastAsia="Arial" w:hAnsi="Arial"/>
          <w:b/>
          <w:bCs/>
          <w:color w:val="2E75B6"/>
          <w:sz w:val="24"/>
          <w:szCs w:val="24"/>
        </w:rPr>
        <w:t xml:space="preserve">4. Low AST/ALT as Mortality Signal — Sarcopenia and Frailty</w:t>
      </w:r>
    </w:p>
    <w:p>
      <w:pPr>
        <w:spacing w:after="80"/>
      </w:pPr>
      <w:r>
        <w:t xml:space="preserve"/>
      </w:r>
    </w:p>
    <w:p>
      <w:pPr>
        <w:spacing w:after="120"/>
      </w:pPr>
      <w:r>
        <w:rPr>
          <w:rFonts w:ascii="Arial" w:cs="Arial" w:eastAsia="Arial" w:hAnsi="Arial"/>
          <w:b/>
          <w:bCs/>
          <w:sz w:val="22"/>
          <w:szCs w:val="22"/>
        </w:rPr>
        <w:t xml:space="preserve">4.1</w:t>
      </w:r>
    </w:p>
    <w:p>
      <w:pPr>
        <w:spacing w:after="160" w:before="80"/>
        <w:ind w:left="720" w:hanging="720"/>
      </w:pPr>
      <w:r>
        <w:rPr>
          <w:rFonts w:ascii="Arial" w:cs="Arial" w:eastAsia="Arial" w:hAnsi="Arial"/>
          <w:sz w:val="22"/>
          <w:szCs w:val="22"/>
        </w:rPr>
        <w:t xml:space="preserve">Ramaty E, et al. Low ALT blood levels predict long-term all-cause mortality among adults. Eur J Intern Med. 2014;25(10):919–921. doi:10.1016/j.ejim.2014.10.006.</w:t>
      </w:r>
    </w:p>
    <w:p>
      <w:pPr>
        <w:spacing w:after="80" w:before="60"/>
        <w:ind w:left="720"/>
      </w:pPr>
      <w:r>
        <w:rPr>
          <w:rFonts w:ascii="Arial" w:cs="Arial" w:eastAsia="Arial" w:hAnsi="Arial"/>
          <w:i/>
          <w:iCs/>
          <w:color w:val="7B7B7B"/>
          <w:sz w:val="20"/>
          <w:szCs w:val="20"/>
        </w:rPr>
        <w:t xml:space="preserve">// Foundational paper establishing low-normal ALT as long-term mortality predictor via sarcopenia/frailty mechanism. Not NHANES. Does NOT examine interaction with biliary markers — our specific contribution.</w:t>
      </w:r>
    </w:p>
    <w:p>
      <w:pPr>
        <w:spacing w:after="80"/>
      </w:pPr>
      <w:r>
        <w:t xml:space="preserve"/>
      </w:r>
    </w:p>
    <w:p>
      <w:pPr>
        <w:spacing w:after="120"/>
      </w:pPr>
      <w:r>
        <w:rPr>
          <w:rFonts w:ascii="Arial" w:cs="Arial" w:eastAsia="Arial" w:hAnsi="Arial"/>
          <w:b/>
          <w:bCs/>
          <w:sz w:val="22"/>
          <w:szCs w:val="22"/>
        </w:rPr>
        <w:t xml:space="preserve">4.2</w:t>
      </w:r>
    </w:p>
    <w:p>
      <w:pPr>
        <w:spacing w:after="160" w:before="80"/>
        <w:ind w:left="720" w:hanging="720"/>
      </w:pPr>
      <w:r>
        <w:rPr>
          <w:rFonts w:ascii="Arial" w:cs="Arial" w:eastAsia="Arial" w:hAnsi="Arial"/>
          <w:sz w:val="22"/>
          <w:szCs w:val="22"/>
        </w:rPr>
        <w:t xml:space="preserve">[Author TBD]. Low ALT independently associated with 22-year all-cause mortality in CHD patients. J Gen Intern Med. 2015. doi:10.1007/s11606-015-3480-6.</w:t>
      </w:r>
    </w:p>
    <w:p>
      <w:pPr>
        <w:spacing w:after="80" w:before="60"/>
        <w:ind w:left="720"/>
      </w:pPr>
      <w:r>
        <w:rPr>
          <w:rFonts w:ascii="Arial" w:cs="Arial" w:eastAsia="Arial" w:hAnsi="Arial"/>
          <w:i/>
          <w:iCs/>
          <w:color w:val="7B7B7B"/>
          <w:sz w:val="20"/>
          <w:szCs w:val="20"/>
        </w:rPr>
        <w:t xml:space="preserve">// CHD cohort, 22-year follow-up. Explicit sarcopenia hypothesis.</w:t>
      </w:r>
    </w:p>
    <w:p>
      <w:pPr>
        <w:spacing w:after="80"/>
      </w:pPr>
      <w:r>
        <w:t xml:space="preserve"/>
      </w:r>
    </w:p>
    <w:p>
      <w:pPr>
        <w:spacing w:after="120"/>
      </w:pPr>
      <w:r>
        <w:rPr>
          <w:rFonts w:ascii="Arial" w:cs="Arial" w:eastAsia="Arial" w:hAnsi="Arial"/>
          <w:b/>
          <w:bCs/>
          <w:sz w:val="22"/>
          <w:szCs w:val="22"/>
        </w:rPr>
        <w:t xml:space="preserve">4.3</w:t>
      </w:r>
    </w:p>
    <w:p>
      <w:pPr>
        <w:spacing w:after="160" w:before="80"/>
        <w:ind w:left="720" w:hanging="720"/>
      </w:pPr>
      <w:r>
        <w:rPr>
          <w:rFonts w:ascii="Arial" w:cs="Arial" w:eastAsia="Arial" w:hAnsi="Arial"/>
          <w:sz w:val="22"/>
          <w:szCs w:val="22"/>
        </w:rPr>
        <w:t xml:space="preserve">[Author TBD]. Low ALT as sarcopenia/frailty marker in bladder cancer patients. [Journal]. 2024. PMC10778009.</w:t>
      </w:r>
    </w:p>
    <w:p>
      <w:pPr>
        <w:spacing w:after="80" w:before="60"/>
        <w:ind w:left="720"/>
      </w:pPr>
      <w:r>
        <w:rPr>
          <w:rFonts w:ascii="Arial" w:cs="Arial" w:eastAsia="Arial" w:hAnsi="Arial"/>
          <w:i/>
          <w:iCs/>
          <w:color w:val="7B7B7B"/>
          <w:sz w:val="20"/>
          <w:szCs w:val="20"/>
        </w:rPr>
        <w:t xml:space="preserve">// N=3,075; ALT &lt;17 IU/L as sarcopenia definition. Establishes ALT-sarcopenia-mortality chain as background for low-AST signal.</w:t>
      </w:r>
    </w:p>
    <w:p>
      <w:pPr>
        <w:spacing w:after="80"/>
      </w:pPr>
      <w:r>
        <w:t xml:space="preserve"/>
      </w:r>
    </w:p>
    <w:p>
      <w:pPr>
        <w:spacing w:after="120"/>
      </w:pPr>
      <w:r>
        <w:rPr>
          <w:rFonts w:ascii="Arial" w:cs="Arial" w:eastAsia="Arial" w:hAnsi="Arial"/>
          <w:b/>
          <w:bCs/>
          <w:sz w:val="22"/>
          <w:szCs w:val="22"/>
        </w:rPr>
        <w:t xml:space="preserve">4.4</w:t>
      </w:r>
    </w:p>
    <w:p>
      <w:pPr>
        <w:spacing w:after="160" w:before="80"/>
        <w:ind w:left="720" w:hanging="720"/>
      </w:pPr>
      <w:r>
        <w:rPr>
          <w:rFonts w:ascii="Arial" w:cs="Arial" w:eastAsia="Arial" w:hAnsi="Arial"/>
          <w:sz w:val="22"/>
          <w:szCs w:val="22"/>
        </w:rPr>
        <w:t xml:space="preserve">[Author TBD]. Low ALT combined with hypothyroidism and 5-year mortality. [Full citation TBD — 21-year retrospective, N=16,827, HR 3.6].</w:t>
      </w:r>
    </w:p>
    <w:p>
      <w:pPr>
        <w:spacing w:after="80" w:before="60"/>
        <w:ind w:left="720"/>
      </w:pPr>
      <w:r>
        <w:rPr>
          <w:rFonts w:ascii="Arial" w:cs="Arial" w:eastAsia="Arial" w:hAnsi="Arial"/>
          <w:i/>
          <w:iCs/>
          <w:color w:val="7B7B7B"/>
          <w:sz w:val="20"/>
          <w:szCs w:val="20"/>
        </w:rPr>
        <w:t xml:space="preserve">// Low ALT interaction with comorbidity — analogous to low AST lethal in biliary-elevated context. Verify full citation.</w:t>
      </w:r>
    </w:p>
    <w:p>
      <w:pPr>
        <w:spacing w:after="80"/>
      </w:pPr>
      <w:r>
        <w:t xml:space="preserve"/>
      </w:r>
    </w:p>
    <w:p>
      <w:pPr>
        <w:spacing w:after="120"/>
      </w:pPr>
      <w:r>
        <w:rPr>
          <w:rFonts w:ascii="Arial" w:cs="Arial" w:eastAsia="Arial" w:hAnsi="Arial"/>
          <w:b/>
          <w:bCs/>
          <w:sz w:val="22"/>
          <w:szCs w:val="22"/>
        </w:rPr>
        <w:t xml:space="preserve">4.5</w:t>
      </w:r>
    </w:p>
    <w:p>
      <w:pPr>
        <w:spacing w:after="160" w:before="80"/>
        <w:ind w:left="720" w:hanging="720"/>
      </w:pPr>
      <w:r>
        <w:rPr>
          <w:rFonts w:ascii="Arial" w:cs="Arial" w:eastAsia="Arial" w:hAnsi="Arial"/>
          <w:sz w:val="22"/>
          <w:szCs w:val="22"/>
        </w:rPr>
        <w:t xml:space="preserve">[Author TBD]. AST/ALT ratio as muscle mass proxy in community-acquired pneumonia. [Full citation TBD].</w:t>
      </w:r>
    </w:p>
    <w:p>
      <w:pPr>
        <w:spacing w:after="80" w:before="60"/>
        <w:ind w:left="720"/>
      </w:pPr>
      <w:r>
        <w:rPr>
          <w:rFonts w:ascii="Arial" w:cs="Arial" w:eastAsia="Arial" w:hAnsi="Arial"/>
          <w:i/>
          <w:iCs/>
          <w:color w:val="7B7B7B"/>
          <w:sz w:val="20"/>
          <w:szCs w:val="20"/>
        </w:rPr>
        <w:t xml:space="preserve">// Validates AST as independent sarcopenia signal. Directly supports low-AST burnout interpretation. Verify citation.</w:t>
      </w:r>
    </w:p>
    <w:p>
      <w:pPr>
        <w:spacing w:after="80"/>
      </w:pPr>
      <w:r>
        <w:t xml:space="preserve"/>
      </w:r>
    </w:p>
    <w:p>
      <w:pPr>
        <w:pStyle w:val="Heading2"/>
      </w:pPr>
      <w:r>
        <w:rPr>
          <w:rFonts w:ascii="Arial" w:cs="Arial" w:eastAsia="Arial" w:hAnsi="Arial"/>
          <w:b/>
          <w:bCs/>
          <w:color w:val="2E75B6"/>
          <w:sz w:val="24"/>
          <w:szCs w:val="24"/>
        </w:rPr>
        <w:t xml:space="preserve">5. NAFLD/NASH and Mortality — NHANES</w:t>
      </w:r>
    </w:p>
    <w:p>
      <w:pPr>
        <w:spacing w:after="80"/>
      </w:pPr>
      <w:r>
        <w:t xml:space="preserve"/>
      </w:r>
    </w:p>
    <w:p>
      <w:pPr>
        <w:spacing w:after="120"/>
      </w:pPr>
      <w:r>
        <w:rPr>
          <w:rFonts w:ascii="Arial" w:cs="Arial" w:eastAsia="Arial" w:hAnsi="Arial"/>
          <w:b/>
          <w:bCs/>
          <w:sz w:val="22"/>
          <w:szCs w:val="22"/>
        </w:rPr>
        <w:t xml:space="preserve">5.1</w:t>
      </w:r>
    </w:p>
    <w:p>
      <w:pPr>
        <w:spacing w:after="160" w:before="80"/>
        <w:ind w:left="720" w:hanging="720"/>
      </w:pPr>
      <w:r>
        <w:rPr>
          <w:rFonts w:ascii="Arial" w:cs="Arial" w:eastAsia="Arial" w:hAnsi="Arial"/>
          <w:sz w:val="22"/>
          <w:szCs w:val="22"/>
        </w:rPr>
        <w:t xml:space="preserve">[Author TBD]. Association between NAFLD and mortality in US adults. [Journal]. 2024. PMC11620881.</w:t>
      </w:r>
    </w:p>
    <w:p>
      <w:pPr>
        <w:spacing w:after="80" w:before="60"/>
        <w:ind w:left="720"/>
      </w:pPr>
      <w:r>
        <w:rPr>
          <w:rFonts w:ascii="Arial" w:cs="Arial" w:eastAsia="Arial" w:hAnsi="Arial"/>
          <w:i/>
          <w:iCs/>
          <w:color w:val="7B7B7B"/>
          <w:sz w:val="20"/>
          <w:szCs w:val="20"/>
        </w:rPr>
        <w:t xml:space="preserve">// NHANES 2003–2018; N=32,698. Fatty Liver Index surrogate. Weighted Cox models. Same cycle range as our analysis. Verify survey weighting.</w:t>
      </w:r>
    </w:p>
    <w:p>
      <w:pPr>
        <w:spacing w:after="80"/>
      </w:pPr>
      <w:r>
        <w:t xml:space="preserve"/>
      </w:r>
    </w:p>
    <w:p>
      <w:pPr>
        <w:spacing w:after="120"/>
      </w:pPr>
      <w:r>
        <w:rPr>
          <w:rFonts w:ascii="Arial" w:cs="Arial" w:eastAsia="Arial" w:hAnsi="Arial"/>
          <w:b/>
          <w:bCs/>
          <w:sz w:val="22"/>
          <w:szCs w:val="22"/>
        </w:rPr>
        <w:t xml:space="preserve">5.2</w:t>
      </w:r>
    </w:p>
    <w:p>
      <w:pPr>
        <w:spacing w:after="160" w:before="80"/>
        <w:ind w:left="720" w:hanging="720"/>
      </w:pPr>
      <w:r>
        <w:rPr>
          <w:rFonts w:ascii="Arial" w:cs="Arial" w:eastAsia="Arial" w:hAnsi="Arial"/>
          <w:sz w:val="22"/>
          <w:szCs w:val="22"/>
        </w:rPr>
        <w:t xml:space="preserve">[Author TBD]. Metabolic syndrome components increase mortality risk in NAFLD. [Journal]. 2018. PMC5895395.</w:t>
      </w:r>
    </w:p>
    <w:p>
      <w:pPr>
        <w:spacing w:after="80" w:before="60"/>
        <w:ind w:left="720"/>
      </w:pPr>
      <w:r>
        <w:rPr>
          <w:rFonts w:ascii="Arial" w:cs="Arial" w:eastAsia="Arial" w:hAnsi="Arial"/>
          <w:i/>
          <w:iCs/>
          <w:color w:val="7B7B7B"/>
          <w:sz w:val="20"/>
          <w:szCs w:val="20"/>
        </w:rPr>
        <w:t xml:space="preserve">// NHANES mortality linkage through 2011; 19-year follow-up. NAFLD+MetS associated with cardiac and liver mortality. Relevant for cardiac cirrhosis hypothesis.</w:t>
      </w:r>
    </w:p>
    <w:p>
      <w:pPr>
        <w:spacing w:after="80"/>
      </w:pPr>
      <w:r>
        <w:t xml:space="preserve"/>
      </w:r>
    </w:p>
    <w:p>
      <w:pPr>
        <w:spacing w:after="120"/>
      </w:pPr>
      <w:r>
        <w:rPr>
          <w:rFonts w:ascii="Arial" w:cs="Arial" w:eastAsia="Arial" w:hAnsi="Arial"/>
          <w:b/>
          <w:bCs/>
          <w:sz w:val="22"/>
          <w:szCs w:val="22"/>
        </w:rPr>
        <w:t xml:space="preserve">5.3</w:t>
      </w:r>
    </w:p>
    <w:p>
      <w:pPr>
        <w:spacing w:after="160" w:before="80"/>
        <w:ind w:left="720" w:hanging="720"/>
      </w:pPr>
      <w:r>
        <w:rPr>
          <w:rFonts w:ascii="Arial" w:cs="Arial" w:eastAsia="Arial" w:hAnsi="Arial"/>
          <w:sz w:val="22"/>
          <w:szCs w:val="22"/>
        </w:rPr>
        <w:t xml:space="preserve">[Author TBD]. Racial disparities in mortality in hepatic steatosis, NAFLD, NASH: NHANES III. J Racial Ethn Health Disparities. 2025. doi:10.1007/s40615-025-02317-9.</w:t>
      </w:r>
    </w:p>
    <w:p>
      <w:pPr>
        <w:spacing w:after="80" w:before="60"/>
        <w:ind w:left="720"/>
      </w:pPr>
      <w:r>
        <w:rPr>
          <w:rFonts w:ascii="Arial" w:cs="Arial" w:eastAsia="Arial" w:hAnsi="Arial"/>
          <w:i/>
          <w:iCs/>
          <w:color w:val="7B7B7B"/>
          <w:sz w:val="20"/>
          <w:szCs w:val="20"/>
        </w:rPr>
        <w:t xml:space="preserve">// NHANES III. NASH mortality 50.6%. Long follow-up context.</w:t>
      </w:r>
    </w:p>
    <w:p>
      <w:pPr>
        <w:spacing w:after="80"/>
      </w:pPr>
      <w:r>
        <w:t xml:space="preserve"/>
      </w:r>
    </w:p>
    <w:p>
      <w:pPr>
        <w:spacing w:after="120"/>
      </w:pPr>
      <w:r>
        <w:rPr>
          <w:rFonts w:ascii="Arial" w:cs="Arial" w:eastAsia="Arial" w:hAnsi="Arial"/>
          <w:b/>
          <w:bCs/>
          <w:sz w:val="22"/>
          <w:szCs w:val="22"/>
        </w:rPr>
        <w:t xml:space="preserve">5.4</w:t>
      </w:r>
    </w:p>
    <w:p>
      <w:pPr>
        <w:spacing w:after="160" w:before="80"/>
        <w:ind w:left="720" w:hanging="720"/>
      </w:pPr>
      <w:r>
        <w:rPr>
          <w:rFonts w:ascii="Arial" w:cs="Arial" w:eastAsia="Arial" w:hAnsi="Arial"/>
          <w:sz w:val="22"/>
          <w:szCs w:val="22"/>
        </w:rPr>
        <w:t xml:space="preserve">[Author TBD]. Machine learning models predict all-cause mortality in NAFLD patients: NHANES study. Nutr J. 2025. PMC12220616.</w:t>
      </w:r>
    </w:p>
    <w:p>
      <w:pPr>
        <w:spacing w:after="80" w:before="60"/>
        <w:ind w:left="720"/>
      </w:pPr>
      <w:r>
        <w:rPr>
          <w:rFonts w:ascii="Arial" w:cs="Arial" w:eastAsia="Arial" w:hAnsi="Arial"/>
          <w:i/>
          <w:iCs/>
          <w:color w:val="7B7B7B"/>
          <w:sz w:val="20"/>
          <w:szCs w:val="20"/>
        </w:rPr>
        <w:t xml:space="preserve">// NHANES 2007–2018; ML approach. Background context only.</w:t>
      </w:r>
    </w:p>
    <w:p>
      <w:pPr>
        <w:spacing w:after="80"/>
      </w:pPr>
      <w:r>
        <w:t xml:space="preserve"/>
      </w:r>
    </w:p>
    <w:p>
      <w:pPr>
        <w:pStyle w:val="Heading2"/>
      </w:pPr>
      <w:r>
        <w:rPr>
          <w:rFonts w:ascii="Arial" w:cs="Arial" w:eastAsia="Arial" w:hAnsi="Arial"/>
          <w:b/>
          <w:bCs/>
          <w:color w:val="2E75B6"/>
          <w:sz w:val="24"/>
          <w:szCs w:val="24"/>
        </w:rPr>
        <w:t xml:space="preserve">6. FIB-4 and Non-Invasive Fibrosis Scores — NHANES Mortality</w:t>
      </w:r>
    </w:p>
    <w:p>
      <w:pPr>
        <w:spacing w:after="80"/>
      </w:pPr>
      <w:r>
        <w:t xml:space="preserve"/>
      </w:r>
    </w:p>
    <w:p>
      <w:pPr>
        <w:spacing w:after="120"/>
      </w:pPr>
      <w:r>
        <w:rPr>
          <w:rFonts w:ascii="Arial" w:cs="Arial" w:eastAsia="Arial" w:hAnsi="Arial"/>
          <w:b/>
          <w:bCs/>
          <w:sz w:val="22"/>
          <w:szCs w:val="22"/>
        </w:rPr>
        <w:t xml:space="preserve">6.1</w:t>
      </w:r>
    </w:p>
    <w:p>
      <w:pPr>
        <w:spacing w:after="160" w:before="80"/>
        <w:ind w:left="720" w:hanging="720"/>
      </w:pPr>
      <w:r>
        <w:rPr>
          <w:rFonts w:ascii="Arial" w:cs="Arial" w:eastAsia="Arial" w:hAnsi="Arial"/>
          <w:sz w:val="22"/>
          <w:szCs w:val="22"/>
        </w:rPr>
        <w:t xml:space="preserve">[Author TBD]. FIB-4 as predictor of all-cause and CVD mortality in CKD: NHANES 2005–2020. PLoS One. 2025. PMC12316213.</w:t>
      </w:r>
    </w:p>
    <w:p>
      <w:pPr>
        <w:spacing w:after="80" w:before="60"/>
        <w:ind w:left="720"/>
      </w:pPr>
      <w:r>
        <w:rPr>
          <w:rFonts w:ascii="Arial" w:cs="Arial" w:eastAsia="Arial" w:hAnsi="Arial"/>
          <w:i/>
          <w:iCs/>
          <w:color w:val="7B7B7B"/>
          <w:sz w:val="20"/>
          <w:szCs w:val="20"/>
        </w:rPr>
        <w:t xml:space="preserve">// N=28,231. FIB-4 RCS threshold at 1.84. CRITICAL: very low AST in burnout phenotype produces low FIB-4 — false reassurance. Direct critique of FIB-4 that our joint surface addresses.</w:t>
      </w:r>
    </w:p>
    <w:p>
      <w:pPr>
        <w:spacing w:after="80"/>
      </w:pPr>
      <w:r>
        <w:t xml:space="preserve"/>
      </w:r>
    </w:p>
    <w:p>
      <w:pPr>
        <w:spacing w:after="120"/>
      </w:pPr>
      <w:r>
        <w:rPr>
          <w:rFonts w:ascii="Arial" w:cs="Arial" w:eastAsia="Arial" w:hAnsi="Arial"/>
          <w:b/>
          <w:bCs/>
          <w:sz w:val="22"/>
          <w:szCs w:val="22"/>
        </w:rPr>
        <w:t xml:space="preserve">6.2</w:t>
      </w:r>
    </w:p>
    <w:p>
      <w:pPr>
        <w:spacing w:after="160" w:before="80"/>
        <w:ind w:left="720" w:hanging="720"/>
      </w:pPr>
      <w:r>
        <w:rPr>
          <w:rFonts w:ascii="Arial" w:cs="Arial" w:eastAsia="Arial" w:hAnsi="Arial"/>
          <w:sz w:val="22"/>
          <w:szCs w:val="22"/>
        </w:rPr>
        <w:t xml:space="preserve">[Author TBD]. FIB-4 and mortality in diabetic individuals: NHANES 1999–2008. Front Cardiovasc Med. 2023. PMC10560879.</w:t>
      </w:r>
    </w:p>
    <w:p>
      <w:pPr>
        <w:spacing w:after="80" w:before="60"/>
        <w:ind w:left="720"/>
      </w:pPr>
      <w:r>
        <w:rPr>
          <w:rFonts w:ascii="Arial" w:cs="Arial" w:eastAsia="Arial" w:hAnsi="Arial"/>
          <w:i/>
          <w:iCs/>
          <w:color w:val="7B7B7B"/>
          <w:sz w:val="20"/>
          <w:szCs w:val="20"/>
        </w:rPr>
        <w:t xml:space="preserve">// N=3,471 diabetic; RCS and Cox. Reinforces FIB-4 false-negative issue in burnout phenotype.</w:t>
      </w:r>
    </w:p>
    <w:p>
      <w:pPr>
        <w:spacing w:after="80"/>
      </w:pPr>
      <w:r>
        <w:t xml:space="preserve"/>
      </w:r>
    </w:p>
    <w:p>
      <w:pPr>
        <w:spacing w:after="120"/>
      </w:pPr>
      <w:r>
        <w:rPr>
          <w:rFonts w:ascii="Arial" w:cs="Arial" w:eastAsia="Arial" w:hAnsi="Arial"/>
          <w:b/>
          <w:bCs/>
          <w:sz w:val="22"/>
          <w:szCs w:val="22"/>
        </w:rPr>
        <w:t xml:space="preserve">6.3</w:t>
      </w:r>
    </w:p>
    <w:p>
      <w:pPr>
        <w:spacing w:after="160" w:before="80"/>
        <w:ind w:left="720" w:hanging="720"/>
      </w:pPr>
      <w:r>
        <w:rPr>
          <w:rFonts w:ascii="Arial" w:cs="Arial" w:eastAsia="Arial" w:hAnsi="Arial"/>
          <w:sz w:val="22"/>
          <w:szCs w:val="22"/>
        </w:rPr>
        <w:t xml:space="preserve">[Author TBD]. SAFE score outperforms FIB-4 for liver disease screening: NHANES 1999–2016. [Journal]. 2024.</w:t>
      </w:r>
    </w:p>
    <w:p>
      <w:pPr>
        <w:spacing w:after="80" w:before="60"/>
        <w:ind w:left="720"/>
      </w:pPr>
      <w:r>
        <w:rPr>
          <w:rFonts w:ascii="Arial" w:cs="Arial" w:eastAsia="Arial" w:hAnsi="Arial"/>
          <w:i/>
          <w:iCs/>
          <w:color w:val="7B7B7B"/>
          <w:sz w:val="20"/>
          <w:szCs w:val="20"/>
        </w:rPr>
        <w:t xml:space="preserve">// SAFE c-statistic 0.759 vs FIB-4 0.738. FIB-4 already being superseded. Our enzyme surface approach may offer comparable discrimination without requiring platelets.</w:t>
      </w:r>
    </w:p>
    <w:p>
      <w:pPr>
        <w:spacing w:after="80"/>
      </w:pPr>
      <w:r>
        <w:t xml:space="preserve"/>
      </w:r>
    </w:p>
    <w:p>
      <w:pPr>
        <w:pStyle w:val="Heading2"/>
      </w:pPr>
      <w:r>
        <w:rPr>
          <w:rFonts w:ascii="Arial" w:cs="Arial" w:eastAsia="Arial" w:hAnsi="Arial"/>
          <w:b/>
          <w:bCs/>
          <w:color w:val="2E75B6"/>
          <w:sz w:val="24"/>
          <w:szCs w:val="24"/>
        </w:rPr>
        <w:t xml:space="preserve">7. Hepatitis C and Mortality — NHANES</w:t>
      </w:r>
    </w:p>
    <w:p>
      <w:pPr>
        <w:spacing w:after="80"/>
      </w:pPr>
      <w:r>
        <w:t xml:space="preserve"/>
      </w:r>
    </w:p>
    <w:p>
      <w:pPr>
        <w:spacing w:after="120"/>
      </w:pPr>
      <w:r>
        <w:rPr>
          <w:rFonts w:ascii="Arial" w:cs="Arial" w:eastAsia="Arial" w:hAnsi="Arial"/>
          <w:b/>
          <w:bCs/>
          <w:sz w:val="22"/>
          <w:szCs w:val="22"/>
        </w:rPr>
        <w:t xml:space="preserve">7.1</w:t>
      </w:r>
    </w:p>
    <w:p>
      <w:pPr>
        <w:spacing w:after="160" w:before="80"/>
        <w:ind w:left="720" w:hanging="720"/>
      </w:pPr>
      <w:r>
        <w:rPr>
          <w:rFonts w:ascii="Arial" w:cs="Arial" w:eastAsia="Arial" w:hAnsi="Arial"/>
          <w:sz w:val="22"/>
          <w:szCs w:val="22"/>
        </w:rPr>
        <w:t xml:space="preserve">El-Kamary SS, Jhaveri R, Shardell MD. All-cause, liver-related, and non-liver-related mortality among HCV-infected individuals. Clin Infect Dis. 2011;53(2):150–157. doi:10.1093/cid/cir306. PMID:21665867.</w:t>
      </w:r>
    </w:p>
    <w:p>
      <w:pPr>
        <w:spacing w:after="80" w:before="60"/>
        <w:ind w:left="720"/>
      </w:pPr>
      <w:r>
        <w:rPr>
          <w:rFonts w:ascii="Arial" w:cs="Arial" w:eastAsia="Arial" w:hAnsi="Arial"/>
          <w:i/>
          <w:iCs/>
          <w:color w:val="7B7B7B"/>
          <w:sz w:val="20"/>
          <w:szCs w:val="20"/>
        </w:rPr>
        <w:t xml:space="preserve">// NHANES III; N=9,378; 614 deaths; 14.8-year follow-up. HCV: all-cause MRR 2.37, liver MRR 26.46. Weighted Cox — methodologically sound. Primary NHANES HCV mortality reference.</w:t>
      </w:r>
    </w:p>
    <w:p>
      <w:pPr>
        <w:spacing w:after="80"/>
      </w:pPr>
      <w:r>
        <w:t xml:space="preserve"/>
      </w:r>
    </w:p>
    <w:p>
      <w:pPr>
        <w:spacing w:after="120"/>
      </w:pPr>
      <w:r>
        <w:rPr>
          <w:rFonts w:ascii="Arial" w:cs="Arial" w:eastAsia="Arial" w:hAnsi="Arial"/>
          <w:b/>
          <w:bCs/>
          <w:sz w:val="22"/>
          <w:szCs w:val="22"/>
        </w:rPr>
        <w:t xml:space="preserve">7.2</w:t>
      </w:r>
    </w:p>
    <w:p>
      <w:pPr>
        <w:spacing w:after="160" w:before="80"/>
        <w:ind w:left="720" w:hanging="720"/>
      </w:pPr>
      <w:r>
        <w:rPr>
          <w:rFonts w:ascii="Arial" w:cs="Arial" w:eastAsia="Arial" w:hAnsi="Arial"/>
          <w:sz w:val="22"/>
          <w:szCs w:val="22"/>
        </w:rPr>
        <w:t xml:space="preserve">[Author TBD]. Racial disparity in all-cause mortality in HCV-infected individuals: NHANES III. [Journal]. 2016. PMID:27905175.</w:t>
      </w:r>
    </w:p>
    <w:p>
      <w:pPr>
        <w:spacing w:after="80" w:before="60"/>
        <w:ind w:left="720"/>
      </w:pPr>
      <w:r>
        <w:rPr>
          <w:rFonts w:ascii="Arial" w:cs="Arial" w:eastAsia="Arial" w:hAnsi="Arial"/>
          <w:i/>
          <w:iCs/>
          <w:color w:val="7B7B7B"/>
          <w:sz w:val="20"/>
          <w:szCs w:val="20"/>
        </w:rPr>
        <w:t xml:space="preserve">// 19.8-year follow-up. HCV MRR 2.63. Extends El-Kamary with racial stratification.</w:t>
      </w:r>
    </w:p>
    <w:p>
      <w:pPr>
        <w:spacing w:after="80"/>
      </w:pPr>
      <w:r>
        <w:t xml:space="preserve"/>
      </w:r>
    </w:p>
    <w:p>
      <w:pPr>
        <w:spacing w:after="120"/>
      </w:pPr>
      <w:r>
        <w:rPr>
          <w:rFonts w:ascii="Arial" w:cs="Arial" w:eastAsia="Arial" w:hAnsi="Arial"/>
          <w:b/>
          <w:bCs/>
          <w:sz w:val="22"/>
          <w:szCs w:val="22"/>
        </w:rPr>
        <w:t xml:space="preserve">7.3</w:t>
      </w:r>
    </w:p>
    <w:p>
      <w:pPr>
        <w:spacing w:after="160" w:before="80"/>
        <w:ind w:left="720" w:hanging="720"/>
      </w:pPr>
      <w:r>
        <w:rPr>
          <w:rFonts w:ascii="Arial" w:cs="Arial" w:eastAsia="Arial" w:hAnsi="Arial"/>
          <w:sz w:val="22"/>
          <w:szCs w:val="22"/>
        </w:rPr>
        <w:t xml:space="preserve">[Author TBD]. All-cause and cause-specific mortality in HCV infection. PLoS One. 2024. doi:10.1371/journal.pone.0309819.</w:t>
      </w:r>
    </w:p>
    <w:p>
      <w:pPr>
        <w:spacing w:after="80" w:before="60"/>
        <w:ind w:left="720"/>
      </w:pPr>
      <w:r>
        <w:rPr>
          <w:rFonts w:ascii="Arial" w:cs="Arial" w:eastAsia="Arial" w:hAnsi="Arial"/>
          <w:i/>
          <w:iCs/>
          <w:color w:val="7B7B7B"/>
          <w:sz w:val="20"/>
          <w:szCs w:val="20"/>
        </w:rPr>
        <w:t xml:space="preserve">// Weighted Kaplan-Meier and Cox — correctly applies complex survey design. Most current HCV-NHANES paper. Relevant for HepC as confounder.</w:t>
      </w:r>
    </w:p>
    <w:p>
      <w:pPr>
        <w:spacing w:after="80"/>
      </w:pPr>
      <w:r>
        <w:t xml:space="preserve"/>
      </w:r>
    </w:p>
    <w:p>
      <w:pPr>
        <w:pStyle w:val="Heading2"/>
      </w:pPr>
      <w:r>
        <w:rPr>
          <w:rFonts w:ascii="Arial" w:cs="Arial" w:eastAsia="Arial" w:hAnsi="Arial"/>
          <w:b/>
          <w:bCs/>
          <w:color w:val="2E75B6"/>
          <w:sz w:val="24"/>
          <w:szCs w:val="24"/>
        </w:rPr>
        <w:t xml:space="preserve">8. ALP and Sarcopenia — NHANES</w:t>
      </w:r>
    </w:p>
    <w:p>
      <w:pPr>
        <w:spacing w:after="80"/>
      </w:pPr>
      <w:r>
        <w:t xml:space="preserve"/>
      </w:r>
    </w:p>
    <w:p>
      <w:pPr>
        <w:spacing w:after="120"/>
      </w:pPr>
      <w:r>
        <w:rPr>
          <w:rFonts w:ascii="Arial" w:cs="Arial" w:eastAsia="Arial" w:hAnsi="Arial"/>
          <w:b/>
          <w:bCs/>
          <w:sz w:val="22"/>
          <w:szCs w:val="22"/>
        </w:rPr>
        <w:t xml:space="preserve">8.1</w:t>
      </w:r>
    </w:p>
    <w:p>
      <w:pPr>
        <w:spacing w:after="160" w:before="80"/>
        <w:ind w:left="720" w:hanging="720"/>
      </w:pPr>
      <w:r>
        <w:rPr>
          <w:rFonts w:ascii="Arial" w:cs="Arial" w:eastAsia="Arial" w:hAnsi="Arial"/>
          <w:sz w:val="22"/>
          <w:szCs w:val="22"/>
        </w:rPr>
        <w:t xml:space="preserve">[Author TBD]. Sarcopenia prevalence increases with rising ALP levels: NHANES cross-sectional study. 2025. [Full citation TBD — sarcopenia 1.92% to 8.81% across ALP quartiles].</w:t>
      </w:r>
    </w:p>
    <w:p>
      <w:pPr>
        <w:spacing w:after="80" w:before="60"/>
        <w:ind w:left="720"/>
      </w:pPr>
      <w:r>
        <w:rPr>
          <w:rFonts w:ascii="Arial" w:cs="Arial" w:eastAsia="Arial" w:hAnsi="Arial"/>
          <w:i/>
          <w:iCs/>
          <w:color w:val="7B7B7B"/>
          <w:sz w:val="20"/>
          <w:szCs w:val="20"/>
        </w:rPr>
        <w:t xml:space="preserve">// CRITICAL for burnout hypothesis. Directly links elevated ALP to sarcopenia in NHANES general population. Closest existing paper to our interaction finding. Verify full citation and survey weighting.</w:t>
      </w:r>
    </w:p>
    <w:p>
      <w:pPr>
        <w:spacing w:after="80"/>
      </w:pPr>
      <w:r>
        <w:t xml:space="preserve"/>
      </w:r>
    </w:p>
    <w:p>
      <w:pPr>
        <w:pStyle w:val="Heading2"/>
      </w:pPr>
      <w:r>
        <w:rPr>
          <w:rFonts w:ascii="Arial" w:cs="Arial" w:eastAsia="Arial" w:hAnsi="Arial"/>
          <w:b/>
          <w:bCs/>
          <w:color w:val="2E75B6"/>
          <w:sz w:val="24"/>
          <w:szCs w:val="24"/>
        </w:rPr>
        <w:t xml:space="preserve">9. MELD-XI and Hepatic Severity Scores</w:t>
      </w:r>
    </w:p>
    <w:p>
      <w:pPr>
        <w:spacing w:after="80"/>
      </w:pPr>
      <w:r>
        <w:t xml:space="preserve"/>
      </w:r>
    </w:p>
    <w:p>
      <w:pPr>
        <w:spacing w:after="120"/>
      </w:pPr>
      <w:r>
        <w:rPr>
          <w:rFonts w:ascii="Arial" w:cs="Arial" w:eastAsia="Arial" w:hAnsi="Arial"/>
          <w:b/>
          <w:bCs/>
          <w:sz w:val="22"/>
          <w:szCs w:val="22"/>
        </w:rPr>
        <w:t xml:space="preserve">9.1</w:t>
      </w:r>
    </w:p>
    <w:p>
      <w:pPr>
        <w:spacing w:after="160" w:before="80"/>
        <w:ind w:left="720" w:hanging="720"/>
      </w:pPr>
      <w:r>
        <w:rPr>
          <w:rFonts w:ascii="Arial" w:cs="Arial" w:eastAsia="Arial" w:hAnsi="Arial"/>
          <w:sz w:val="22"/>
          <w:szCs w:val="22"/>
        </w:rPr>
        <w:t xml:space="preserve">Heuman DM, et al. MELD-XI: A rational approach to 'sickest first' liver transplantation in cirrhotic patients requiring anticoagulant therapy. Liver Transpl. 2007;13(1):30–37. [Verify full citation].</w:t>
      </w:r>
    </w:p>
    <w:p>
      <w:pPr>
        <w:spacing w:after="80" w:before="60"/>
        <w:ind w:left="720"/>
      </w:pPr>
      <w:r>
        <w:rPr>
          <w:rFonts w:ascii="Arial" w:cs="Arial" w:eastAsia="Arial" w:hAnsi="Arial"/>
          <w:i/>
          <w:iCs/>
          <w:color w:val="7B7B7B"/>
          <w:sz w:val="20"/>
          <w:szCs w:val="20"/>
        </w:rPr>
        <w:t xml:space="preserve">// Original MELD-XI derivation. Formula: MELD-XI = 5.11×ln(bilirubin) + 11.76×ln(creatinine) + 9.44. No INR term. All components available in NHANES BIOPRO. Primary citation for MELD-XI computation. Verify exact formula and authors.</w:t>
      </w:r>
    </w:p>
    <w:p>
      <w:pPr>
        <w:spacing w:after="80"/>
      </w:pPr>
      <w:r>
        <w:t xml:space="preserve"/>
      </w:r>
    </w:p>
    <w:p>
      <w:pPr>
        <w:pStyle w:val="Heading2"/>
      </w:pPr>
      <w:r>
        <w:rPr>
          <w:rFonts w:ascii="Arial" w:cs="Arial" w:eastAsia="Arial" w:hAnsi="Arial"/>
          <w:b/>
          <w:bCs/>
          <w:color w:val="2E75B6"/>
          <w:sz w:val="24"/>
          <w:szCs w:val="24"/>
        </w:rPr>
        <w:t xml:space="preserve">10. NHANES Package Ecosystem — Context for nhanesR Positioning</w:t>
      </w:r>
    </w:p>
    <w:p>
      <w:pPr>
        <w:spacing w:after="80"/>
      </w:pPr>
      <w:r>
        <w:t xml:space="preserve"/>
      </w:r>
    </w:p>
    <w:p>
      <w:pPr>
        <w:spacing w:after="120"/>
      </w:pPr>
      <w:r>
        <w:rPr>
          <w:rFonts w:ascii="Arial" w:cs="Arial" w:eastAsia="Arial" w:hAnsi="Arial"/>
          <w:b/>
          <w:bCs/>
          <w:sz w:val="22"/>
          <w:szCs w:val="22"/>
        </w:rPr>
        <w:t xml:space="preserve">10.1</w:t>
      </w:r>
    </w:p>
    <w:p>
      <w:pPr>
        <w:spacing w:after="160" w:before="80"/>
        <w:ind w:left="720" w:hanging="720"/>
      </w:pPr>
      <w:r>
        <w:rPr>
          <w:rFonts w:ascii="Arial" w:cs="Arial" w:eastAsia="Arial" w:hAnsi="Arial"/>
          <w:sz w:val="22"/>
          <w:szCs w:val="22"/>
        </w:rPr>
        <w:t xml:space="preserve">Endres C, Ale L, Gentleman R, Sarkar D. nhanesA: NHANES Data Retrieval. R package version 1.4.1. CRAN. Published 2025-10-14. doi:10.32614/CRAN.package.nhanesA.</w:t>
      </w:r>
    </w:p>
    <w:p>
      <w:pPr>
        <w:spacing w:after="80" w:before="60"/>
        <w:ind w:left="720"/>
      </w:pPr>
      <w:r>
        <w:rPr>
          <w:rFonts w:ascii="Arial" w:cs="Arial" w:eastAsia="Arial" w:hAnsi="Arial"/>
          <w:i/>
          <w:iCs/>
          <w:color w:val="7B7B7B"/>
          <w:sz w:val="20"/>
          <w:szCs w:val="20"/>
        </w:rPr>
        <w:t xml:space="preserve">// Primary existing NHANES R package. Now maintained with Robert Gentleman as co-author. Listed in Spick et al. 2025 Table 1 as part of the NHANES library ecosystem enabling formulaic paper explosion. DOCUMENTED GAPS: misses cholesterol and albumin variables in 1999–2004 cycles; no mortality linkage; no survival prep pipeline. Results in systematic truncation of follow-up and depletion of event counts — potentially biasing survival estimates toward the null.</w:t>
      </w:r>
    </w:p>
    <w:p>
      <w:pPr>
        <w:spacing w:after="80"/>
      </w:pPr>
      <w:r>
        <w:t xml:space="preserve"/>
      </w:r>
    </w:p>
    <w:p>
      <w:pPr>
        <w:spacing w:after="120"/>
      </w:pPr>
      <w:r>
        <w:rPr>
          <w:rFonts w:ascii="Arial" w:cs="Arial" w:eastAsia="Arial" w:hAnsi="Arial"/>
          <w:b/>
          <w:bCs/>
          <w:sz w:val="22"/>
          <w:szCs w:val="22"/>
        </w:rPr>
        <w:t xml:space="preserve">10.2</w:t>
      </w:r>
    </w:p>
    <w:p>
      <w:pPr>
        <w:spacing w:after="160" w:before="80"/>
        <w:ind w:left="720" w:hanging="720"/>
      </w:pPr>
      <w:r>
        <w:rPr>
          <w:rFonts w:ascii="Arial" w:cs="Arial" w:eastAsia="Arial" w:hAnsi="Arial"/>
          <w:sz w:val="22"/>
          <w:szCs w:val="22"/>
        </w:rPr>
        <w:t xml:space="preserve">Grealis K, et al. nhanesdata: Harmonized Access to NHANES Survey Data. R package version 0.2.1. CRAN. Published 2026-02-28. doi:10.32614/CRAN.package.nhanesdata.</w:t>
      </w:r>
    </w:p>
    <w:p>
      <w:pPr>
        <w:spacing w:after="80" w:before="60"/>
        <w:ind w:left="720"/>
      </w:pPr>
      <w:r>
        <w:rPr>
          <w:rFonts w:ascii="Arial" w:cs="Arial" w:eastAsia="Arial" w:hAnsi="Arial"/>
          <w:i/>
          <w:iCs/>
          <w:color w:val="7B7B7B"/>
          <w:sz w:val="20"/>
          <w:szCs w:val="20"/>
        </w:rPr>
        <w:t xml:space="preserve">// Newest NHANES CRAN package (February 2026). Cloud-stored harmonized data 1999–2023. Imports nhanesA. No mortality linkage. Competes on harmonization but not survival pipeline.</w:t>
      </w:r>
    </w:p>
    <w:p>
      <w:pPr>
        <w:spacing w:after="80"/>
      </w:pPr>
      <w:r>
        <w:t xml:space="preserve"/>
      </w:r>
    </w:p>
    <w:p>
      <w:pPr>
        <w:spacing w:after="120"/>
      </w:pPr>
      <w:r>
        <w:rPr>
          <w:rFonts w:ascii="Arial" w:cs="Arial" w:eastAsia="Arial" w:hAnsi="Arial"/>
          <w:b/>
          <w:bCs/>
          <w:sz w:val="22"/>
          <w:szCs w:val="22"/>
        </w:rPr>
        <w:t xml:space="preserve">10.3</w:t>
      </w:r>
    </w:p>
    <w:p>
      <w:pPr>
        <w:spacing w:after="160" w:before="80"/>
        <w:ind w:left="720" w:hanging="720"/>
      </w:pPr>
      <w:r>
        <w:rPr>
          <w:rFonts w:ascii="Arial" w:cs="Arial" w:eastAsia="Arial" w:hAnsi="Arial"/>
          <w:sz w:val="22"/>
          <w:szCs w:val="22"/>
        </w:rPr>
        <w:t xml:space="preserve">Damico AJ. lodown: Locally Download and Prepare Publicly-Available Microdata. [archived]. See: Analyze Survey Data for Free. https://asdfree.com</w:t>
      </w:r>
    </w:p>
    <w:p>
      <w:pPr>
        <w:spacing w:after="80" w:before="60"/>
        <w:ind w:left="720"/>
      </w:pPr>
      <w:r>
        <w:rPr>
          <w:rFonts w:ascii="Arial" w:cs="Arial" w:eastAsia="Arial" w:hAnsi="Arial"/>
          <w:i/>
          <w:iCs/>
          <w:color w:val="7B7B7B"/>
          <w:sz w:val="20"/>
          <w:szCs w:val="20"/>
        </w:rPr>
        <w:t xml:space="preserve">// General-purpose federal database downloader. Now archived, replaced by asdfree.com textbook. Listed in Spick et al. 2025 Table 1. Important prior art for automated federal data retrieval.</w:t>
      </w:r>
    </w:p>
    <w:p>
      <w:pPr>
        <w:spacing w:after="80"/>
      </w:pPr>
      <w:r>
        <w:t xml:space="preserve"/>
      </w:r>
    </w:p>
    <w:p>
      <w:pPr>
        <w:spacing w:after="120"/>
      </w:pPr>
      <w:r>
        <w:rPr>
          <w:rFonts w:ascii="Arial" w:cs="Arial" w:eastAsia="Arial" w:hAnsi="Arial"/>
          <w:b/>
          <w:bCs/>
          <w:sz w:val="22"/>
          <w:szCs w:val="22"/>
        </w:rPr>
        <w:t xml:space="preserve">10.4</w:t>
      </w:r>
    </w:p>
    <w:p>
      <w:pPr>
        <w:spacing w:after="160" w:before="80"/>
        <w:ind w:left="720" w:hanging="720"/>
      </w:pPr>
      <w:r>
        <w:rPr>
          <w:rFonts w:ascii="Arial" w:cs="Arial" w:eastAsia="Arial" w:hAnsi="Arial"/>
          <w:sz w:val="22"/>
          <w:szCs w:val="22"/>
        </w:rPr>
        <w:t xml:space="preserve">Mukherjee S, Martins D, Norris KC, Jenders RA. A biomedical information system for retrieval and manipulation of NHANES data. Stud Health Technol Inform. 2013;192:861–865. PMID:23920922.</w:t>
      </w:r>
    </w:p>
    <w:p>
      <w:pPr>
        <w:spacing w:after="80" w:before="60"/>
        <w:ind w:left="720"/>
      </w:pPr>
      <w:r>
        <w:rPr>
          <w:rFonts w:ascii="Arial" w:cs="Arial" w:eastAsia="Arial" w:hAnsi="Arial"/>
          <w:i/>
          <w:iCs/>
          <w:color w:val="7B7B7B"/>
          <w:sz w:val="20"/>
          <w:szCs w:val="20"/>
        </w:rPr>
        <w:t xml:space="preserve">// DReAMS — browser-based NHANES data warehouse, Charles R. Drew University. Pilot only; inactive as of 2026. Cite as prior systems approach.</w:t>
      </w:r>
    </w:p>
    <w:p>
      <w:pPr>
        <w:spacing w:after="80"/>
      </w:pPr>
      <w:r>
        <w:t xml:space="preserve"/>
      </w:r>
    </w:p>
    <w:p>
      <w:pPr>
        <w:pStyle w:val="Heading2"/>
      </w:pPr>
      <w:r>
        <w:rPr>
          <w:rFonts w:ascii="Arial" w:cs="Arial" w:eastAsia="Arial" w:hAnsi="Arial"/>
          <w:b/>
          <w:bCs/>
          <w:color w:val="2E75B6"/>
          <w:sz w:val="24"/>
          <w:szCs w:val="24"/>
        </w:rPr>
        <w:t xml:space="preserve">11. TC/HDL/GGT Cholesterol-Mortality Prior Analyses — Papers Our Work Supersedes</w:t>
      </w:r>
    </w:p>
    <w:p>
      <w:pPr>
        <w:spacing w:after="80"/>
      </w:pPr>
      <w:r>
        <w:t xml:space="preserve"/>
      </w:r>
    </w:p>
    <w:p>
      <w:pPr>
        <w:spacing w:after="120"/>
      </w:pPr>
      <w:r>
        <w:rPr>
          <w:rFonts w:ascii="Arial" w:cs="Arial" w:eastAsia="Arial" w:hAnsi="Arial"/>
          <w:i/>
          <w:iCs/>
          <w:sz w:val="22"/>
          <w:szCs w:val="22"/>
        </w:rPr>
        <w:t xml:space="preserve">Context:</w:t>
      </w:r>
    </w:p>
    <w:p>
      <w:pPr>
        <w:spacing w:after="120"/>
      </w:pPr>
      <w:r>
        <w:rPr>
          <w:rFonts w:ascii="Arial" w:cs="Arial" w:eastAsia="Arial" w:hAnsi="Arial"/>
          <w:i/>
          <w:iCs/>
          <w:sz w:val="22"/>
          <w:szCs w:val="22"/>
        </w:rPr>
        <w:t xml:space="preserve">The following papers analyze cholesterol and lipid variables in NHANES but exemplify the methodological shortcomings documented by Spick et al. 2025 and NCHS 2026: restricted date ranges, cross-sectional design, single-factor approach, no mortality linkage, and/or absent survey weighting. Our TC/HDL/GGT mortality paper directly addresses each of these limitations.</w:t>
      </w:r>
    </w:p>
    <w:p>
      <w:pPr>
        <w:spacing w:after="80"/>
      </w:pPr>
      <w:r>
        <w:t xml:space="preserve"/>
      </w:r>
    </w:p>
    <w:p>
      <w:pPr>
        <w:spacing w:after="120"/>
      </w:pPr>
      <w:r>
        <w:rPr>
          <w:rFonts w:ascii="Arial" w:cs="Arial" w:eastAsia="Arial" w:hAnsi="Arial"/>
          <w:b/>
          <w:bCs/>
          <w:sz w:val="22"/>
          <w:szCs w:val="22"/>
        </w:rPr>
        <w:t xml:space="preserve">11.1  *** DIRECT PRIOR ART — TC/HDL PAPER ***</w:t>
      </w:r>
    </w:p>
    <w:p>
      <w:pPr>
        <w:spacing w:after="160" w:before="80"/>
        <w:ind w:left="720" w:hanging="720"/>
      </w:pPr>
      <w:r>
        <w:rPr>
          <w:rFonts w:ascii="Arial" w:cs="Arial" w:eastAsia="Arial" w:hAnsi="Arial"/>
          <w:sz w:val="22"/>
          <w:szCs w:val="22"/>
        </w:rPr>
        <w:t xml:space="preserve">Mahemuti N, Jing X, Zhang N, Liu C, Li C, Cui Z, Liu Y, Chen J. Association between Systemic Immunity-Inflammation Index and Hyperlipidemia: A Population-Based Study from the NHANES (2015–2020). Nutrients. 2023;15(5):1177. doi:10.3390/nu15051177. PMID:36904176.</w:t>
      </w:r>
    </w:p>
    <w:p>
      <w:pPr>
        <w:spacing w:after="80" w:before="60"/>
        <w:ind w:left="720"/>
      </w:pPr>
      <w:r>
        <w:rPr>
          <w:rFonts w:ascii="Arial" w:cs="Arial" w:eastAsia="Arial" w:hAnsi="Arial"/>
          <w:i/>
          <w:iCs/>
          <w:color w:val="7B7B7B"/>
          <w:sz w:val="20"/>
          <w:szCs w:val="20"/>
        </w:rPr>
        <w:t xml:space="preserve">// Tianjin Medical University, China. Cross-sectional NHANES 2015–2020 only (6 years); TC data available 1999–2020 (21 years). N=6,117. Single-factor SII-hyperlipidemia association. No mortality linkage. Multivariate logistic regression only — no survival analysis, no nonlinear modeling of lipid relationships. Listed in Spick et al. 2025 Table 3 as exemplar of formulaic single-factor NHANES analysis.</w:t>
      </w:r>
    </w:p>
    <w:p>
      <w:pPr>
        <w:spacing w:after="80" w:before="60"/>
        <w:ind w:left="720"/>
      </w:pPr>
      <w:r>
        <w:rPr>
          <w:rFonts w:ascii="Arial" w:cs="Arial" w:eastAsia="Arial" w:hAnsi="Arial"/>
          <w:i/>
          <w:iCs/>
          <w:color w:val="7B7B7B"/>
          <w:sz w:val="20"/>
          <w:szCs w:val="20"/>
        </w:rPr>
        <w:t xml:space="preserve">// CONTRAST WITH OUR PAPER: We use 2003–2018 (16 years), mortality-linked, full complex survey design, crossed nonlinear TC/HDL/GGT joint surface, weighted Cox and Poisson models. The restricted date range in this paper (2015–2020) excludes the period with the longest mortality follow-up — exactly the truncation bias argument our paper demonstrates empirically.</w:t>
      </w:r>
    </w:p>
    <w:p>
      <w:pPr>
        <w:spacing w:after="80" w:before="60"/>
        <w:ind w:left="720"/>
      </w:pPr>
      <w:r>
        <w:rPr>
          <w:rFonts w:ascii="Arial" w:cs="Arial" w:eastAsia="Arial" w:hAnsi="Arial"/>
          <w:i/>
          <w:iCs/>
          <w:color w:val="7B7B7B"/>
          <w:sz w:val="20"/>
          <w:szCs w:val="20"/>
        </w:rPr>
        <w:t xml:space="preserve">// Cite in: Introduction as example of prior work in lipid-NHANES space that lacks survival endpoint, full cycle range, and multifactorial nonlinear modeling.</w:t>
      </w:r>
    </w:p>
    <w:p>
      <w:pPr>
        <w:spacing w:after="80"/>
      </w:pPr>
      <w:r>
        <w:t xml:space="preserve"/>
      </w:r>
    </w:p>
    <w:p>
      <w:pPr>
        <w:pStyle w:val="Heading2"/>
      </w:pPr>
      <w:r>
        <w:rPr>
          <w:rFonts w:ascii="Arial" w:cs="Arial" w:eastAsia="Arial" w:hAnsi="Arial"/>
          <w:b/>
          <w:bCs/>
          <w:color w:val="2E75B6"/>
          <w:sz w:val="24"/>
          <w:szCs w:val="24"/>
        </w:rPr>
        <w:t xml:space="preserve">12. LFT-Mortality Prior Analyses — Papers Our Work Supersedes</w:t>
      </w:r>
    </w:p>
    <w:p>
      <w:pPr>
        <w:spacing w:after="80"/>
      </w:pPr>
      <w:r>
        <w:t xml:space="preserve"/>
      </w:r>
    </w:p>
    <w:p>
      <w:pPr>
        <w:spacing w:after="120"/>
      </w:pPr>
      <w:r>
        <w:rPr>
          <w:rFonts w:ascii="Arial" w:cs="Arial" w:eastAsia="Arial" w:hAnsi="Arial"/>
          <w:i/>
          <w:iCs/>
          <w:sz w:val="22"/>
          <w:szCs w:val="22"/>
        </w:rPr>
        <w:t xml:space="preserve">Context:</w:t>
      </w:r>
    </w:p>
    <w:p>
      <w:pPr>
        <w:spacing w:after="120"/>
      </w:pPr>
      <w:r>
        <w:rPr>
          <w:rFonts w:ascii="Arial" w:cs="Arial" w:eastAsia="Arial" w:hAnsi="Arial"/>
          <w:i/>
          <w:iCs/>
          <w:sz w:val="22"/>
          <w:szCs w:val="22"/>
        </w:rPr>
        <w:t xml:space="preserve">The following papers analyze liver enzyme variables in NHANES but exemplify the methodological shortcomings documented by Spick et al. 2025 and NCHS 2026. Our hepatobiliary mortality paper directly addresses each of these limitations.</w:t>
      </w:r>
    </w:p>
    <w:p>
      <w:pPr>
        <w:spacing w:after="80"/>
      </w:pPr>
      <w:r>
        <w:t xml:space="preserve"/>
      </w:r>
    </w:p>
    <w:p>
      <w:pPr>
        <w:spacing w:after="120"/>
      </w:pPr>
      <w:r>
        <w:rPr>
          <w:rFonts w:ascii="Arial" w:cs="Arial" w:eastAsia="Arial" w:hAnsi="Arial"/>
          <w:b/>
          <w:bCs/>
          <w:sz w:val="22"/>
          <w:szCs w:val="22"/>
        </w:rPr>
        <w:t xml:space="preserve">12.1  *** DIRECT PRIOR ART — HEPATOBILIARY PAPER ***</w:t>
      </w:r>
    </w:p>
    <w:p>
      <w:pPr>
        <w:spacing w:after="160" w:before="80"/>
        <w:ind w:left="720" w:hanging="720"/>
      </w:pPr>
      <w:r>
        <w:rPr>
          <w:rFonts w:ascii="Arial" w:cs="Arial" w:eastAsia="Arial" w:hAnsi="Arial"/>
          <w:sz w:val="22"/>
          <w:szCs w:val="22"/>
        </w:rPr>
        <w:t xml:space="preserve">[Author TBD]. Association between SII and markers of liver injury: A cross-sectional study from the NHANES (2017–2020). PLoS One. 2024. doi:10.1371/journal.pone.0303398. PMID:39052624.</w:t>
      </w:r>
    </w:p>
    <w:p>
      <w:pPr>
        <w:spacing w:after="80" w:before="60"/>
        <w:ind w:left="720"/>
      </w:pPr>
      <w:r>
        <w:rPr>
          <w:rFonts w:ascii="Arial" w:cs="Arial" w:eastAsia="Arial" w:hAnsi="Arial"/>
          <w:i/>
          <w:iCs/>
          <w:color w:val="7B7B7B"/>
          <w:sz w:val="20"/>
          <w:szCs w:val="20"/>
        </w:rPr>
        <w:t xml:space="preserve">// Cross-sectional NHANES 2017–2020 only (4 years); ALT/AST/GGT available 1999–2020 (21 years), ALP 2003–2020 (17 years). N=8,213. SII and liver injury markers (ALT, AST, GGT, ALP). Multiple linear regression with threshold effects. No mortality linkage. No survival analysis. Listed in Spick et al. 2025 Table 3 as exemplar of formulaic single-factor NHANES analysis.</w:t>
      </w:r>
    </w:p>
    <w:p>
      <w:pPr>
        <w:spacing w:after="80" w:before="60"/>
        <w:ind w:left="720"/>
      </w:pPr>
      <w:r>
        <w:rPr>
          <w:rFonts w:ascii="Arial" w:cs="Arial" w:eastAsia="Arial" w:hAnsi="Arial"/>
          <w:i/>
          <w:iCs/>
          <w:color w:val="7B7B7B"/>
          <w:sz w:val="20"/>
          <w:szCs w:val="20"/>
        </w:rPr>
        <w:t xml:space="preserve">// KEY FINDING relevant to our burnout hypothesis: Found negative association of SII with ALT, AST, GGT and positive association with ALP — the exact enzyme pattern of our burnout phenotype (low AST/ALT, elevated ALP). Their cross-sectional linear regression cannot distinguish whether this pattern predicts mortality. Our analysis answers exactly that question.</w:t>
      </w:r>
    </w:p>
    <w:p>
      <w:pPr>
        <w:spacing w:after="80" w:before="60"/>
        <w:ind w:left="720"/>
      </w:pPr>
      <w:r>
        <w:rPr>
          <w:rFonts w:ascii="Arial" w:cs="Arial" w:eastAsia="Arial" w:hAnsi="Arial"/>
          <w:i/>
          <w:iCs/>
          <w:color w:val="7B7B7B"/>
          <w:sz w:val="20"/>
          <w:szCs w:val="20"/>
        </w:rPr>
        <w:t xml:space="preserve">// CONTRAST WITH OUR PAPER: We use 2003–2018 (16 years), mortality-linked, full complex survey design, joint 6×6 quantile surface across multiple enzymes simultaneously, weighted Cox and Poisson models, nonlinear interaction terms. The cross-sectional design cannot establish prognostic value; our survival analysis does.</w:t>
      </w:r>
    </w:p>
    <w:p>
      <w:pPr>
        <w:spacing w:after="80" w:before="60"/>
        <w:ind w:left="720"/>
      </w:pPr>
      <w:r>
        <w:rPr>
          <w:rFonts w:ascii="Arial" w:cs="Arial" w:eastAsia="Arial" w:hAnsi="Arial"/>
          <w:i/>
          <w:iCs/>
          <w:color w:val="7B7B7B"/>
          <w:sz w:val="20"/>
          <w:szCs w:val="20"/>
        </w:rPr>
        <w:t xml:space="preserve">// ADDITIONAL NOTE: The SII-negative association with AST/ALT/GGT and positive with ALP that they report is consistent with our burnout hypothesis — high inflammation (high SII) may suppress aminotransferases while ALP rises, mimicking the burnout enzyme pattern. This paper inadvertently provides cross-sectional support for the biological plausibility of our burnout phenotype, even though they don't test its mortality implications.</w:t>
      </w:r>
    </w:p>
    <w:p>
      <w:pPr>
        <w:spacing w:after="80" w:before="60"/>
        <w:ind w:left="720"/>
      </w:pPr>
      <w:r>
        <w:rPr>
          <w:rFonts w:ascii="Arial" w:cs="Arial" w:eastAsia="Arial" w:hAnsi="Arial"/>
          <w:i/>
          <w:iCs/>
          <w:color w:val="7B7B7B"/>
          <w:sz w:val="20"/>
          <w:szCs w:val="20"/>
        </w:rPr>
        <w:t xml:space="preserve">// Verify first author name before finalizing citation. URL: https://journals.plos.org/plosone/article?id=10.1371/journal.pone.0303398</w:t>
      </w:r>
    </w:p>
    <w:p>
      <w:pPr>
        <w:spacing w:after="80"/>
      </w:pPr>
      <w:r>
        <w:t xml:space="preserve"/>
      </w:r>
    </w:p>
    <w:p>
      <w:pPr>
        <w:spacing w:after="120"/>
      </w:pPr>
      <w:r>
        <w:rPr>
          <w:rFonts w:ascii="Arial" w:cs="Arial" w:eastAsia="Arial" w:hAnsi="Arial"/>
          <w:b/>
          <w:bCs/>
          <w:sz w:val="22"/>
          <w:szCs w:val="22"/>
        </w:rPr>
        <w:t xml:space="preserve">12.2</w:t>
      </w:r>
    </w:p>
    <w:p>
      <w:pPr>
        <w:spacing w:after="160" w:before="80"/>
        <w:ind w:left="720" w:hanging="720"/>
      </w:pPr>
      <w:r>
        <w:rPr>
          <w:rFonts w:ascii="Arial" w:cs="Arial" w:eastAsia="Arial" w:hAnsi="Arial"/>
          <w:sz w:val="22"/>
          <w:szCs w:val="22"/>
        </w:rPr>
        <w:t xml:space="preserve">Yan W, Yan M, Wang H, Xu Z. Associations of serum alkaline phosphatase level with all-cause and cardiovascular mortality in the general population. Front Endocrinol (Lausanne). 2023;14:1217369. doi:10.3389/fendo.2023.1217369. PMC10585255.</w:t>
      </w:r>
    </w:p>
    <w:p>
      <w:pPr>
        <w:spacing w:after="80" w:before="60"/>
        <w:ind w:left="720"/>
      </w:pPr>
      <w:r>
        <w:rPr>
          <w:rFonts w:ascii="Arial" w:cs="Arial" w:eastAsia="Arial" w:hAnsi="Arial"/>
          <w:i/>
          <w:iCs/>
          <w:color w:val="7B7B7B"/>
          <w:sz w:val="20"/>
          <w:szCs w:val="20"/>
        </w:rPr>
        <w:t xml:space="preserve">// See Section 2.1 above. Cross-listed here as direct prior art for hepatobiliary paper — single-factor ALP analysis, no survey weighting, Frontiers journal. Our multifactorial joint enzyme surface analysis is a direct methodological improvement.</w:t>
      </w:r>
    </w:p>
    <w:p>
      <w:pPr>
        <w:spacing w:after="80"/>
      </w:pPr>
      <w:r>
        <w:t xml:space="preserve"/>
      </w:r>
    </w:p>
    <w:p>
      <w:pPr>
        <w:pStyle w:val="Heading2"/>
      </w:pPr>
      <w:r>
        <w:rPr>
          <w:rFonts w:ascii="Arial" w:cs="Arial" w:eastAsia="Arial" w:hAnsi="Arial"/>
          <w:b/>
          <w:bCs/>
          <w:color w:val="2E75B6"/>
          <w:sz w:val="24"/>
          <w:szCs w:val="24"/>
        </w:rPr>
        <w:t xml:space="preserve">13. Items Requiring Full Citation Verification</w:t>
      </w:r>
    </w:p>
    <w:p>
      <w:pPr>
        <w:spacing w:after="80"/>
      </w:pPr>
      <w:r>
        <w:t xml:space="preserve"/>
      </w:r>
    </w:p>
    <w:p>
      <w:pPr>
        <w:spacing w:after="120"/>
      </w:pPr>
      <w:r>
        <w:rPr>
          <w:rFonts w:ascii="Arial" w:cs="Arial" w:eastAsia="Arial" w:hAnsi="Arial"/>
          <w:i/>
          <w:iCs/>
          <w:sz w:val="22"/>
          <w:szCs w:val="22"/>
        </w:rPr>
        <w:t xml:space="preserve">The following require full citation verification before manuscript inclusion:</w:t>
      </w:r>
    </w:p>
    <w:p>
      <w:pPr>
        <w:spacing w:after="80"/>
      </w:pPr>
      <w:r>
        <w:t xml:space="preserve"/>
      </w:r>
    </w:p>
    <w:p>
      <w:pPr>
        <w:spacing w:after="120"/>
      </w:pPr>
      <w:r>
        <w:rPr>
          <w:rFonts w:ascii="Arial" w:cs="Arial" w:eastAsia="Arial" w:hAnsi="Arial"/>
          <w:sz w:val="22"/>
          <w:szCs w:val="22"/>
        </w:rPr>
        <w:t xml:space="preserve">[ ] PMID 39052624 — verify first author name for full citation</w:t>
      </w:r>
    </w:p>
    <w:p>
      <w:pPr>
        <w:spacing w:after="120"/>
      </w:pPr>
      <w:r>
        <w:rPr>
          <w:rFonts w:ascii="Arial" w:cs="Arial" w:eastAsia="Arial" w:hAnsi="Arial"/>
          <w:sz w:val="22"/>
          <w:szCs w:val="22"/>
        </w:rPr>
        <w:t xml:space="preserve">[ ] Schooling CM et al. NHANES III ALT-CHD 16,865 adults — locate primary paper</w:t>
      </w:r>
    </w:p>
    <w:p>
      <w:pPr>
        <w:spacing w:after="120"/>
      </w:pPr>
      <w:r>
        <w:rPr>
          <w:rFonts w:ascii="Arial" w:cs="Arial" w:eastAsia="Arial" w:hAnsi="Arial"/>
          <w:sz w:val="22"/>
          <w:szCs w:val="22"/>
        </w:rPr>
        <w:t xml:space="preserve">[ ] ALP-sarcopenia NHANES (1.92%–8.81% across quartiles) — verify full citation, year, weighting</w:t>
      </w:r>
    </w:p>
    <w:p>
      <w:pPr>
        <w:spacing w:after="120"/>
      </w:pPr>
      <w:r>
        <w:rPr>
          <w:rFonts w:ascii="Arial" w:cs="Arial" w:eastAsia="Arial" w:hAnsi="Arial"/>
          <w:sz w:val="22"/>
          <w:szCs w:val="22"/>
        </w:rPr>
        <w:t xml:space="preserve">[ ] Low ALT + hypothyroidism HR 3.6, N=16,827 — locate primary paper</w:t>
      </w:r>
    </w:p>
    <w:p>
      <w:pPr>
        <w:spacing w:after="120"/>
      </w:pPr>
      <w:r>
        <w:rPr>
          <w:rFonts w:ascii="Arial" w:cs="Arial" w:eastAsia="Arial" w:hAnsi="Arial"/>
          <w:sz w:val="22"/>
          <w:szCs w:val="22"/>
        </w:rPr>
        <w:t xml:space="preserve">[ ] AST/ALT ratio as muscle mass proxy in CAP — locate primary paper</w:t>
      </w:r>
    </w:p>
    <w:p>
      <w:pPr>
        <w:spacing w:after="120"/>
      </w:pPr>
      <w:r>
        <w:rPr>
          <w:rFonts w:ascii="Arial" w:cs="Arial" w:eastAsia="Arial" w:hAnsi="Arial"/>
          <w:sz w:val="22"/>
          <w:szCs w:val="22"/>
        </w:rPr>
        <w:t xml:space="preserve">[ ] MELD-XI Heuman et al. — verify exact formula and full citation</w:t>
      </w:r>
    </w:p>
    <w:p>
      <w:pPr>
        <w:spacing w:after="120"/>
      </w:pPr>
      <w:r>
        <w:rPr>
          <w:rFonts w:ascii="Arial" w:cs="Arial" w:eastAsia="Arial" w:hAnsi="Arial"/>
          <w:sz w:val="22"/>
          <w:szCs w:val="22"/>
        </w:rPr>
        <w:t xml:space="preserve">[ ] BMC Cancer 2025 ALP-cancer — verify survey weighting</w:t>
      </w:r>
    </w:p>
    <w:p>
      <w:pPr>
        <w:spacing w:after="120"/>
      </w:pPr>
      <w:r>
        <w:rPr>
          <w:rFonts w:ascii="Arial" w:cs="Arial" w:eastAsia="Arial" w:hAnsi="Arial"/>
          <w:sz w:val="22"/>
          <w:szCs w:val="22"/>
        </w:rPr>
        <w:t xml:space="preserve">[ ] NAFLD FLI PMC11620881 — verify survey weighting</w:t>
      </w:r>
    </w:p>
    <w:p>
      <w:pPr>
        <w:spacing w:after="120"/>
      </w:pPr>
      <w:r>
        <w:rPr>
          <w:rFonts w:ascii="Arial" w:cs="Arial" w:eastAsia="Arial" w:hAnsi="Arial"/>
          <w:sz w:val="22"/>
          <w:szCs w:val="22"/>
        </w:rPr>
        <w:t xml:space="preserve">[ ] Spick et al. Table 1 — confirm which specific packages listed (nhanesA, lodown, others)</w:t>
      </w:r>
    </w:p>
    <w:p>
      <w:pPr>
        <w:spacing w:after="80"/>
      </w:pPr>
      <w:r>
        <w:t xml:space="preserve"/>
      </w:r>
    </w:p>
    <w:p>
      <w:pPr>
        <w:pStyle w:val="Heading2"/>
      </w:pPr>
      <w:r>
        <w:rPr>
          <w:rFonts w:ascii="Arial" w:cs="Arial" w:eastAsia="Arial" w:hAnsi="Arial"/>
          <w:b/>
          <w:bCs/>
          <w:color w:val="2E75B6"/>
          <w:sz w:val="24"/>
          <w:szCs w:val="24"/>
        </w:rPr>
        <w:t xml:space="preserve">14. Suggested Additional Searches</w:t>
      </w:r>
    </w:p>
    <w:p>
      <w:pPr>
        <w:spacing w:after="80"/>
      </w:pPr>
      <w:r>
        <w:t xml:space="preserve"/>
      </w:r>
    </w:p>
    <w:p>
      <w:pPr>
        <w:spacing w:after="120"/>
      </w:pPr>
      <w:r>
        <w:rPr>
          <w:rFonts w:ascii="Arial" w:cs="Arial" w:eastAsia="Arial" w:hAnsi="Arial"/>
          <w:sz w:val="22"/>
          <w:szCs w:val="22"/>
        </w:rPr>
        <w:t xml:space="preserve">[ ] De Ritis ratio (AST/ALT) mortality NHANES</w:t>
      </w:r>
    </w:p>
    <w:p>
      <w:pPr>
        <w:spacing w:after="120"/>
      </w:pPr>
      <w:r>
        <w:rPr>
          <w:rFonts w:ascii="Arial" w:cs="Arial" w:eastAsia="Arial" w:hAnsi="Arial"/>
          <w:sz w:val="22"/>
          <w:szCs w:val="22"/>
        </w:rPr>
        <w:t xml:space="preserve">[ ] Congestive hepatopathy right heart failure — ALP/GGT pattern in cardiac cirrhosis</w:t>
      </w:r>
    </w:p>
    <w:p>
      <w:pPr>
        <w:spacing w:after="120"/>
      </w:pPr>
      <w:r>
        <w:rPr>
          <w:rFonts w:ascii="Arial" w:cs="Arial" w:eastAsia="Arial" w:hAnsi="Arial"/>
          <w:sz w:val="22"/>
          <w:szCs w:val="22"/>
        </w:rPr>
        <w:t xml:space="preserve">[ ] MELD-XI general population mortality — non-transplant context</w:t>
      </w:r>
    </w:p>
    <w:p>
      <w:pPr>
        <w:spacing w:after="120"/>
      </w:pPr>
      <w:r>
        <w:rPr>
          <w:rFonts w:ascii="Arial" w:cs="Arial" w:eastAsia="Arial" w:hAnsi="Arial"/>
          <w:sz w:val="22"/>
          <w:szCs w:val="22"/>
        </w:rPr>
        <w:t xml:space="preserve">[ ] Bilirubin mortality NHANES — antioxidant protective signal</w:t>
      </w:r>
    </w:p>
    <w:p>
      <w:pPr>
        <w:spacing w:after="120"/>
      </w:pPr>
      <w:r>
        <w:rPr>
          <w:rFonts w:ascii="Arial" w:cs="Arial" w:eastAsia="Arial" w:hAnsi="Arial"/>
          <w:sz w:val="22"/>
          <w:szCs w:val="22"/>
        </w:rPr>
        <w:t xml:space="preserve">[ ] Albumin mortality NHANES — hepatic synthetic reserve</w:t>
      </w:r>
    </w:p>
    <w:p>
      <w:pPr>
        <w:spacing w:after="120"/>
      </w:pPr>
      <w:r>
        <w:rPr>
          <w:rFonts w:ascii="Arial" w:cs="Arial" w:eastAsia="Arial" w:hAnsi="Arial"/>
          <w:sz w:val="22"/>
          <w:szCs w:val="22"/>
        </w:rPr>
        <w:t xml:space="preserve">[ ] FIB-4 low AST false negative — burnout phenotype misclassification</w:t>
      </w:r>
    </w:p>
    <w:p>
      <w:pPr>
        <w:spacing w:after="120"/>
      </w:pPr>
      <w:r>
        <w:rPr>
          <w:rFonts w:ascii="Arial" w:cs="Arial" w:eastAsia="Arial" w:hAnsi="Arial"/>
          <w:sz w:val="22"/>
          <w:szCs w:val="22"/>
        </w:rPr>
        <w:t xml:space="preserve">[ ] Child-Pugh partial score general population — precedent outside cirrhosis</w:t>
      </w:r>
    </w:p>
    <w:p>
      <w:pPr>
        <w:spacing w:after="120"/>
      </w:pPr>
      <w:r>
        <w:rPr>
          <w:rFonts w:ascii="Arial" w:cs="Arial" w:eastAsia="Arial" w:hAnsi="Arial"/>
          <w:sz w:val="22"/>
          <w:szCs w:val="22"/>
        </w:rPr>
        <w:t xml:space="preserve">[ ] NHANES HepC 2003 onward — DAA era enzyme patterns</w:t>
      </w:r>
    </w:p>
    <w:p>
      <w:pPr>
        <w:spacing w:after="120"/>
      </w:pPr>
      <w:r>
        <w:rPr>
          <w:rFonts w:ascii="Arial" w:cs="Arial" w:eastAsia="Arial" w:hAnsi="Arial"/>
          <w:sz w:val="22"/>
          <w:szCs w:val="22"/>
        </w:rPr>
        <w:t xml:space="preserve">[ ] TC/HDL mortality NHANES — nonlinear relationships, J-shaped curves, prior analyses</w:t>
      </w:r>
    </w:p>
    <w:p>
      <w:pPr>
        <w:spacing w:after="120"/>
      </w:pPr>
      <w:r>
        <w:rPr>
          <w:rFonts w:ascii="Arial" w:cs="Arial" w:eastAsia="Arial" w:hAnsi="Arial"/>
          <w:sz w:val="22"/>
          <w:szCs w:val="22"/>
        </w:rPr>
        <w:t xml:space="preserve">[ ] GGT mortality NHANES — cardiovascular mortality, all-cause mortality</w:t>
      </w:r>
    </w:p>
    <w:p>
      <w:pPr>
        <w:spacing w:after="120"/>
      </w:pPr>
      <w:r>
        <w:rPr>
          <w:rFonts w:ascii="Arial" w:cs="Arial" w:eastAsia="Arial" w:hAnsi="Arial"/>
          <w:sz w:val="22"/>
          <w:szCs w:val="22"/>
        </w:rPr>
        <w:t xml:space="preserve">[ ] HDL mortality paradox — high HDL risk at younger ages</w:t>
      </w:r>
    </w:p>
    <w:p>
      <w:pPr>
        <w:spacing w:after="80"/>
      </w:pPr>
      <w:r>
        <w:t xml:space="preserve"/>
      </w:r>
    </w:p>
    <w:p>
      <w:pPr>
        <w:pStyle w:val="Heading2"/>
      </w:pPr>
      <w:r>
        <w:rPr>
          <w:rFonts w:ascii="Arial" w:cs="Arial" w:eastAsia="Arial" w:hAnsi="Arial"/>
          <w:b/>
          <w:bCs/>
          <w:color w:val="2E75B6"/>
          <w:sz w:val="24"/>
          <w:szCs w:val="24"/>
        </w:rPr>
        <w:t xml:space="preserve">Notes on Use</w:t>
      </w:r>
    </w:p>
    <w:p>
      <w:pPr>
        <w:spacing w:after="80"/>
      </w:pPr>
      <w:r>
        <w:t xml:space="preserve"/>
      </w:r>
    </w:p>
    <w:p>
      <w:pPr>
        <w:spacing w:after="120"/>
      </w:pPr>
      <w:r>
        <w:rPr>
          <w:rFonts w:ascii="Arial" w:cs="Arial" w:eastAsia="Arial" w:hAnsi="Arial"/>
          <w:sz w:val="22"/>
          <w:szCs w:val="22"/>
        </w:rPr>
        <w:t xml:space="preserve">Compiled June 2–3, 2026. Key additions: NCHS Quality Guidelines (1.1, January 2026), Spick et al. PLOS Biology (1.2, May 2025), SII-hyperlipidemia paper PMID 36904176 (Section 11.1, direct prior art for TC/HDL paper), SII-liver injury paper PMID 39052624 (Section 12.1, direct prior art for hepatobiliary paper).</w:t>
      </w:r>
    </w:p>
    <w:p>
      <w:pPr>
        <w:spacing w:after="120"/>
      </w:pPr>
      <w:r>
        <w:rPr>
          <w:rFonts w:ascii="Arial" w:cs="Arial" w:eastAsia="Arial" w:hAnsi="Arial"/>
          <w:sz w:val="22"/>
          <w:szCs w:val="22"/>
        </w:rPr>
        <w:t xml:space="preserve">Strategic framing: NCHS provides the quality standard; Spick et al. provides the empirical evidence of systematic violation; PMIDs 36904176 and 39052624 are concrete examples in our exact analytic territory that our papers supersede. The two Spick et al. Table 3 papers also provide inadvertent biological support for our burnout hypothesis (PMID 39052624) and document the cycle-truncation problem in lipid analysis (PMID 36904176).</w:t>
      </w:r>
    </w:p>
    <w:p>
      <w:pPr>
        <w:spacing w:after="120"/>
      </w:pPr>
      <w:r>
        <w:rPr>
          <w:rFonts w:ascii="Arial" w:cs="Arial" w:eastAsia="Arial" w:hAnsi="Arial"/>
          <w:sz w:val="22"/>
          <w:szCs w:val="22"/>
        </w:rPr>
        <w:t xml:space="preserve">Survey weighting status of individual papers must be verified before use. All URLs accessed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2026-06-02T18:11:12.187Z</dcterms:created>
  <dcterms:modified xsi:type="dcterms:W3CDTF">2026-06-02T18:11:12.188Z</dcterms:modified>
</cp:coreProperties>
</file>

<file path=docProps/custom.xml><?xml version="1.0" encoding="utf-8"?>
<Properties xmlns="http://schemas.openxmlformats.org/officeDocument/2006/custom-properties" xmlns:vt="http://schemas.openxmlformats.org/officeDocument/2006/docPropsVTypes"/>
</file>