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F172A"/>
          <w:sz w:val="48"/>
        </w:rPr>
        <w:t>product launch</w:t>
      </w:r>
    </w:p>
    <w:p>
      <w:pPr>
        <w:spacing w:after="400"/>
      </w:pPr>
      <w:r>
        <w:rPr>
          <w:rFonts w:ascii="Calibri" w:hAnsi="Calibri"/>
          <w:i/>
          <w:color w:val="64748B"/>
          <w:sz w:val="20"/>
        </w:rPr>
        <w:t>Generated by Zieork Autonomous Edge Intelligence • September 15, 2026</w:t>
      </w:r>
    </w:p>
    <w:p>
      <w:pPr>
        <w:pStyle w:val="Heading1"/>
        <w:spacing w:before="280" w:after="120"/>
      </w:pPr>
      <w:r>
        <w:rPr>
          <w:rFonts w:ascii="Calibri" w:hAnsi="Calibri"/>
          <w:color w:val="1E293B"/>
          <w:sz w:val="32"/>
        </w:rPr>
        <w:t>1. Executive Summary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This document establishes the strategic deployment and technical architecture for product launch. The solution delivers complete operational sovereignty, eliminating external telemetry and recurring third-party API expenditures while operating with deterministic latency on local edge compute infrastructure.</w:t>
      </w:r>
    </w:p>
    <w:p>
      <w:pPr>
        <w:spacing w:after="200"/>
        <w:ind w:left="576"/>
        <w:shd w:fill="F1F5F9"/>
      </w:pPr>
      <w:r>
        <w:rPr>
          <w:rFonts w:ascii="Calibri" w:hAnsi="Calibri"/>
          <w:i/>
          <w:color w:val="1E293B"/>
          <w:sz w:val="21"/>
        </w:rPr>
        <w:t>💡 All operations described herein execute 100% locally with zero external network dependencies and absolute privacy compliance.</w:t>
      </w:r>
    </w:p>
    <w:p>
      <w:pPr>
        <w:pStyle w:val="Heading1"/>
        <w:spacing w:before="280" w:after="120"/>
      </w:pPr>
      <w:r>
        <w:rPr>
          <w:rFonts w:ascii="Calibri" w:hAnsi="Calibri"/>
          <w:color w:val="1E293B"/>
          <w:sz w:val="32"/>
        </w:rPr>
        <w:t>2. Core Value Pillars &amp; Objectives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Operational Sovereignty: Complete independence from cloud outages and third-party API pricing volatility.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Latency Optimization: Sub-millisecond tensor processing through quantized local causal weights.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Multi-Format Artifact Generation: Real-time dynamic synthesis of Excel workbooks, Word briefs, and publication PDFs.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Automated Lead Mining: Integration of adaptive DOM scrapers and public platform intelligence.</w:t>
      </w:r>
    </w:p>
    <w:p>
      <w:pPr>
        <w:pStyle w:val="Heading1"/>
        <w:spacing w:before="280" w:after="120"/>
      </w:pPr>
      <w:r>
        <w:rPr>
          <w:rFonts w:ascii="Calibri" w:hAnsi="Calibri"/>
          <w:color w:val="1E293B"/>
          <w:sz w:val="32"/>
        </w:rPr>
        <w:t>3. Technical Architecture &amp; Deliverables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 Phase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Core Technology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Outcome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Phase 1: Edge Core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Zieork Prime 1.23B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Local Causal Inference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Deployed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Phase 2: Vision Engine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ResNet-50 INT8 (25MB)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Zero Server RAM Multimodal Vision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Verified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Phase 3: Document Suite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XlsxWriter &amp; Python-Docx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Dynamic .xlsx / .docx / .pdf Creation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Active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Phase 4: AgentReach Layer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Scrapling &amp; Public Dorking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Multi-Platform Lead Extraction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Operational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E293B"/>
          <w:sz w:val="32"/>
        </w:rPr>
        <w:t>4. Commercial Terms &amp; Deployment Roadmap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The platform architecture is designed for immediate enterprise installation. Ongoing maintenance and feature enhancements are orchestrated natively through the Zieork autonomous agent controller without requiring external infrastructure overhead.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