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F172A"/>
          <w:sz w:val="48"/>
        </w:rPr>
        <w:t>proposal for cloud migration</w:t>
      </w:r>
    </w:p>
    <w:p>
      <w:pPr>
        <w:spacing w:after="400"/>
      </w:pPr>
      <w:r>
        <w:rPr>
          <w:rFonts w:ascii="Calibri" w:hAnsi="Calibri"/>
          <w:i/>
          <w:color w:val="64748B"/>
          <w:sz w:val="20"/>
        </w:rPr>
        <w:t>Generated by Zieork Autonomous Edge Intelligence • September 15, 2026</w:t>
      </w:r>
    </w:p>
    <w:p>
      <w:pPr>
        <w:pStyle w:val="Heading1"/>
        <w:spacing w:before="280" w:after="120"/>
      </w:pPr>
      <w:r>
        <w:rPr>
          <w:rFonts w:ascii="Calibri" w:hAnsi="Calibri"/>
          <w:color w:val="1E293B"/>
          <w:sz w:val="32"/>
        </w:rPr>
        <w:t>1. Executive Summary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2"/>
        </w:rPr>
        <w:t>This document establishes the strategic deployment and technical architecture for proposal for cloud migration. The solution delivers complete operational sovereignty, eliminating external telemetry and recurring third-party API expenditures while operating with deterministic latency on local edge compute infrastructure.</w:t>
      </w:r>
    </w:p>
    <w:p>
      <w:pPr>
        <w:spacing w:after="200"/>
        <w:ind w:left="576"/>
        <w:shd w:fill="F1F5F9"/>
      </w:pPr>
      <w:r>
        <w:rPr>
          <w:rFonts w:ascii="Calibri" w:hAnsi="Calibri"/>
          <w:i/>
          <w:color w:val="1E293B"/>
          <w:sz w:val="21"/>
        </w:rPr>
        <w:t>💡 All operations described herein execute 100% locally with zero external network dependencies and absolute privacy compliance.</w:t>
      </w:r>
    </w:p>
    <w:p>
      <w:pPr>
        <w:pStyle w:val="Heading1"/>
        <w:spacing w:before="280" w:after="120"/>
      </w:pPr>
      <w:r>
        <w:rPr>
          <w:rFonts w:ascii="Calibri" w:hAnsi="Calibri"/>
          <w:color w:val="1E293B"/>
          <w:sz w:val="32"/>
        </w:rPr>
        <w:t>2. Core Value Pillars &amp; Objectives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Operational Sovereignty: Complete independence from cloud outages and third-party API pricing volatility.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Latency Optimization: Sub-millisecond tensor processing through quantized local causal weights.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Multi-Format Artifact Generation: Real-time dynamic synthesis of Excel workbooks, Word briefs, and publication PDFs.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Automated Lead Mining: Integration of adaptive DOM scrapers and public platform intelligence.</w:t>
      </w:r>
    </w:p>
    <w:p>
      <w:pPr>
        <w:pStyle w:val="Heading1"/>
        <w:spacing w:before="280" w:after="120"/>
      </w:pPr>
      <w:r>
        <w:rPr>
          <w:rFonts w:ascii="Calibri" w:hAnsi="Calibri"/>
          <w:color w:val="1E293B"/>
          <w:sz w:val="32"/>
        </w:rPr>
        <w:t>3. Technical Architecture &amp; Deliverables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 Phase</w:t>
            </w:r>
          </w:p>
        </w:tc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Core Technology</w:t>
            </w:r>
          </w:p>
        </w:tc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Outcome</w:t>
            </w:r>
          </w:p>
        </w:tc>
        <w:tc>
          <w:tcPr>
            <w:tcW w:type="dxa" w:w="234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Phase 1: Edge Core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Zieork Prime 1.23B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Local Causal Inference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Deployed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Phase 2: Vision Engine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ResNet-50 INT8 (25MB)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Zero Server RAM Multimodal Vision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Verified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Phase 3: Document Suite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XlsxWriter &amp; Python-Docx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Dynamic .xlsx / .docx / .pdf Creation</w:t>
            </w:r>
          </w:p>
        </w:tc>
        <w:tc>
          <w:tcPr>
            <w:tcW w:type="dxa" w:w="2340"/>
            <w:shd w:fill="FFFFFF"/>
          </w:tcPr>
          <w:p>
            <w:r>
              <w:rPr>
                <w:color w:val="334155"/>
                <w:sz w:val="20"/>
              </w:rPr>
              <w:t>Active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Phase 4: AgentReach Layer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Scrapling &amp; Public Dorking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Multi-Platform Lead Extraction</w:t>
            </w:r>
          </w:p>
        </w:tc>
        <w:tc>
          <w:tcPr>
            <w:tcW w:type="dxa" w:w="2340"/>
            <w:shd w:fill="F8FAFC"/>
          </w:tcPr>
          <w:p>
            <w:r>
              <w:rPr>
                <w:color w:val="334155"/>
                <w:sz w:val="20"/>
              </w:rPr>
              <w:t>Operational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color w:val="1E293B"/>
          <w:sz w:val="32"/>
        </w:rPr>
        <w:t>4. Commercial Terms &amp; Deployment Roadmap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2"/>
        </w:rPr>
        <w:t>The platform architecture is designed for immediate enterprise installation. Ongoing maintenance and feature enhancements are orchestrated natively through the Zieork autonomous agent controller without requiring external infrastructure overhead.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