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5B3D91"/>
          <w:sz w:val="56"/>
        </w:rPr>
        <w:t>IndiaWorks Unified SaaS - Business Requirements Document (BRD)</w:t>
      </w:r>
    </w:p>
    <w:p>
      <w:pPr>
        <w:jc w:val="center"/>
      </w:pPr>
      <w:r>
        <w:rPr>
          <w:color w:val="6B7280"/>
          <w:sz w:val="26"/>
        </w:rPr>
        <w:t>Employer Subscription + Job Promotion + Candidate Marketplace</w:t>
      </w:r>
    </w:p>
    <w:p>
      <w:pPr>
        <w:jc w:val="center"/>
      </w:pPr>
      <w:r>
        <w:br/>
        <w:t>IndiaWorks | Unified SaaS Architecture v7</w:t>
        <w:br/>
        <w:t>Generated 25 September 2026</w:t>
        <w:br/>
        <w:t>Baseline: v5 Unified SaaS + v6 Product/Technical Review + v7 Five-Candidate Commercial Gate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IndiaWorks is a two-sided hiring SaaS marketplace for India. Candidates use a low-friction mobile OTP flow to discover and apply to relevant jobs. Employers create verified organisations, subscribe on a trial/monthly/yearly basis, publish structured jobs, search relevant candidate profiles, reveal permitted candidate contact details, and optionally promote job visibility. The commercial model is organisation-centric and entitlement-based; it does not sell unrestricted raw candidate database exports.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28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6"/>
        </w:rPr>
        <w:t>Business context / DFD Level 0</w:t>
      </w:r>
    </w:p>
    <w:p>
      <w:pPr>
        <w:pStyle w:val="Heading1"/>
      </w:pPr>
      <w:r>
        <w:t>2. Source Baseline and Design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5B3D91"/>
            <w:vAlign w:val="center"/>
          </w:tcPr>
          <w:p>
            <w:r>
              <w:rPr>
                <w:color w:val="FFFFFF"/>
              </w:rPr>
              <w:t>Source artifact</w:t>
            </w:r>
          </w:p>
        </w:tc>
        <w:tc>
          <w:tcPr>
            <w:tcW w:type="dxa" w:w="6480"/>
            <w:shd w:fill="5B3D91"/>
            <w:vAlign w:val="center"/>
          </w:tcPr>
          <w:p>
            <w:r>
              <w:rPr>
                <w:color w:val="FFFFFF"/>
              </w:rPr>
              <w:t>What is retained</w:t>
            </w:r>
          </w:p>
        </w:tc>
      </w:tr>
      <w:tr>
        <w:tc>
          <w:tcPr>
            <w:tcW w:type="dxa" w:w="3168"/>
            <w:vAlign w:val="top"/>
          </w:tcPr>
          <w:p>
            <w:r>
              <w:t>Employer/Auth/Job Posting Taxonomy GraphQL Architecture v3</w:t>
            </w:r>
          </w:p>
        </w:tc>
        <w:tc>
          <w:tcPr>
            <w:tcW w:type="dxa" w:w="6480"/>
            <w:vAlign w:val="top"/>
          </w:tcPr>
          <w:p>
            <w:r>
              <w:t>Multi-tenant organisation model, structured taxonomy, job requirements, candidate search, contact policy, privacy/audit boundary.</w:t>
            </w:r>
          </w:p>
        </w:tc>
      </w:tr>
      <w:tr>
        <w:tc>
          <w:tcPr>
            <w:tcW w:type="dxa" w:w="3168"/>
            <w:vAlign w:val="top"/>
          </w:tcPr>
          <w:p>
            <w:r>
              <w:t>Candidate Onboarding &amp; Application Architecture v4</w:t>
            </w:r>
          </w:p>
        </w:tc>
        <w:tc>
          <w:tcPr>
            <w:tcW w:type="dxa" w:w="6480"/>
            <w:vAlign w:val="top"/>
          </w:tcPr>
          <w:p>
            <w:r>
              <w:t>Mobile OTP, progressive profile, jobs feed/search, soft-vs-hard application gating, application snapshot/event model, direct employer contact policy, alerts and candidate discoverability.</w:t>
            </w:r>
          </w:p>
        </w:tc>
      </w:tr>
    </w:tbl>
    <w:p>
      <w:pPr>
        <w:pStyle w:val="Heading1"/>
      </w:pPr>
      <w:r>
        <w:t>3. Business Vision</w:t>
      </w:r>
    </w:p>
    <w:p>
      <w:pPr>
        <w:pStyle w:val="ListBullet"/>
      </w:pPr>
      <w:r>
        <w:t>Enable enterprises, startups, MSMEs and businesses to hire frontline, skilled, service, gig and professional talent using structured requirements rather than unstructured CV search.</w:t>
      </w:r>
    </w:p>
    <w:p>
      <w:pPr>
        <w:pStyle w:val="ListBullet"/>
      </w:pPr>
      <w:r>
        <w:t>Enable candidates to reach jobs with minimal onboarding friction and to control whether their profile is discoverable beyond jobs they applied to.</w:t>
      </w:r>
    </w:p>
    <w:p>
      <w:pPr>
        <w:pStyle w:val="ListBullet"/>
      </w:pPr>
      <w:r>
        <w:t>Monetise employer access through trial, monthly and yearly subscriptions plus controlled job-promotion/add-on products.</w:t>
      </w:r>
    </w:p>
    <w:p>
      <w:pPr>
        <w:pStyle w:val="ListBullet"/>
      </w:pPr>
      <w:r>
        <w:t>Create a reusable India-specific occupation, skills, credentials, geography and engagement taxonomy that powers both job posting and candidate matching.</w:t>
      </w:r>
    </w:p>
    <w:p>
      <w:pPr>
        <w:pStyle w:val="ListBullet"/>
      </w:pPr>
      <w:r>
        <w:t>Provide measurable hiring outcomes: search-to-contact, application-to-shortlist, time-to-fill, hires, and promoted-job lift.</w:t>
      </w:r>
    </w:p>
    <w:p>
      <w:pPr>
        <w:pStyle w:val="Heading1"/>
      </w:pPr>
      <w:r>
        <w:t>4. Actors and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5B3D91"/>
            <w:vAlign w:val="center"/>
          </w:tcPr>
          <w:p>
            <w:r>
              <w:rPr>
                <w:color w:val="FFFFFF"/>
              </w:rPr>
              <w:t>Actor</w:t>
            </w:r>
          </w:p>
        </w:tc>
        <w:tc>
          <w:tcPr>
            <w:tcW w:type="dxa" w:w="4608"/>
            <w:shd w:fill="5B3D91"/>
            <w:vAlign w:val="center"/>
          </w:tcPr>
          <w:p>
            <w:r>
              <w:rPr>
                <w:color w:val="FFFFFF"/>
              </w:rPr>
              <w:t>Primary goals</w:t>
            </w:r>
          </w:p>
        </w:tc>
        <w:tc>
          <w:tcPr>
            <w:tcW w:type="dxa" w:w="3024"/>
            <w:shd w:fill="5B3D91"/>
            <w:vAlign w:val="center"/>
          </w:tcPr>
          <w:p>
            <w:r>
              <w:rPr>
                <w:color w:val="FFFFFF"/>
              </w:rPr>
              <w:t>Commercial / access relationship</w:t>
            </w:r>
          </w:p>
        </w:tc>
      </w:tr>
      <w:tr>
        <w:tc>
          <w:tcPr>
            <w:tcW w:type="dxa" w:w="1872"/>
            <w:vAlign w:val="top"/>
          </w:tcPr>
          <w:p>
            <w:r>
              <w:t>Candidate</w:t>
            </w:r>
          </w:p>
        </w:tc>
        <w:tc>
          <w:tcPr>
            <w:tcW w:type="dxa" w:w="4608"/>
            <w:vAlign w:val="top"/>
          </w:tcPr>
          <w:p>
            <w:r>
              <w:t>Find nearby/relevant work, apply quickly, contact employer where allowed, receive alerts.</w:t>
            </w:r>
          </w:p>
        </w:tc>
        <w:tc>
          <w:tcPr>
            <w:tcW w:type="dxa" w:w="3024"/>
            <w:vAlign w:val="top"/>
          </w:tcPr>
          <w:p>
            <w:r>
              <w:t>Free user; no subscription required.</w:t>
            </w:r>
          </w:p>
        </w:tc>
      </w:tr>
      <w:tr>
        <w:tc>
          <w:tcPr>
            <w:tcW w:type="dxa" w:w="1872"/>
            <w:vAlign w:val="top"/>
          </w:tcPr>
          <w:p>
            <w:r>
              <w:t>Employer Owner/Admin</w:t>
            </w:r>
          </w:p>
        </w:tc>
        <w:tc>
          <w:tcPr>
            <w:tcW w:type="dxa" w:w="4608"/>
            <w:vAlign w:val="top"/>
          </w:tcPr>
          <w:p>
            <w:r>
              <w:t>Create organisation, subscribe, manage recruiters, jobs, billing and usage.</w:t>
            </w:r>
          </w:p>
        </w:tc>
        <w:tc>
          <w:tcPr>
            <w:tcW w:type="dxa" w:w="3024"/>
            <w:vAlign w:val="top"/>
          </w:tcPr>
          <w:p>
            <w:r>
              <w:t>Pays for organisation plan/add-ons.</w:t>
            </w:r>
          </w:p>
        </w:tc>
      </w:tr>
      <w:tr>
        <w:tc>
          <w:tcPr>
            <w:tcW w:type="dxa" w:w="1872"/>
            <w:vAlign w:val="top"/>
          </w:tcPr>
          <w:p>
            <w:r>
              <w:t>Recruiter</w:t>
            </w:r>
          </w:p>
        </w:tc>
        <w:tc>
          <w:tcPr>
            <w:tcW w:type="dxa" w:w="4608"/>
            <w:vAlign w:val="top"/>
          </w:tcPr>
          <w:p>
            <w:r>
              <w:t>Post jobs, search candidates, shortlist, reveal contact, manage applications.</w:t>
            </w:r>
          </w:p>
        </w:tc>
        <w:tc>
          <w:tcPr>
            <w:tcW w:type="dxa" w:w="3024"/>
            <w:vAlign w:val="top"/>
          </w:tcPr>
          <w:p>
            <w:r>
              <w:t>Consumes organisation entitlements.</w:t>
            </w:r>
          </w:p>
        </w:tc>
      </w:tr>
      <w:tr>
        <w:tc>
          <w:tcPr>
            <w:tcW w:type="dxa" w:w="1872"/>
            <w:vAlign w:val="top"/>
          </w:tcPr>
          <w:p>
            <w:r>
              <w:t>Billing Admin</w:t>
            </w:r>
          </w:p>
        </w:tc>
        <w:tc>
          <w:tcPr>
            <w:tcW w:type="dxa" w:w="4608"/>
            <w:vAlign w:val="top"/>
          </w:tcPr>
          <w:p>
            <w:r>
              <w:t>Manage plan, invoices, payment method and renewals.</w:t>
            </w:r>
          </w:p>
        </w:tc>
        <w:tc>
          <w:tcPr>
            <w:tcW w:type="dxa" w:w="3024"/>
            <w:vAlign w:val="top"/>
          </w:tcPr>
          <w:p>
            <w:r>
              <w:t>Organisation role.</w:t>
            </w:r>
          </w:p>
        </w:tc>
      </w:tr>
      <w:tr>
        <w:tc>
          <w:tcPr>
            <w:tcW w:type="dxa" w:w="1872"/>
            <w:vAlign w:val="top"/>
          </w:tcPr>
          <w:p>
            <w:r>
              <w:t>IndiaWorks Admin</w:t>
            </w:r>
          </w:p>
        </w:tc>
        <w:tc>
          <w:tcPr>
            <w:tcW w:type="dxa" w:w="4608"/>
            <w:vAlign w:val="top"/>
          </w:tcPr>
          <w:p>
            <w:r>
              <w:t>Manage plans, taxonomy, moderation, support, audit and analytics.</w:t>
            </w:r>
          </w:p>
        </w:tc>
        <w:tc>
          <w:tcPr>
            <w:tcW w:type="dxa" w:w="3024"/>
            <w:vAlign w:val="top"/>
          </w:tcPr>
          <w:p>
            <w:r>
              <w:t>Platform operator.</w:t>
            </w:r>
          </w:p>
        </w:tc>
      </w:tr>
      <w:tr>
        <w:tc>
          <w:tcPr>
            <w:tcW w:type="dxa" w:w="1872"/>
            <w:vAlign w:val="top"/>
          </w:tcPr>
          <w:p>
            <w:r>
              <w:t>Payment Provider</w:t>
            </w:r>
          </w:p>
        </w:tc>
        <w:tc>
          <w:tcPr>
            <w:tcW w:type="dxa" w:w="4608"/>
            <w:vAlign w:val="top"/>
          </w:tcPr>
          <w:p>
            <w:r>
              <w:t>Collect subscription/add-on payments and emit payment/renewal/refund events.</w:t>
            </w:r>
          </w:p>
        </w:tc>
        <w:tc>
          <w:tcPr>
            <w:tcW w:type="dxa" w:w="3024"/>
            <w:vAlign w:val="top"/>
          </w:tcPr>
          <w:p>
            <w:r>
              <w:t>External integration.</w:t>
            </w:r>
          </w:p>
        </w:tc>
      </w:tr>
      <w:tr>
        <w:tc>
          <w:tcPr>
            <w:tcW w:type="dxa" w:w="1872"/>
            <w:vAlign w:val="top"/>
          </w:tcPr>
          <w:p>
            <w:r>
              <w:t>Messaging Provider</w:t>
            </w:r>
          </w:p>
        </w:tc>
        <w:tc>
          <w:tcPr>
            <w:tcW w:type="dxa" w:w="4608"/>
            <w:vAlign w:val="top"/>
          </w:tcPr>
          <w:p>
            <w:r>
              <w:t>OTP, alerts and transactional notifications.</w:t>
            </w:r>
          </w:p>
        </w:tc>
        <w:tc>
          <w:tcPr>
            <w:tcW w:type="dxa" w:w="3024"/>
            <w:vAlign w:val="top"/>
          </w:tcPr>
          <w:p>
            <w:r>
              <w:t>External integration.</w:t>
            </w:r>
          </w:p>
        </w:tc>
      </w:tr>
    </w:tbl>
    <w:p>
      <w:pPr>
        <w:pStyle w:val="Heading1"/>
      </w:pPr>
      <w:r>
        <w:t>5. Business Model</w:t>
      </w:r>
    </w:p>
    <w:p>
      <w:r>
        <w:t>Pricing amounts are intentionally configuration, not schema. The platform supports three core billing modes and optional add-ons: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5B3D91"/>
            <w:vAlign w:val="center"/>
          </w:tcPr>
          <w:p>
            <w:r>
              <w:rPr>
                <w:color w:val="FFFFFF"/>
              </w:rPr>
              <w:t>Offering</w:t>
            </w:r>
          </w:p>
        </w:tc>
        <w:tc>
          <w:tcPr>
            <w:tcW w:type="dxa" w:w="3456"/>
            <w:shd w:fill="5B3D91"/>
            <w:vAlign w:val="center"/>
          </w:tcPr>
          <w:p>
            <w:r>
              <w:rPr>
                <w:color w:val="FFFFFF"/>
              </w:rPr>
              <w:t>Billing behavior</w:t>
            </w:r>
          </w:p>
        </w:tc>
        <w:tc>
          <w:tcPr>
            <w:tcW w:type="dxa" w:w="4464"/>
            <w:shd w:fill="5B3D91"/>
            <w:vAlign w:val="center"/>
          </w:tcPr>
          <w:p>
            <w:r>
              <w:rPr>
                <w:color w:val="FFFFFF"/>
              </w:rPr>
              <w:t>Typical entitlement pattern</w:t>
            </w:r>
          </w:p>
        </w:tc>
      </w:tr>
      <w:tr>
        <w:tc>
          <w:tcPr>
            <w:tcW w:type="dxa" w:w="1728"/>
            <w:vAlign w:val="top"/>
          </w:tcPr>
          <w:p>
            <w:r>
              <w:t>Trial</w:t>
            </w:r>
          </w:p>
        </w:tc>
        <w:tc>
          <w:tcPr>
            <w:tcW w:type="dxa" w:w="3456"/>
            <w:vAlign w:val="top"/>
          </w:tcPr>
          <w:p>
            <w:r>
              <w:t>Free evaluation/trial entry point. Candidate access is hard-gated after five lifetime distinct candidate unlocks unless the organisation upgrades.</w:t>
            </w:r>
          </w:p>
        </w:tc>
        <w:tc>
          <w:tcPr>
            <w:tcW w:type="dxa" w:w="4464"/>
            <w:vAlign w:val="top"/>
          </w:tcPr>
          <w:p>
            <w:r>
              <w:t>5 distinct candidate unlocks (reset NONE), masked browsing, limited active jobs/seats/promotion as configured.</w:t>
            </w:r>
          </w:p>
        </w:tc>
      </w:tr>
      <w:tr>
        <w:tc>
          <w:tcPr>
            <w:tcW w:type="dxa" w:w="1728"/>
            <w:vAlign w:val="top"/>
          </w:tcPr>
          <w:p>
            <w:r>
              <w:t>Monthly</w:t>
            </w:r>
          </w:p>
        </w:tc>
        <w:tc>
          <w:tcPr>
            <w:tcW w:type="dxa" w:w="3456"/>
            <w:vAlign w:val="top"/>
          </w:tcPr>
          <w:p>
            <w:r>
              <w:t>Recurring monthly subscription.</w:t>
            </w:r>
          </w:p>
        </w:tc>
        <w:tc>
          <w:tcPr>
            <w:tcW w:type="dxa" w:w="4464"/>
            <w:vAlign w:val="top"/>
          </w:tcPr>
          <w:p>
            <w:r>
              <w:t>Monthly-reset usage limits and/or included credits.</w:t>
            </w:r>
          </w:p>
        </w:tc>
      </w:tr>
      <w:tr>
        <w:tc>
          <w:tcPr>
            <w:tcW w:type="dxa" w:w="1728"/>
            <w:vAlign w:val="top"/>
          </w:tcPr>
          <w:p>
            <w:r>
              <w:t>Annual</w:t>
            </w:r>
          </w:p>
        </w:tc>
        <w:tc>
          <w:tcPr>
            <w:tcW w:type="dxa" w:w="3456"/>
            <w:vAlign w:val="top"/>
          </w:tcPr>
          <w:p>
            <w:r>
              <w:t>Recurring yearly subscription, usually discounted commercially.</w:t>
            </w:r>
          </w:p>
        </w:tc>
        <w:tc>
          <w:tcPr>
            <w:tcW w:type="dxa" w:w="4464"/>
            <w:vAlign w:val="top"/>
          </w:tcPr>
          <w:p>
            <w:r>
              <w:t>Annual commitment; usage can reset monthly or annually by entitlement definition.</w:t>
            </w:r>
          </w:p>
        </w:tc>
      </w:tr>
      <w:tr>
        <w:tc>
          <w:tcPr>
            <w:tcW w:type="dxa" w:w="1728"/>
            <w:vAlign w:val="top"/>
          </w:tcPr>
          <w:p>
            <w:r>
              <w:t>Add-on</w:t>
            </w:r>
          </w:p>
        </w:tc>
        <w:tc>
          <w:tcPr>
            <w:tcW w:type="dxa" w:w="3456"/>
            <w:vAlign w:val="top"/>
          </w:tcPr>
          <w:p>
            <w:r>
              <w:t>One-time or recurring purchase.</w:t>
            </w:r>
          </w:p>
        </w:tc>
        <w:tc>
          <w:tcPr>
            <w:tcW w:type="dxa" w:w="4464"/>
            <w:vAlign w:val="top"/>
          </w:tcPr>
          <w:p>
            <w:r>
              <w:t>Extra contact reveals, promotion credits, recruiter seats, API/export package.</w:t>
            </w:r>
          </w:p>
        </w:tc>
      </w:tr>
    </w:tbl>
    <w:p>
      <w:pPr>
        <w:pStyle w:val="Heading1"/>
      </w:pPr>
      <w:r>
        <w:t>6. End-to-End Business Flows</w:t>
      </w:r>
    </w:p>
    <w:p>
      <w:r>
        <w:br w:type="page"/>
      </w:r>
    </w:p>
    <w:p>
      <w:pPr>
        <w:pStyle w:val="Heading2"/>
      </w:pPr>
      <w:r>
        <w:t>6.1 Employer commercial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14600" cy="64724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mployer_Subscribe_Post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7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6.2 Candidate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97480" cy="559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Candidate_Discover_App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559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Business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5B3D91"/>
            <w:vAlign w:val="center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1728"/>
            <w:shd w:fill="5B3D91"/>
            <w:vAlign w:val="center"/>
          </w:tcPr>
          <w:p>
            <w:r>
              <w:rPr>
                <w:color w:val="FFFFFF"/>
              </w:rPr>
              <w:t>Area</w:t>
            </w:r>
          </w:p>
        </w:tc>
        <w:tc>
          <w:tcPr>
            <w:tcW w:type="dxa" w:w="6624"/>
            <w:shd w:fill="5B3D91"/>
            <w:vAlign w:val="center"/>
          </w:tcPr>
          <w:p>
            <w:r>
              <w:rPr>
                <w:color w:val="FFFFFF"/>
              </w:rPr>
              <w:t>Requirement</w:t>
            </w:r>
          </w:p>
        </w:tc>
        <w:tc>
          <w:tcPr>
            <w:tcW w:type="dxa" w:w="1008"/>
            <w:shd w:fill="5B3D91"/>
            <w:vAlign w:val="center"/>
          </w:tcPr>
          <w:p>
            <w:r>
              <w:rPr>
                <w:color w:val="FFFFFF"/>
              </w:rPr>
              <w:t>Priority</w:t>
            </w:r>
          </w:p>
        </w:tc>
      </w:tr>
      <w:tr>
        <w:tc>
          <w:tcPr>
            <w:tcW w:type="dxa" w:w="1008"/>
            <w:vAlign w:val="top"/>
          </w:tcPr>
          <w:p>
            <w:r>
              <w:t>BR-001</w:t>
            </w:r>
          </w:p>
        </w:tc>
        <w:tc>
          <w:tcPr>
            <w:tcW w:type="dxa" w:w="1728"/>
            <w:vAlign w:val="top"/>
          </w:tcPr>
          <w:p>
            <w:r>
              <w:t>Candidate access</w:t>
            </w:r>
          </w:p>
        </w:tc>
        <w:tc>
          <w:tcPr>
            <w:tcW w:type="dxa" w:w="6624"/>
            <w:vAlign w:val="top"/>
          </w:tcPr>
          <w:p>
            <w:r>
              <w:t>Candidates shall authenticate using mobile OTP and reach the jobs feed without mandatory full-profile completion.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BR-002</w:t>
            </w:r>
          </w:p>
        </w:tc>
        <w:tc>
          <w:tcPr>
            <w:tcW w:type="dxa" w:w="1728"/>
            <w:vAlign w:val="top"/>
          </w:tcPr>
          <w:p>
            <w:r>
              <w:t>Employer access</w:t>
            </w:r>
          </w:p>
        </w:tc>
        <w:tc>
          <w:tcPr>
            <w:tcW w:type="dxa" w:w="6624"/>
            <w:vAlign w:val="top"/>
          </w:tcPr>
          <w:p>
            <w:r>
              <w:t>Employers shall authenticate using verified mobile or email OTP and operate within an organisation tenant.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BR-003</w:t>
            </w:r>
          </w:p>
        </w:tc>
        <w:tc>
          <w:tcPr>
            <w:tcW w:type="dxa" w:w="1728"/>
            <w:vAlign w:val="top"/>
          </w:tcPr>
          <w:p>
            <w:r>
              <w:t>Organisation tenancy</w:t>
            </w:r>
          </w:p>
        </w:tc>
        <w:tc>
          <w:tcPr>
            <w:tcW w:type="dxa" w:w="6624"/>
            <w:vAlign w:val="top"/>
          </w:tcPr>
          <w:p>
            <w:r>
              <w:t>Subscriptions, usage, jobs and recruiter permissions shall belong to an organisation, not an individual recruiter.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BR-004</w:t>
            </w:r>
          </w:p>
        </w:tc>
        <w:tc>
          <w:tcPr>
            <w:tcW w:type="dxa" w:w="1728"/>
            <w:vAlign w:val="top"/>
          </w:tcPr>
          <w:p>
            <w:r>
              <w:t>Plan catalogue</w:t>
            </w:r>
          </w:p>
        </w:tc>
        <w:tc>
          <w:tcPr>
            <w:tcW w:type="dxa" w:w="6624"/>
            <w:vAlign w:val="top"/>
          </w:tcPr>
          <w:p>
            <w:r>
              <w:t>IndiaWorks shall support configurable Trial, Monthly and Annual plans.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BR-005</w:t>
            </w:r>
          </w:p>
        </w:tc>
        <w:tc>
          <w:tcPr>
            <w:tcW w:type="dxa" w:w="1728"/>
            <w:vAlign w:val="top"/>
          </w:tcPr>
          <w:p>
            <w:r>
              <w:t>Entitlements</w:t>
            </w:r>
          </w:p>
        </w:tc>
        <w:tc>
          <w:tcPr>
            <w:tcW w:type="dxa" w:w="6624"/>
            <w:vAlign w:val="top"/>
          </w:tcPr>
          <w:p>
            <w:r>
              <w:t>Each plan shall define feature access and limits including active jobs, candidate searches, CANDIDATE_UNLOCK, contact reveals, recruiter seats and promotion credits.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BR-006</w:t>
            </w:r>
          </w:p>
        </w:tc>
        <w:tc>
          <w:tcPr>
            <w:tcW w:type="dxa" w:w="1728"/>
            <w:vAlign w:val="top"/>
          </w:tcPr>
          <w:p>
            <w:r>
              <w:t>Billing lifecycle</w:t>
            </w:r>
          </w:p>
        </w:tc>
        <w:tc>
          <w:tcPr>
            <w:tcW w:type="dxa" w:w="6624"/>
            <w:vAlign w:val="top"/>
          </w:tcPr>
          <w:p>
            <w:r>
              <w:t>The platform shall handle trial, active, past-due, cancelled, expired and suspended subscription states.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BR-007</w:t>
            </w:r>
          </w:p>
        </w:tc>
        <w:tc>
          <w:tcPr>
            <w:tcW w:type="dxa" w:w="1728"/>
            <w:vAlign w:val="top"/>
          </w:tcPr>
          <w:p>
            <w:r>
              <w:t>Structured jobs</w:t>
            </w:r>
          </w:p>
        </w:tc>
        <w:tc>
          <w:tcPr>
            <w:tcW w:type="dxa" w:w="6624"/>
            <w:vAlign w:val="top"/>
          </w:tcPr>
          <w:p>
            <w:r>
              <w:t>Employers shall post jobs using canonical Role/Specialisation/Work Context plus independent engagement, work mode, geography, compensation and requirements.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BR-008</w:t>
            </w:r>
          </w:p>
        </w:tc>
        <w:tc>
          <w:tcPr>
            <w:tcW w:type="dxa" w:w="1728"/>
            <w:vAlign w:val="top"/>
          </w:tcPr>
          <w:p>
            <w:r>
              <w:t>Candidate discovery</w:t>
            </w:r>
          </w:p>
        </w:tc>
        <w:tc>
          <w:tcPr>
            <w:tcW w:type="dxa" w:w="6624"/>
            <w:vAlign w:val="top"/>
          </w:tcPr>
          <w:p>
            <w:r>
              <w:t>Subscribed employers shall search only candidates permitted by candidate discoverability/consent and plan entitlements.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BR-009</w:t>
            </w:r>
          </w:p>
        </w:tc>
        <w:tc>
          <w:tcPr>
            <w:tcW w:type="dxa" w:w="1728"/>
            <w:vAlign w:val="top"/>
          </w:tcPr>
          <w:p>
            <w:r>
              <w:t>Masked results</w:t>
            </w:r>
          </w:p>
        </w:tc>
        <w:tc>
          <w:tcPr>
            <w:tcW w:type="dxa" w:w="6624"/>
            <w:vAlign w:val="top"/>
          </w:tcPr>
          <w:p>
            <w:r>
              <w:t>Candidate search results shall mask contact PII until a permitted reveal/contact action.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BR-010</w:t>
            </w:r>
          </w:p>
        </w:tc>
        <w:tc>
          <w:tcPr>
            <w:tcW w:type="dxa" w:w="1728"/>
            <w:vAlign w:val="top"/>
          </w:tcPr>
          <w:p>
            <w:r>
              <w:t>Contact metering</w:t>
            </w:r>
          </w:p>
        </w:tc>
        <w:tc>
          <w:tcPr>
            <w:tcW w:type="dxa" w:w="6624"/>
            <w:vAlign w:val="top"/>
          </w:tcPr>
          <w:p>
            <w:r>
              <w:t>Contact reveal/contact initiation shall be auditable and consume entitlements exactly once using idempotency.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BR-011</w:t>
            </w:r>
          </w:p>
        </w:tc>
        <w:tc>
          <w:tcPr>
            <w:tcW w:type="dxa" w:w="1728"/>
            <w:vAlign w:val="top"/>
          </w:tcPr>
          <w:p>
            <w:r>
              <w:t>Job promotion</w:t>
            </w:r>
          </w:p>
        </w:tc>
        <w:tc>
          <w:tcPr>
            <w:tcW w:type="dxa" w:w="6624"/>
            <w:vAlign w:val="top"/>
          </w:tcPr>
          <w:p>
            <w:r>
              <w:t>Employers shall promote eligible published jobs using plan credits or paid add-ons.</w:t>
            </w:r>
          </w:p>
        </w:tc>
        <w:tc>
          <w:tcPr>
            <w:tcW w:type="dxa" w:w="1008"/>
            <w:vAlign w:val="top"/>
          </w:tcPr>
          <w:p>
            <w:r>
              <w:t>SHOULD</w:t>
            </w:r>
          </w:p>
        </w:tc>
      </w:tr>
      <w:tr>
        <w:tc>
          <w:tcPr>
            <w:tcW w:type="dxa" w:w="1008"/>
            <w:vAlign w:val="top"/>
          </w:tcPr>
          <w:p>
            <w:r>
              <w:t>BR-012</w:t>
            </w:r>
          </w:p>
        </w:tc>
        <w:tc>
          <w:tcPr>
            <w:tcW w:type="dxa" w:w="1728"/>
            <w:vAlign w:val="top"/>
          </w:tcPr>
          <w:p>
            <w:r>
              <w:t>Promotion fairness</w:t>
            </w:r>
          </w:p>
        </w:tc>
        <w:tc>
          <w:tcPr>
            <w:tcW w:type="dxa" w:w="6624"/>
            <w:vAlign w:val="top"/>
          </w:tcPr>
          <w:p>
            <w:r>
              <w:t>Promotion shall boost only jobs that already pass eligibility and relevance rules; it shall not bypass hard requirements.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BR-013</w:t>
            </w:r>
          </w:p>
        </w:tc>
        <w:tc>
          <w:tcPr>
            <w:tcW w:type="dxa" w:w="1728"/>
            <w:vAlign w:val="top"/>
          </w:tcPr>
          <w:p>
            <w:r>
              <w:t>Application</w:t>
            </w:r>
          </w:p>
        </w:tc>
        <w:tc>
          <w:tcPr>
            <w:tcW w:type="dxa" w:w="6624"/>
            <w:vAlign w:val="top"/>
          </w:tcPr>
          <w:p>
            <w:r>
              <w:t>Candidates shall apply with minimum friction; soft preference mismatches warn but do not block.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BR-014</w:t>
            </w:r>
          </w:p>
        </w:tc>
        <w:tc>
          <w:tcPr>
            <w:tcW w:type="dxa" w:w="1728"/>
            <w:vAlign w:val="top"/>
          </w:tcPr>
          <w:p>
            <w:r>
              <w:t>Hard eligibility</w:t>
            </w:r>
          </w:p>
        </w:tc>
        <w:tc>
          <w:tcPr>
            <w:tcW w:type="dxa" w:w="6624"/>
            <w:vAlign w:val="top"/>
          </w:tcPr>
          <w:p>
            <w:r>
              <w:t>Only explicit legal, safety or genuinely mandatory credential requirements should block application.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BR-015</w:t>
            </w:r>
          </w:p>
        </w:tc>
        <w:tc>
          <w:tcPr>
            <w:tcW w:type="dxa" w:w="1728"/>
            <w:vAlign w:val="top"/>
          </w:tcPr>
          <w:p>
            <w:r>
              <w:t>Application history</w:t>
            </w:r>
          </w:p>
        </w:tc>
        <w:tc>
          <w:tcPr>
            <w:tcW w:type="dxa" w:w="6624"/>
            <w:vAlign w:val="top"/>
          </w:tcPr>
          <w:p>
            <w:r>
              <w:t>The system shall preserve application status history and apply-time snapshots.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BR-016</w:t>
            </w:r>
          </w:p>
        </w:tc>
        <w:tc>
          <w:tcPr>
            <w:tcW w:type="dxa" w:w="1728"/>
            <w:vAlign w:val="top"/>
          </w:tcPr>
          <w:p>
            <w:r>
              <w:t>Direct contact</w:t>
            </w:r>
          </w:p>
        </w:tc>
        <w:tc>
          <w:tcPr>
            <w:tcW w:type="dxa" w:w="6624"/>
            <w:vAlign w:val="top"/>
          </w:tcPr>
          <w:p>
            <w:r>
              <w:t>Candidate call/message actions shall obey each job contact policy and window.</w:t>
            </w:r>
          </w:p>
        </w:tc>
        <w:tc>
          <w:tcPr>
            <w:tcW w:type="dxa" w:w="1008"/>
            <w:vAlign w:val="top"/>
          </w:tcPr>
          <w:p>
            <w:r>
              <w:t>SHOULD</w:t>
            </w:r>
          </w:p>
        </w:tc>
      </w:tr>
      <w:tr>
        <w:tc>
          <w:tcPr>
            <w:tcW w:type="dxa" w:w="1008"/>
            <w:vAlign w:val="top"/>
          </w:tcPr>
          <w:p>
            <w:r>
              <w:t>BR-017</w:t>
            </w:r>
          </w:p>
        </w:tc>
        <w:tc>
          <w:tcPr>
            <w:tcW w:type="dxa" w:w="1728"/>
            <w:vAlign w:val="top"/>
          </w:tcPr>
          <w:p>
            <w:r>
              <w:t>Candidate alerts</w:t>
            </w:r>
          </w:p>
        </w:tc>
        <w:tc>
          <w:tcPr>
            <w:tcW w:type="dxa" w:w="6624"/>
            <w:vAlign w:val="top"/>
          </w:tcPr>
          <w:p>
            <w:r>
              <w:t>Candidates may opt into job alerts independently from authentication consent.</w:t>
            </w:r>
          </w:p>
        </w:tc>
        <w:tc>
          <w:tcPr>
            <w:tcW w:type="dxa" w:w="1008"/>
            <w:vAlign w:val="top"/>
          </w:tcPr>
          <w:p>
            <w:r>
              <w:t>SHOULD</w:t>
            </w:r>
          </w:p>
        </w:tc>
      </w:tr>
      <w:tr>
        <w:tc>
          <w:tcPr>
            <w:tcW w:type="dxa" w:w="1008"/>
            <w:vAlign w:val="top"/>
          </w:tcPr>
          <w:p>
            <w:r>
              <w:t>BR-018</w:t>
            </w:r>
          </w:p>
        </w:tc>
        <w:tc>
          <w:tcPr>
            <w:tcW w:type="dxa" w:w="1728"/>
            <w:vAlign w:val="top"/>
          </w:tcPr>
          <w:p>
            <w:r>
              <w:t>Taxonomy governance</w:t>
            </w:r>
          </w:p>
        </w:tc>
        <w:tc>
          <w:tcPr>
            <w:tcW w:type="dxa" w:w="6624"/>
            <w:vAlign w:val="top"/>
          </w:tcPr>
          <w:p>
            <w:r>
              <w:t>Taxonomy and external mappings shall be versioned and administratively governed.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BR-019</w:t>
            </w:r>
          </w:p>
        </w:tc>
        <w:tc>
          <w:tcPr>
            <w:tcW w:type="dxa" w:w="1728"/>
            <w:vAlign w:val="top"/>
          </w:tcPr>
          <w:p>
            <w:r>
              <w:t>Usage transparency</w:t>
            </w:r>
          </w:p>
        </w:tc>
        <w:tc>
          <w:tcPr>
            <w:tcW w:type="dxa" w:w="6624"/>
            <w:vAlign w:val="top"/>
          </w:tcPr>
          <w:p>
            <w:r>
              <w:t>Employer admins shall see plan limits, current usage, renewal/trial date and upgrade options.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BR-020</w:t>
            </w:r>
          </w:p>
        </w:tc>
        <w:tc>
          <w:tcPr>
            <w:tcW w:type="dxa" w:w="1728"/>
            <w:vAlign w:val="top"/>
          </w:tcPr>
          <w:p>
            <w:r>
              <w:t>Auditability</w:t>
            </w:r>
          </w:p>
        </w:tc>
        <w:tc>
          <w:tcPr>
            <w:tcW w:type="dxa" w:w="6624"/>
            <w:vAlign w:val="top"/>
          </w:tcPr>
          <w:p>
            <w:r>
              <w:t>Candidate access, reveals, exports, plan changes, payment status changes and administrative overrides shall be auditable.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BR-021</w:t>
            </w:r>
          </w:p>
        </w:tc>
        <w:tc>
          <w:tcPr>
            <w:tcW w:type="dxa" w:w="1728"/>
            <w:vAlign w:val="top"/>
          </w:tcPr>
          <w:p>
            <w:r>
              <w:t>Privacy</w:t>
            </w:r>
          </w:p>
        </w:tc>
        <w:tc>
          <w:tcPr>
            <w:tcW w:type="dxa" w:w="6624"/>
            <w:vAlign w:val="top"/>
          </w:tcPr>
          <w:p>
            <w:r>
              <w:t>Candidate talent-pool discoverability shall be a separate purpose/consent from applying to one job.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BR-022</w:t>
            </w:r>
          </w:p>
        </w:tc>
        <w:tc>
          <w:tcPr>
            <w:tcW w:type="dxa" w:w="1728"/>
            <w:vAlign w:val="top"/>
          </w:tcPr>
          <w:p>
            <w:r>
              <w:t>Notifications</w:t>
            </w:r>
          </w:p>
        </w:tc>
        <w:tc>
          <w:tcPr>
            <w:tcW w:type="dxa" w:w="6624"/>
            <w:vAlign w:val="top"/>
          </w:tcPr>
          <w:p>
            <w:r>
              <w:t>OTP, billing, job/application and alert communications shall respect channel preferences and purpose.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  <w:tr>
        <w:tc>
          <w:tcPr>
            <w:tcW w:type="dxa" w:w="1008"/>
            <w:vAlign w:val="top"/>
          </w:tcPr>
          <w:p>
            <w:r>
              <w:t>BR-023</w:t>
            </w:r>
          </w:p>
        </w:tc>
        <w:tc>
          <w:tcPr>
            <w:tcW w:type="dxa" w:w="1728"/>
            <w:vAlign w:val="top"/>
          </w:tcPr>
          <w:p>
            <w:r>
              <w:t>Admin operations</w:t>
            </w:r>
          </w:p>
        </w:tc>
        <w:tc>
          <w:tcPr>
            <w:tcW w:type="dxa" w:w="6624"/>
            <w:vAlign w:val="top"/>
          </w:tcPr>
          <w:p>
            <w:r>
              <w:t>Admins shall configure plans, entitlements, promotion products, taxonomy and moderation controls without code changes where practical.</w:t>
            </w:r>
          </w:p>
        </w:tc>
        <w:tc>
          <w:tcPr>
            <w:tcW w:type="dxa" w:w="1008"/>
            <w:vAlign w:val="top"/>
          </w:tcPr>
          <w:p>
            <w:r>
              <w:t>SHOULD</w:t>
            </w:r>
          </w:p>
        </w:tc>
      </w:tr>
      <w:tr>
        <w:tc>
          <w:tcPr>
            <w:tcW w:type="dxa" w:w="1008"/>
            <w:vAlign w:val="top"/>
          </w:tcPr>
          <w:p>
            <w:r>
              <w:t>BR-024</w:t>
            </w:r>
          </w:p>
        </w:tc>
        <w:tc>
          <w:tcPr>
            <w:tcW w:type="dxa" w:w="1728"/>
            <w:vAlign w:val="top"/>
          </w:tcPr>
          <w:p>
            <w:r>
              <w:t>Analytics</w:t>
            </w:r>
          </w:p>
        </w:tc>
        <w:tc>
          <w:tcPr>
            <w:tcW w:type="dxa" w:w="6624"/>
            <w:vAlign w:val="top"/>
          </w:tcPr>
          <w:p>
            <w:r>
              <w:t>The platform shall measure funnel metrics without exposing unnecessary candidate PII.</w:t>
            </w:r>
          </w:p>
        </w:tc>
        <w:tc>
          <w:tcPr>
            <w:tcW w:type="dxa" w:w="1008"/>
            <w:vAlign w:val="top"/>
          </w:tcPr>
          <w:p>
            <w:r>
              <w:t>SHOULD</w:t>
            </w:r>
          </w:p>
        </w:tc>
      </w:tr>
      <w:tr>
        <w:tc>
          <w:tcPr>
            <w:tcW w:type="dxa" w:w="1008"/>
            <w:vAlign w:val="top"/>
          </w:tcPr>
          <w:p>
            <w:r>
              <w:t>BR-025</w:t>
            </w:r>
          </w:p>
        </w:tc>
        <w:tc>
          <w:tcPr>
            <w:tcW w:type="dxa" w:w="1728"/>
            <w:vAlign w:val="top"/>
          </w:tcPr>
          <w:p>
            <w:r>
              <w:t>Extensibility</w:t>
            </w:r>
          </w:p>
        </w:tc>
        <w:tc>
          <w:tcPr>
            <w:tcW w:type="dxa" w:w="6624"/>
            <w:vAlign w:val="top"/>
          </w:tcPr>
          <w:p>
            <w:r>
              <w:t>The commercial layer shall not require separate schemas for blue/white/grey/service/gig workers.</w:t>
            </w:r>
          </w:p>
        </w:tc>
        <w:tc>
          <w:tcPr>
            <w:tcW w:type="dxa" w:w="1008"/>
            <w:vAlign w:val="top"/>
          </w:tcPr>
          <w:p>
            <w:r>
              <w:t>MUST</w:t>
            </w:r>
          </w:p>
        </w:tc>
      </w:tr>
    </w:tbl>
    <w:p>
      <w:pPr>
        <w:pStyle w:val="Heading1"/>
      </w:pPr>
      <w:r>
        <w:t>8. Core Business Rules</w:t>
      </w:r>
    </w:p>
    <w:p>
      <w:pPr>
        <w:pStyle w:val="ListBullet"/>
      </w:pPr>
      <w:r>
        <w:t>A candidate is free to browse/apply; employers fund the marketplace.</w:t>
      </w:r>
    </w:p>
    <w:p>
      <w:pPr>
        <w:pStyle w:val="ListBullet"/>
      </w:pPr>
      <w:r>
        <w:t>A plan is a versioned commercial product. Entitlements are features/limits attached to a plan version.</w:t>
      </w:r>
    </w:p>
    <w:p>
      <w:pPr>
        <w:pStyle w:val="ListBullet"/>
      </w:pPr>
      <w:r>
        <w:t>Publishing a job requires a valid organisation membership and an entitlement permitting an additional active job.</w:t>
      </w:r>
    </w:p>
    <w:p>
      <w:pPr>
        <w:pStyle w:val="ListBullet"/>
      </w:pPr>
      <w:r>
        <w:t>Candidate search and contact reveal are separate entitlements. Search does not automatically grant contact access.</w:t>
      </w:r>
    </w:p>
    <w:p>
      <w:pPr>
        <w:pStyle w:val="ListBullet"/>
      </w:pPr>
      <w:r>
        <w:t>One contact reveal should be idempotently metered per configured policy (for example per candidate per organisation, or per candidate/job pair). This policy is configuration and must be explicit.</w:t>
      </w:r>
    </w:p>
    <w:p>
      <w:pPr>
        <w:pStyle w:val="ListBullet"/>
      </w:pPr>
      <w:r>
        <w:t>Job promotion has a defined start/end window and boost weight. Promotion is never a substitute for candidate/job eligibility.</w:t>
      </w:r>
    </w:p>
    <w:p>
      <w:pPr>
        <w:pStyle w:val="ListBullet"/>
      </w:pPr>
      <w:r>
        <w:t>Applications remain valid historical records even if the employer subscription later lapses; employer access to new candidate discovery may be restricted.</w:t>
      </w:r>
    </w:p>
    <w:p>
      <w:pPr>
        <w:pStyle w:val="ListBullet"/>
      </w:pPr>
      <w:r>
        <w:t>Candidate discoverability defaults to APPLIED_JOBS_ONLY; broader talent-pool visibility is separately consented.</w:t>
      </w:r>
    </w:p>
    <w:p>
      <w:pPr>
        <w:pStyle w:val="ListBullet"/>
      </w:pPr>
      <w:r>
        <w:t>Payment-provider state is external evidence; IndiaWorks maintains its own canonical subscription state and reconciles webhooks idempotently.</w:t>
      </w:r>
    </w:p>
    <w:p>
      <w:pPr>
        <w:pStyle w:val="Heading1"/>
      </w:pPr>
      <w:r>
        <w:t>9.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Metric family</w:t>
            </w:r>
          </w:p>
        </w:tc>
        <w:tc>
          <w:tcPr>
            <w:tcW w:type="dxa" w:w="7488"/>
            <w:shd w:fill="5B3D91"/>
            <w:vAlign w:val="center"/>
          </w:tcPr>
          <w:p>
            <w:r>
              <w:rPr>
                <w:color w:val="FFFFFF"/>
              </w:rPr>
              <w:t>Examples</w:t>
            </w:r>
          </w:p>
        </w:tc>
      </w:tr>
      <w:tr>
        <w:tc>
          <w:tcPr>
            <w:tcW w:type="dxa" w:w="2160"/>
            <w:vAlign w:val="top"/>
          </w:tcPr>
          <w:p>
            <w:r>
              <w:t>Acquisition</w:t>
            </w:r>
          </w:p>
        </w:tc>
        <w:tc>
          <w:tcPr>
            <w:tcW w:type="dxa" w:w="7488"/>
            <w:vAlign w:val="top"/>
          </w:tcPr>
          <w:p>
            <w:r>
              <w:t>Employer signup-to-trial, candidate OTP completion, recruiter activation.</w:t>
            </w:r>
          </w:p>
        </w:tc>
      </w:tr>
      <w:tr>
        <w:tc>
          <w:tcPr>
            <w:tcW w:type="dxa" w:w="2160"/>
            <w:vAlign w:val="top"/>
          </w:tcPr>
          <w:p>
            <w:r>
              <w:t>Monetisation</w:t>
            </w:r>
          </w:p>
        </w:tc>
        <w:tc>
          <w:tcPr>
            <w:tcW w:type="dxa" w:w="7488"/>
            <w:vAlign w:val="top"/>
          </w:tcPr>
          <w:p>
            <w:r>
              <w:t>Trial-to-paid conversion, monthly/annual mix, ARPA, add-on revenue, renewal/churn.</w:t>
            </w:r>
          </w:p>
        </w:tc>
      </w:tr>
      <w:tr>
        <w:tc>
          <w:tcPr>
            <w:tcW w:type="dxa" w:w="2160"/>
            <w:vAlign w:val="top"/>
          </w:tcPr>
          <w:p>
            <w:r>
              <w:t>Hiring</w:t>
            </w:r>
          </w:p>
        </w:tc>
        <w:tc>
          <w:tcPr>
            <w:tcW w:type="dxa" w:w="7488"/>
            <w:vAlign w:val="top"/>
          </w:tcPr>
          <w:p>
            <w:r>
              <w:t>Time to first qualified candidate, time to first contact, time to fill, application-to-shortlist, shortlist-to-hire.</w:t>
            </w:r>
          </w:p>
        </w:tc>
      </w:tr>
      <w:tr>
        <w:tc>
          <w:tcPr>
            <w:tcW w:type="dxa" w:w="2160"/>
            <w:vAlign w:val="top"/>
          </w:tcPr>
          <w:p>
            <w:r>
              <w:t>Marketplace quality</w:t>
            </w:r>
          </w:p>
        </w:tc>
        <w:tc>
          <w:tcPr>
            <w:tcW w:type="dxa" w:w="7488"/>
            <w:vAlign w:val="top"/>
          </w:tcPr>
          <w:p>
            <w:r>
              <w:t>Eligible match rate, candidate response/contact rate, job freshness, duplicate/fraud rate.</w:t>
            </w:r>
          </w:p>
        </w:tc>
      </w:tr>
      <w:tr>
        <w:tc>
          <w:tcPr>
            <w:tcW w:type="dxa" w:w="2160"/>
            <w:vAlign w:val="top"/>
          </w:tcPr>
          <w:p>
            <w:r>
              <w:t>Promotion</w:t>
            </w:r>
          </w:p>
        </w:tc>
        <w:tc>
          <w:tcPr>
            <w:tcW w:type="dxa" w:w="7488"/>
            <w:vAlign w:val="top"/>
          </w:tcPr>
          <w:p>
            <w:r>
              <w:t>Promoted-job impressions, qualified views, applications, contacts and incremental lift vs baseline.</w:t>
            </w:r>
          </w:p>
        </w:tc>
      </w:tr>
      <w:tr>
        <w:tc>
          <w:tcPr>
            <w:tcW w:type="dxa" w:w="2160"/>
            <w:vAlign w:val="top"/>
          </w:tcPr>
          <w:p>
            <w:r>
              <w:t>Candidate experience</w:t>
            </w:r>
          </w:p>
        </w:tc>
        <w:tc>
          <w:tcPr>
            <w:tcW w:type="dxa" w:w="7488"/>
            <w:vAlign w:val="top"/>
          </w:tcPr>
          <w:p>
            <w:r>
              <w:t>Job view-to-apply, application completion, alert engagement, withdrawal rate.</w:t>
            </w:r>
          </w:p>
        </w:tc>
      </w:tr>
    </w:tbl>
    <w:p>
      <w:pPr>
        <w:pStyle w:val="Heading1"/>
      </w:pPr>
      <w:r>
        <w:t>10. Scope and Release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96"/>
            <w:shd w:fill="5B3D91"/>
            <w:vAlign w:val="center"/>
          </w:tcPr>
          <w:p>
            <w:r>
              <w:rPr>
                <w:color w:val="FFFFFF"/>
              </w:rPr>
              <w:t>MVP</w:t>
            </w:r>
          </w:p>
        </w:tc>
        <w:tc>
          <w:tcPr>
            <w:tcW w:type="dxa" w:w="4896"/>
            <w:shd w:fill="5B3D91"/>
            <w:vAlign w:val="center"/>
          </w:tcPr>
          <w:p>
            <w:r>
              <w:rPr>
                <w:color w:val="FFFFFF"/>
              </w:rPr>
              <w:t>Later / optional</w:t>
            </w:r>
          </w:p>
        </w:tc>
      </w:tr>
      <w:tr>
        <w:tc>
          <w:tcPr>
            <w:tcW w:type="dxa" w:w="4896"/>
            <w:vAlign w:val="top"/>
          </w:tcPr>
          <w:p>
            <w:r>
              <w:t>OTP auth; organisations/RBAC; trial/monthly/yearly plans; entitlements; structured jobs; candidate feed/search; applications; employer talent search; masked cards; contact reveal; promotion credits; payment webhooks; basic admin/audit.</w:t>
            </w:r>
          </w:p>
        </w:tc>
        <w:tc>
          <w:tcPr>
            <w:tcW w:type="dxa" w:w="4896"/>
            <w:vAlign w:val="top"/>
          </w:tcPr>
          <w:p>
            <w:r>
              <w:t>Advanced ATS integrations; bulk API; AI-generated job descriptions; automated verification partners; ML learning-to-rank; payroll; background checks; interview video; referral marketplace.</w:t>
            </w:r>
          </w:p>
        </w:tc>
      </w:tr>
    </w:tbl>
    <w:p>
      <w:pPr>
        <w:pStyle w:val="Heading1"/>
      </w:pPr>
      <w:r>
        <w:t>11. Risks and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Risk</w:t>
            </w:r>
          </w:p>
        </w:tc>
        <w:tc>
          <w:tcPr>
            <w:tcW w:type="dxa" w:w="6912"/>
            <w:shd w:fill="5B3D91"/>
            <w:vAlign w:val="center"/>
          </w:tcPr>
          <w:p>
            <w:r>
              <w:rPr>
                <w:color w:val="FFFFFF"/>
              </w:rPr>
              <w:t>Control</w:t>
            </w:r>
          </w:p>
        </w:tc>
      </w:tr>
      <w:tr>
        <w:tc>
          <w:tcPr>
            <w:tcW w:type="dxa" w:w="2880"/>
            <w:vAlign w:val="top"/>
          </w:tcPr>
          <w:p>
            <w:r>
              <w:t>Subscription logic scattered across resolvers</w:t>
            </w:r>
          </w:p>
        </w:tc>
        <w:tc>
          <w:tcPr>
            <w:tcW w:type="dxa" w:w="6912"/>
            <w:vAlign w:val="top"/>
          </w:tcPr>
          <w:p>
            <w:r>
              <w:t>Central EntitlementService; GraphQL resolvers call it rather than implementing plan rules.</w:t>
            </w:r>
          </w:p>
        </w:tc>
      </w:tr>
      <w:tr>
        <w:tc>
          <w:tcPr>
            <w:tcW w:type="dxa" w:w="2880"/>
            <w:vAlign w:val="top"/>
          </w:tcPr>
          <w:p>
            <w:r>
              <w:t>Paid promotion harms relevance</w:t>
            </w:r>
          </w:p>
        </w:tc>
        <w:tc>
          <w:tcPr>
            <w:tcW w:type="dxa" w:w="6912"/>
            <w:vAlign w:val="top"/>
          </w:tcPr>
          <w:p>
            <w:r>
              <w:t>Apply eligibility/relevance first; bounded promotion boost second; log ranking reason.</w:t>
            </w:r>
          </w:p>
        </w:tc>
      </w:tr>
      <w:tr>
        <w:tc>
          <w:tcPr>
            <w:tcW w:type="dxa" w:w="2880"/>
            <w:vAlign w:val="top"/>
          </w:tcPr>
          <w:p>
            <w:r>
              <w:t>Candidate PII scraping</w:t>
            </w:r>
          </w:p>
        </w:tc>
        <w:tc>
          <w:tcPr>
            <w:tcW w:type="dxa" w:w="6912"/>
            <w:vAlign w:val="top"/>
          </w:tcPr>
          <w:p>
            <w:r>
              <w:t>Mask by default; entitlement-gated reveal; rate limits; audit; export controls.</w:t>
            </w:r>
          </w:p>
        </w:tc>
      </w:tr>
      <w:tr>
        <w:tc>
          <w:tcPr>
            <w:tcW w:type="dxa" w:w="2880"/>
            <w:vAlign w:val="top"/>
          </w:tcPr>
          <w:p>
            <w:r>
              <w:t>Taxonomy fragmentation</w:t>
            </w:r>
          </w:p>
        </w:tc>
        <w:tc>
          <w:tcPr>
            <w:tcW w:type="dxa" w:w="6912"/>
            <w:vAlign w:val="top"/>
          </w:tcPr>
          <w:p>
            <w:r>
              <w:t>Versioned canonical taxonomy + aliases; no UI-label-as-schema shortcuts.</w:t>
            </w:r>
          </w:p>
        </w:tc>
      </w:tr>
      <w:tr>
        <w:tc>
          <w:tcPr>
            <w:tcW w:type="dxa" w:w="2880"/>
            <w:vAlign w:val="top"/>
          </w:tcPr>
          <w:p>
            <w:r>
              <w:t>Candidate onboarding abandonment</w:t>
            </w:r>
          </w:p>
        </w:tc>
        <w:tc>
          <w:tcPr>
            <w:tcW w:type="dxa" w:w="6912"/>
            <w:vAlign w:val="top"/>
          </w:tcPr>
          <w:p>
            <w:r>
              <w:t>Progressive capture; just-in-time fields; resume optional.</w:t>
            </w:r>
          </w:p>
        </w:tc>
      </w:tr>
      <w:tr>
        <w:tc>
          <w:tcPr>
            <w:tcW w:type="dxa" w:w="2880"/>
            <w:vAlign w:val="top"/>
          </w:tcPr>
          <w:p>
            <w:r>
              <w:t>Payment webhook duplication/out-of-order delivery</w:t>
            </w:r>
          </w:p>
        </w:tc>
        <w:tc>
          <w:tcPr>
            <w:tcW w:type="dxa" w:w="6912"/>
            <w:vAlign w:val="top"/>
          </w:tcPr>
          <w:p>
            <w:r>
              <w:t>Webhook inbox + idempotency key + provider event timestamp/version reconciliation.</w:t>
            </w:r>
          </w:p>
        </w:tc>
      </w:tr>
    </w:tbl>
    <w:p>
      <w:pPr>
        <w:pStyle w:val="Heading1"/>
      </w:pPr>
      <w:r>
        <w:t>12. Reference Lineage</w:t>
      </w:r>
    </w:p>
    <w:p>
      <w:r>
        <w:t>This BRD is derived from the two approved IndiaWorks source artifacts above. External regulatory and market references already captured by those artifacts remain applicable, including NCO/NIC/NSQF taxonomy sources, NCS jobseeker/employer flows, UIDAI offline identity-verification guidance and India DPDP privacy requirements. The unified document does not replace legal review for production launch.</w:t>
      </w:r>
    </w:p>
    <w:p>
      <w:pPr>
        <w:pStyle w:val="Heading1"/>
      </w:pPr>
      <w:r>
        <w:t>v7 commercial gate - five free candidates</w:t>
      </w:r>
    </w:p>
    <w:p>
      <w:pPr>
        <w:pStyle w:val="Callout"/>
      </w:pPr>
      <w:r>
        <w:rPr>
          <w:b/>
        </w:rPr>
        <w:t xml:space="preserve">Rule: </w:t>
      </w:r>
      <w:r>
        <w:t>A verified organisation/legal entity receives five lifetime free DISTINCT candidate unlocks. The sixth distinct candidate requires a paid monthly/yearly/add-on CANDIDATE_UNLOCK entitlement.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v7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 discovery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Applicant/search result cards and candidate counts are visible in masked form without consuming an unlock.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Consumption key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Only first full-profile access of a distinct (OrganisationId, CandidateProfileId) consumes candidate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Scope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The five free candidates are shared by every recruiter, every job and every candidate-access surface in the organisation.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No reset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Free allowance never resets by month, billing period, new recruiter, new job, device, cancellation or re-sign-up.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candidate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Re-opening the same candidate or finding the same candidate against another job does not consume again.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Privacy first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Consent/application context, discoverability and candidate-organisation block rules are evaluated before payment/entitlement.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access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plan/add-on entitlements can grant further CANDIDATE_UNLOCK units or unlimited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 contact reveal remains separately consent checked, entitlement checked and audited.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Abuse control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Commercial identity fingerprint/risk controls prevent recreating organisations purely to regain five free candidates.</w:t>
            </w:r>
          </w:p>
        </w:tc>
      </w:tr>
    </w:tbl>
    <w:p>
      <w:pPr>
        <w:pStyle w:val="Heading1"/>
      </w:pPr>
      <w:r>
        <w:t>v6 product/technical gap review integrated into v7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Business decision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One UserAccount may be both candidate and employer. Sessions are persistent/revocable and users switch active persona.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 team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 invitations, seat limits and RBAC are explicit lifecycle concepts.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 lifecycle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 status and moderation status are independent; only published+approved+unexpired jobs are discoverable.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 details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Compensation, shift/timing, benefits, location, skills, credentials, contact windows and interview information are structured.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Filters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Role, location/radius, work mode/type, experience, education/course, pay, shift, freshness, urgency, language/skills/credentials/assets, benefits and trust/source are independent facets.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Alerts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Saved filter, alert schedule and delivery history/deduplication are separate entities.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Share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Stable public/deep links use public code/slug and attribution rather than only a share event.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 CRM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EmployerCandidateRelationship persists across jobs; Application remains candidate-to-job.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Trust &amp; safety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Report/block/moderation flows are first-class business requirements.</w:t>
            </w:r>
          </w:p>
        </w:tc>
      </w:tr>
    </w:tbl>
    <w:p>
      <w:pPr>
        <w:pStyle w:val="Heading1"/>
      </w:pPr>
      <w:r>
        <w:t>Updated business acceptance scenarios</w:t>
      </w:r>
    </w:p>
    <w:p>
      <w:pPr>
        <w:pStyle w:val="ListBullet"/>
      </w:pPr>
      <w:r>
        <w:t>Candidate can complete OTP and browse/filter jobs without completing a full profile or resume.</w:t>
      </w:r>
    </w:p>
    <w:p>
      <w:pPr>
        <w:pStyle w:val="ListBullet"/>
      </w:pPr>
      <w:r>
        <w:t>Employer can post a structured job and see masked applicants/candidate search results.</w:t>
      </w:r>
    </w:p>
    <w:p>
      <w:pPr>
        <w:pStyle w:val="ListBullet"/>
      </w:pPr>
      <w:r>
        <w:t>Organisation unlocks distinct candidates 1 through 5 free; the sixth returns a visible upgrade paywall when no paid entitlement exists.</w:t>
      </w:r>
    </w:p>
    <w:p>
      <w:pPr>
        <w:pStyle w:val="ListBullet"/>
      </w:pPr>
      <w:r>
        <w:t>Two recruiters in the same organisation cannot each obtain a separate set of five free candidates.</w:t>
      </w:r>
    </w:p>
    <w:p>
      <w:pPr>
        <w:pStyle w:val="ListBullet"/>
      </w:pPr>
      <w:r>
        <w:t>A candidate already unlocked through Job A is still unlocked when found through Job B and does not consume another unit.</w:t>
      </w:r>
    </w:p>
    <w:p>
      <w:pPr>
        <w:pStyle w:val="ListBullet"/>
      </w:pPr>
      <w:r>
        <w:t>After payment, entitlement is activated by reconciled provider state and the protected candidate action can be retried successfully.</w:t>
      </w:r>
    </w:p>
    <w:p>
      <w:pPr>
        <w:pStyle w:val="ListBullet"/>
      </w:pPr>
      <w:r>
        <w:t>Paid promotion never overrides hard eligibility, candidate privacy/block state or job moderation state.</w:t>
      </w:r>
    </w:p>
    <w:p>
      <w:pPr>
        <w:pStyle w:val="Heading1"/>
      </w:pPr>
      <w:r>
        <w:t>Updated release dependency</w:t>
      </w:r>
    </w:p>
    <w:p>
      <w:r>
        <w:t>S0 Foundation -&gt; S1 Identity/Tenancy/Free Allowance -&gt; S2 Billing/Entitlement/Paywall -&gt; S3 Employer Job Authoring -&gt; S4 Candidate Discovery/Application -&gt; S5 Applicant CRM + Paywall -&gt; S6 Paid Candidate Database -&gt; S7 Alerts/Promotion -&gt; S8 Trust/Admin/Analytics -&gt; S9 Hardening/UAT/Launch.</w:t>
      </w:r>
    </w:p>
    <w:sectPr w:rsidR="00FC693F" w:rsidRPr="0006063C" w:rsidSect="00034616">
      <w:footerReference w:type="default" r:id="rId9"/>
      <w:head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8C"/>
        <w:sz w:val="16"/>
      </w:rPr>
      <w:t>Architecture freeze candidate - 25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478"/>
        <w:sz w:val="16"/>
      </w:rPr>
      <w:t>IndiaWorks | BRD |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C38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5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4C38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