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b/>
          <w:color w:val="5B3D91"/>
          <w:sz w:val="56"/>
        </w:rPr>
        <w:t>IndiaWorks Unified SaaS - Technical Architecture &amp; Data Design</w:t>
      </w:r>
    </w:p>
    <w:p>
      <w:pPr>
        <w:jc w:val="center"/>
      </w:pPr>
      <w:r>
        <w:rPr>
          <w:color w:val="6B7280"/>
          <w:sz w:val="26"/>
        </w:rPr>
        <w:t>DFD, database domains, GraphQL, entitlements, search, security and deployment</w:t>
      </w:r>
    </w:p>
    <w:p>
      <w:pPr>
        <w:jc w:val="center"/>
      </w:pPr>
      <w:r>
        <w:br/>
        <w:t>IndiaWorks | Unified SaaS Architecture v7</w:t>
        <w:br/>
        <w:t>Generated 25 September 2026</w:t>
        <w:br/>
        <w:t>Baseline: v5 Unified SaaS + v6 Product/Technical Review + v7 Five-Candidate Commercial Gate</w:t>
      </w:r>
    </w:p>
    <w:p>
      <w:r>
        <w:br w:type="page"/>
      </w:r>
    </w:p>
    <w:p>
      <w:pPr>
        <w:pStyle w:val="Heading1"/>
      </w:pPr>
      <w:r>
        <w:t>1. Architecture Principles</w:t>
      </w:r>
    </w:p>
    <w:p>
      <w:pPr>
        <w:pStyle w:val="ListBullet"/>
      </w:pPr>
      <w:r>
        <w:t>SQL Server is the canonical transactional store; search projections/indexes are derived and rebuildable.</w:t>
      </w:r>
    </w:p>
    <w:p>
      <w:pPr>
        <w:pStyle w:val="ListBullet"/>
      </w:pPr>
      <w:r>
        <w:t>GraphQL is product-facing and does not expose database tables directly.</w:t>
      </w:r>
    </w:p>
    <w:p>
      <w:pPr>
        <w:pStyle w:val="ListBullet"/>
      </w:pPr>
      <w:r>
        <w:t>Organisation is the SaaS tenancy/billing boundary; UserAccount is the identity boundary.</w:t>
      </w:r>
    </w:p>
    <w:p>
      <w:pPr>
        <w:pStyle w:val="ListBullet"/>
      </w:pPr>
      <w:r>
        <w:t>Subscription authorization is centralized in EntitlementService.</w:t>
      </w:r>
    </w:p>
    <w:p>
      <w:pPr>
        <w:pStyle w:val="ListBullet"/>
      </w:pPr>
      <w:r>
        <w:t>Occupation taxonomy remains independent from collar market tags, industry, engagement and work mode.</w:t>
      </w:r>
    </w:p>
    <w:p>
      <w:pPr>
        <w:pStyle w:val="ListBullet"/>
      </w:pPr>
      <w:r>
        <w:t>Candidate privacy is enforced before commercial entitlement; payment never overrides candidate consent.</w:t>
      </w:r>
    </w:p>
    <w:p>
      <w:pPr>
        <w:pStyle w:val="ListBullet"/>
      </w:pPr>
      <w:r>
        <w:t>Eligibility filtering precedes semantic relevance and promotional boost.</w:t>
      </w:r>
    </w:p>
    <w:p>
      <w:pPr>
        <w:pStyle w:val="ListBullet"/>
      </w:pPr>
      <w:r>
        <w:t>Write-side domain events use an outbox/inbox pattern for payment, search-index and messaging reliability.</w:t>
      </w:r>
    </w:p>
    <w:p>
      <w:pPr>
        <w:pStyle w:val="Heading1"/>
      </w:pPr>
      <w:r>
        <w:t>2. System Context / DFD Level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28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0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2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DFD Level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0451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_Plat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45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Logical Component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9361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36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Domain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5B3D91"/>
            <w:vAlign w:val="center"/>
          </w:tcPr>
          <w:p>
            <w:r>
              <w:rPr>
                <w:color w:val="FFFFFF"/>
              </w:rPr>
              <w:t>Domain</w:t>
            </w:r>
          </w:p>
        </w:tc>
        <w:tc>
          <w:tcPr>
            <w:tcW w:type="dxa" w:w="4464"/>
            <w:shd w:fill="5B3D91"/>
            <w:vAlign w:val="center"/>
          </w:tcPr>
          <w:p>
            <w:r>
              <w:rPr>
                <w:color w:val="FFFFFF"/>
              </w:rPr>
              <w:t>Owns</w:t>
            </w:r>
          </w:p>
        </w:tc>
        <w:tc>
          <w:tcPr>
            <w:tcW w:type="dxa" w:w="4320"/>
            <w:shd w:fill="5B3D91"/>
            <w:vAlign w:val="center"/>
          </w:tcPr>
          <w:p>
            <w:r>
              <w:rPr>
                <w:color w:val="FFFFFF"/>
              </w:rPr>
              <w:t>Does not own</w:t>
            </w:r>
          </w:p>
        </w:tc>
      </w:tr>
      <w:tr>
        <w:tc>
          <w:tcPr>
            <w:tcW w:type="dxa" w:w="1728"/>
            <w:vAlign w:val="top"/>
          </w:tcPr>
          <w:p>
            <w:r>
              <w:t>Identity</w:t>
            </w:r>
          </w:p>
        </w:tc>
        <w:tc>
          <w:tcPr>
            <w:tcW w:type="dxa" w:w="4464"/>
            <w:vAlign w:val="top"/>
          </w:tcPr>
          <w:p>
            <w:r>
              <w:t>UserAccount, LoginIdentifier, OTP/session security.</w:t>
            </w:r>
          </w:p>
        </w:tc>
        <w:tc>
          <w:tcPr>
            <w:tcW w:type="dxa" w:w="4320"/>
            <w:vAlign w:val="top"/>
          </w:tcPr>
          <w:p>
            <w:r>
              <w:t>Organisation subscription or candidate work profile.</w:t>
            </w:r>
          </w:p>
        </w:tc>
      </w:tr>
      <w:tr>
        <w:tc>
          <w:tcPr>
            <w:tcW w:type="dxa" w:w="1728"/>
            <w:vAlign w:val="top"/>
          </w:tcPr>
          <w:p>
            <w:r>
              <w:t>Organisation</w:t>
            </w:r>
          </w:p>
        </w:tc>
        <w:tc>
          <w:tcPr>
            <w:tcW w:type="dxa" w:w="4464"/>
            <w:vAlign w:val="top"/>
          </w:tcPr>
          <w:p>
            <w:r>
              <w:t>Organisation, memberships, identifiers, locations, RBAC.</w:t>
            </w:r>
          </w:p>
        </w:tc>
        <w:tc>
          <w:tcPr>
            <w:tcW w:type="dxa" w:w="4320"/>
            <w:vAlign w:val="top"/>
          </w:tcPr>
          <w:p>
            <w:r>
              <w:t>Candidate profile.</w:t>
            </w:r>
          </w:p>
        </w:tc>
      </w:tr>
      <w:tr>
        <w:tc>
          <w:tcPr>
            <w:tcW w:type="dxa" w:w="1728"/>
            <w:vAlign w:val="top"/>
          </w:tcPr>
          <w:p>
            <w:r>
              <w:t>Taxonomy</w:t>
            </w:r>
          </w:p>
        </w:tc>
        <w:tc>
          <w:tcPr>
            <w:tcW w:type="dxa" w:w="4464"/>
            <w:vAlign w:val="top"/>
          </w:tcPr>
          <w:p>
            <w:r>
              <w:t>TaxonomyVersion, JobFamily, Role, Specialisation, WorkContext, Skill, CredentialType, AssetType.</w:t>
            </w:r>
          </w:p>
        </w:tc>
        <w:tc>
          <w:tcPr>
            <w:tcW w:type="dxa" w:w="4320"/>
            <w:vAlign w:val="top"/>
          </w:tcPr>
          <w:p>
            <w:r>
              <w:t>Employer/candidate transactional state.</w:t>
            </w:r>
          </w:p>
        </w:tc>
      </w:tr>
      <w:tr>
        <w:tc>
          <w:tcPr>
            <w:tcW w:type="dxa" w:w="1728"/>
            <w:vAlign w:val="top"/>
          </w:tcPr>
          <w:p>
            <w:r>
              <w:t>Billing</w:t>
            </w:r>
          </w:p>
        </w:tc>
        <w:tc>
          <w:tcPr>
            <w:tcW w:type="dxa" w:w="4464"/>
            <w:vAlign w:val="top"/>
          </w:tcPr>
          <w:p>
            <w:r>
              <w:t>Plan, PlanVersion, Entitlements, Subscription, Usage, Invoice/Payment metadata, provider webhooks.</w:t>
            </w:r>
          </w:p>
        </w:tc>
        <w:tc>
          <w:tcPr>
            <w:tcW w:type="dxa" w:w="4320"/>
            <w:vAlign w:val="top"/>
          </w:tcPr>
          <w:p>
            <w:r>
              <w:t>Job ranking or candidate consent.</w:t>
            </w:r>
          </w:p>
        </w:tc>
      </w:tr>
      <w:tr>
        <w:tc>
          <w:tcPr>
            <w:tcW w:type="dxa" w:w="1728"/>
            <w:vAlign w:val="top"/>
          </w:tcPr>
          <w:p>
            <w:r>
              <w:t>Jobs</w:t>
            </w:r>
          </w:p>
        </w:tc>
        <w:tc>
          <w:tcPr>
            <w:tcW w:type="dxa" w:w="4464"/>
            <w:vAlign w:val="top"/>
          </w:tcPr>
          <w:p>
            <w:r>
              <w:t>JobPosting and structured requirements, compensation, schedule, contact policy.</w:t>
            </w:r>
          </w:p>
        </w:tc>
        <w:tc>
          <w:tcPr>
            <w:tcW w:type="dxa" w:w="4320"/>
            <w:vAlign w:val="top"/>
          </w:tcPr>
          <w:p>
            <w:r>
              <w:t>Candidate employment history.</w:t>
            </w:r>
          </w:p>
        </w:tc>
      </w:tr>
      <w:tr>
        <w:tc>
          <w:tcPr>
            <w:tcW w:type="dxa" w:w="1728"/>
            <w:vAlign w:val="top"/>
          </w:tcPr>
          <w:p>
            <w:r>
              <w:t>Promotion</w:t>
            </w:r>
          </w:p>
        </w:tc>
        <w:tc>
          <w:tcPr>
            <w:tcW w:type="dxa" w:w="4464"/>
            <w:vAlign w:val="top"/>
          </w:tcPr>
          <w:p>
            <w:r>
              <w:t>PromotionProduct, JobPromotion, promotion attribution.</w:t>
            </w:r>
          </w:p>
        </w:tc>
        <w:tc>
          <w:tcPr>
            <w:tcW w:type="dxa" w:w="4320"/>
            <w:vAlign w:val="top"/>
          </w:tcPr>
          <w:p>
            <w:r>
              <w:t>Eligibility truth.</w:t>
            </w:r>
          </w:p>
        </w:tc>
      </w:tr>
      <w:tr>
        <w:tc>
          <w:tcPr>
            <w:tcW w:type="dxa" w:w="1728"/>
            <w:vAlign w:val="top"/>
          </w:tcPr>
          <w:p>
            <w:r>
              <w:t>Candidate</w:t>
            </w:r>
          </w:p>
        </w:tc>
        <w:tc>
          <w:tcPr>
            <w:tcW w:type="dxa" w:w="4464"/>
            <w:vAlign w:val="top"/>
          </w:tcPr>
          <w:p>
            <w:r>
              <w:t>CandidateProfile, occupations, skills, credentials, assets, preferences, consent.</w:t>
            </w:r>
          </w:p>
        </w:tc>
        <w:tc>
          <w:tcPr>
            <w:tcW w:type="dxa" w:w="4320"/>
            <w:vAlign w:val="top"/>
          </w:tcPr>
          <w:p>
            <w:r>
              <w:t>Organisation plan.</w:t>
            </w:r>
          </w:p>
        </w:tc>
      </w:tr>
      <w:tr>
        <w:tc>
          <w:tcPr>
            <w:tcW w:type="dxa" w:w="1728"/>
            <w:vAlign w:val="top"/>
          </w:tcPr>
          <w:p>
            <w:r>
              <w:t>Applications</w:t>
            </w:r>
          </w:p>
        </w:tc>
        <w:tc>
          <w:tcPr>
            <w:tcW w:type="dxa" w:w="4464"/>
            <w:vAlign w:val="top"/>
          </w:tcPr>
          <w:p>
            <w:r>
              <w:t>CandidateApplication, snapshots, answers, events, employer workflow.</w:t>
            </w:r>
          </w:p>
        </w:tc>
        <w:tc>
          <w:tcPr>
            <w:tcW w:type="dxa" w:w="4320"/>
            <w:vAlign w:val="top"/>
          </w:tcPr>
          <w:p>
            <w:r>
              <w:t>Billing plan definitions.</w:t>
            </w:r>
          </w:p>
        </w:tc>
      </w:tr>
      <w:tr>
        <w:tc>
          <w:tcPr>
            <w:tcW w:type="dxa" w:w="1728"/>
            <w:vAlign w:val="top"/>
          </w:tcPr>
          <w:p>
            <w:r>
              <w:t>Matching/Search</w:t>
            </w:r>
          </w:p>
        </w:tc>
        <w:tc>
          <w:tcPr>
            <w:tcW w:type="dxa" w:w="4464"/>
            <w:vAlign w:val="top"/>
          </w:tcPr>
          <w:p>
            <w:r>
              <w:t>Derived JobSearchDocument/CandidateSearchDocument and ranking logic.</w:t>
            </w:r>
          </w:p>
        </w:tc>
        <w:tc>
          <w:tcPr>
            <w:tcW w:type="dxa" w:w="4320"/>
            <w:vAlign w:val="top"/>
          </w:tcPr>
          <w:p>
            <w:r>
              <w:t>Canonical PII.</w:t>
            </w:r>
          </w:p>
        </w:tc>
      </w:tr>
      <w:tr>
        <w:tc>
          <w:tcPr>
            <w:tcW w:type="dxa" w:w="1728"/>
            <w:vAlign w:val="top"/>
          </w:tcPr>
          <w:p>
            <w:r>
              <w:t>Notification</w:t>
            </w:r>
          </w:p>
        </w:tc>
        <w:tc>
          <w:tcPr>
            <w:tcW w:type="dxa" w:w="4464"/>
            <w:vAlign w:val="top"/>
          </w:tcPr>
          <w:p>
            <w:r>
              <w:t>Alert subscriptions/preferences and delivery jobs.</w:t>
            </w:r>
          </w:p>
        </w:tc>
        <w:tc>
          <w:tcPr>
            <w:tcW w:type="dxa" w:w="4320"/>
            <w:vAlign w:val="top"/>
          </w:tcPr>
          <w:p>
            <w:r>
              <w:t>Authentication truth.</w:t>
            </w:r>
          </w:p>
        </w:tc>
      </w:tr>
      <w:tr>
        <w:tc>
          <w:tcPr>
            <w:tcW w:type="dxa" w:w="1728"/>
            <w:vAlign w:val="top"/>
          </w:tcPr>
          <w:p>
            <w:r>
              <w:t>Audit/Analytics</w:t>
            </w:r>
          </w:p>
        </w:tc>
        <w:tc>
          <w:tcPr>
            <w:tcW w:type="dxa" w:w="4464"/>
            <w:vAlign w:val="top"/>
          </w:tcPr>
          <w:p>
            <w:r>
              <w:t>Access logs, event facts, operational metrics.</w:t>
            </w:r>
          </w:p>
        </w:tc>
        <w:tc>
          <w:tcPr>
            <w:tcW w:type="dxa" w:w="4320"/>
            <w:vAlign w:val="top"/>
          </w:tcPr>
          <w:p>
            <w:r>
              <w:t>Business source-of-truth records.</w:t>
            </w:r>
          </w:p>
        </w:tc>
      </w:tr>
    </w:tbl>
    <w:p>
      <w:pPr>
        <w:pStyle w:val="Heading1"/>
      </w:pPr>
      <w:r>
        <w:t>6. Unified Database Relationship</w:t>
      </w:r>
    </w:p>
    <w:p>
      <w:pPr>
        <w:spacing w:before="80" w:after="120"/>
        <w:shd w:fill="F5F3FA"/>
      </w:pPr>
      <w:r>
        <w:rPr>
          <w:rFonts w:ascii="Consolas" w:hAnsi="Consolas"/>
          <w:color w:val="202631"/>
          <w:sz w:val="16"/>
        </w:rPr>
        <w:t>UserAccount</w:t>
        <w:br/>
        <w:t xml:space="preserve">  ├─ LoginIdentifier / OtpChallenge</w:t>
        <w:br/>
        <w:t xml:space="preserve">  ├─ OrganisationMembership ── Organisation ── OrganisationSubscription</w:t>
        <w:br/>
        <w:t xml:space="preserve">  │                               ├─ JobPosting ── JobPromotion</w:t>
        <w:br/>
        <w:t xml:space="preserve">  │                               ├─ SubscriptionUsageEvent</w:t>
        <w:br/>
        <w:t xml:space="preserve">  │                               └─ CandidateAccessAudit</w:t>
        <w:br/>
        <w:t xml:space="preserve">  └─ CandidateProfile</w:t>
        <w:br/>
        <w:t xml:space="preserve">       ├─ CandidateOccupation / Skill / Credential / Asset / Preference / Consent</w:t>
        <w:br/>
        <w:t xml:space="preserve">       ├─ CandidateApplication ─────────────── JobPosting</w:t>
        <w:br/>
        <w:t xml:space="preserve">       ├─ JobAlertSubscription</w:t>
        <w:br/>
        <w:t xml:space="preserve">       └─ CandidateContactEvent</w:t>
        <w:br/>
        <w:br/>
        <w:t>SubscriptionPlan -&gt; SubscriptionPlanVersion -&gt; PlanEntitlement</w:t>
        <w:br/>
        <w:t>OrganisationSubscription -&gt; UsageEvent / BillingInvoice / PaymentTransaction</w:t>
        <w:br/>
        <w:t>JobPosting -&gt; Role/Specialisation/WorkContext + requirement tables</w:t>
        <w:br/>
        <w:t>CandidateProfile -&gt; Candidate search projection (derived)</w:t>
        <w:br/>
        <w:t>JobPosting -&gt; Job search projection (derived)</w:t>
      </w:r>
    </w:p>
    <w:p>
      <w:pPr>
        <w:pStyle w:val="Heading1"/>
      </w:pPr>
      <w:r>
        <w:t>7. SaaS/Billing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5B3D91"/>
            <w:vAlign w:val="center"/>
          </w:tcPr>
          <w:p>
            <w:r>
              <w:rPr>
                <w:color w:val="FFFFFF"/>
              </w:rPr>
              <w:t>Entity</w:t>
            </w:r>
          </w:p>
        </w:tc>
        <w:tc>
          <w:tcPr>
            <w:tcW w:type="dxa" w:w="7488"/>
            <w:shd w:fill="5B3D91"/>
            <w:vAlign w:val="center"/>
          </w:tcPr>
          <w:p>
            <w:r>
              <w:rPr>
                <w:color w:val="FFFFFF"/>
              </w:rPr>
              <w:t>Key fields / purpose</w:t>
            </w:r>
          </w:p>
        </w:tc>
      </w:tr>
      <w:tr>
        <w:tc>
          <w:tcPr>
            <w:tcW w:type="dxa" w:w="3024"/>
            <w:vAlign w:val="top"/>
          </w:tcPr>
          <w:p>
            <w:r>
              <w:t>SubscriptionPlan</w:t>
            </w:r>
          </w:p>
        </w:tc>
        <w:tc>
          <w:tcPr>
            <w:tcW w:type="dxa" w:w="7488"/>
            <w:vAlign w:val="top"/>
          </w:tcPr>
          <w:p>
            <w:r>
              <w:t>Stable product identity: STARTER/PRO/BUSINESS etc; marketing name and availability.</w:t>
            </w:r>
          </w:p>
        </w:tc>
      </w:tr>
      <w:tr>
        <w:tc>
          <w:tcPr>
            <w:tcW w:type="dxa" w:w="3024"/>
            <w:vAlign w:val="top"/>
          </w:tcPr>
          <w:p>
            <w:r>
              <w:t>SubscriptionPlanVersion</w:t>
            </w:r>
          </w:p>
        </w:tc>
        <w:tc>
          <w:tcPr>
            <w:tcW w:type="dxa" w:w="7488"/>
            <w:vAlign w:val="top"/>
          </w:tcPr>
          <w:p>
            <w:r>
              <w:t>Immutable price/interval/config version: TRIAL/MONTHLY/YEARLY, currency, amount, effective dates.</w:t>
            </w:r>
          </w:p>
        </w:tc>
      </w:tr>
      <w:tr>
        <w:tc>
          <w:tcPr>
            <w:tcW w:type="dxa" w:w="3024"/>
            <w:vAlign w:val="top"/>
          </w:tcPr>
          <w:p>
            <w:r>
              <w:t>EntitlementDefinition</w:t>
            </w:r>
          </w:p>
        </w:tc>
        <w:tc>
          <w:tcPr>
            <w:tcW w:type="dxa" w:w="7488"/>
            <w:vAlign w:val="top"/>
          </w:tcPr>
          <w:p>
            <w:r>
              <w:t>Feature/quota code such as ACTIVE_JOBS, CANDIDATE_SEARCH, CONTACT_REVEAL, RECRUITER_SEAT, PROMOTION_CREDIT, EXPORT, API_ACCESS.</w:t>
            </w:r>
          </w:p>
        </w:tc>
      </w:tr>
      <w:tr>
        <w:tc>
          <w:tcPr>
            <w:tcW w:type="dxa" w:w="3024"/>
            <w:vAlign w:val="top"/>
          </w:tcPr>
          <w:p>
            <w:r>
              <w:t>PlanEntitlement</w:t>
            </w:r>
          </w:p>
        </w:tc>
        <w:tc>
          <w:tcPr>
            <w:tcW w:type="dxa" w:w="7488"/>
            <w:vAlign w:val="top"/>
          </w:tcPr>
          <w:p>
            <w:r>
              <w:t>Limit/feature value for a plan version; reset cadence and enforcement mode.</w:t>
            </w:r>
          </w:p>
        </w:tc>
      </w:tr>
      <w:tr>
        <w:tc>
          <w:tcPr>
            <w:tcW w:type="dxa" w:w="3024"/>
            <w:vAlign w:val="top"/>
          </w:tcPr>
          <w:p>
            <w:r>
              <w:t>OrganisationSubscription</w:t>
            </w:r>
          </w:p>
        </w:tc>
        <w:tc>
          <w:tcPr>
            <w:tcW w:type="dxa" w:w="7488"/>
            <w:vAlign w:val="top"/>
          </w:tcPr>
          <w:p>
            <w:r>
              <w:t>Current subscription state, provider refs, trial/period dates, cancellation behavior.</w:t>
            </w:r>
          </w:p>
        </w:tc>
      </w:tr>
      <w:tr>
        <w:tc>
          <w:tcPr>
            <w:tcW w:type="dxa" w:w="3024"/>
            <w:vAlign w:val="top"/>
          </w:tcPr>
          <w:p>
            <w:r>
              <w:t>EntitlementUsageEvent</w:t>
            </w:r>
          </w:p>
        </w:tc>
        <w:tc>
          <w:tcPr>
            <w:tcW w:type="dxa" w:w="7488"/>
            <w:vAlign w:val="top"/>
          </w:tcPr>
          <w:p>
            <w:r>
              <w:t>Immutable metering event with quantity, reference, period and idempotency key.</w:t>
            </w:r>
          </w:p>
        </w:tc>
      </w:tr>
      <w:tr>
        <w:tc>
          <w:tcPr>
            <w:tcW w:type="dxa" w:w="3024"/>
            <w:vAlign w:val="top"/>
          </w:tcPr>
          <w:p>
            <w:r>
              <w:t>PaymentProviderCustomer</w:t>
            </w:r>
          </w:p>
        </w:tc>
        <w:tc>
          <w:tcPr>
            <w:tcW w:type="dxa" w:w="7488"/>
            <w:vAlign w:val="top"/>
          </w:tcPr>
          <w:p>
            <w:r>
              <w:t>Maps organisation to external billing customer id.</w:t>
            </w:r>
          </w:p>
        </w:tc>
      </w:tr>
      <w:tr>
        <w:tc>
          <w:tcPr>
            <w:tcW w:type="dxa" w:w="3024"/>
            <w:vAlign w:val="top"/>
          </w:tcPr>
          <w:p>
            <w:r>
              <w:t>BillingInvoice</w:t>
            </w:r>
          </w:p>
        </w:tc>
        <w:tc>
          <w:tcPr>
            <w:tcW w:type="dxa" w:w="7488"/>
            <w:vAlign w:val="top"/>
          </w:tcPr>
          <w:p>
            <w:r>
              <w:t>Provider invoice/order reference, total, currency, state, due/paid dates.</w:t>
            </w:r>
          </w:p>
        </w:tc>
      </w:tr>
      <w:tr>
        <w:tc>
          <w:tcPr>
            <w:tcW w:type="dxa" w:w="3024"/>
            <w:vAlign w:val="top"/>
          </w:tcPr>
          <w:p>
            <w:r>
              <w:t>PaymentTransaction</w:t>
            </w:r>
          </w:p>
        </w:tc>
        <w:tc>
          <w:tcPr>
            <w:tcW w:type="dxa" w:w="7488"/>
            <w:vAlign w:val="top"/>
          </w:tcPr>
          <w:p>
            <w:r>
              <w:t>Attempt/refund/payment evidence; no card secrets.</w:t>
            </w:r>
          </w:p>
        </w:tc>
      </w:tr>
      <w:tr>
        <w:tc>
          <w:tcPr>
            <w:tcW w:type="dxa" w:w="3024"/>
            <w:vAlign w:val="top"/>
          </w:tcPr>
          <w:p>
            <w:r>
              <w:t>BillingWebhookInbox</w:t>
            </w:r>
          </w:p>
        </w:tc>
        <w:tc>
          <w:tcPr>
            <w:tcW w:type="dxa" w:w="7488"/>
            <w:vAlign w:val="top"/>
          </w:tcPr>
          <w:p>
            <w:r>
              <w:t>Raw verified provider event metadata + processing state/idempotency.</w:t>
            </w:r>
          </w:p>
        </w:tc>
      </w:tr>
    </w:tbl>
    <w:p>
      <w:pPr>
        <w:pStyle w:val="Heading1"/>
      </w:pPr>
      <w:r>
        <w:t>8. Promotion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5B3D91"/>
            <w:vAlign w:val="center"/>
          </w:tcPr>
          <w:p>
            <w:r>
              <w:rPr>
                <w:color w:val="FFFFFF"/>
              </w:rPr>
              <w:t>Entity</w:t>
            </w:r>
          </w:p>
        </w:tc>
        <w:tc>
          <w:tcPr>
            <w:tcW w:type="dxa" w:w="7632"/>
            <w:shd w:fill="5B3D91"/>
            <w:vAlign w:val="center"/>
          </w:tcPr>
          <w:p>
            <w:r>
              <w:rPr>
                <w:color w:val="FFFFFF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r>
              <w:t>PromotionProduct</w:t>
            </w:r>
          </w:p>
        </w:tc>
        <w:tc>
          <w:tcPr>
            <w:tcW w:type="dxa" w:w="7632"/>
            <w:vAlign w:val="top"/>
          </w:tcPr>
          <w:p>
            <w:r>
              <w:t>Configurable placement type, duration, credit cost/price, max boost and eligibility policy.</w:t>
            </w:r>
          </w:p>
        </w:tc>
      </w:tr>
      <w:tr>
        <w:tc>
          <w:tcPr>
            <w:tcW w:type="dxa" w:w="2880"/>
            <w:vAlign w:val="top"/>
          </w:tcPr>
          <w:p>
            <w:r>
              <w:t>JobPromotion</w:t>
            </w:r>
          </w:p>
        </w:tc>
        <w:tc>
          <w:tcPr>
            <w:tcW w:type="dxa" w:w="7632"/>
            <w:vAlign w:val="top"/>
          </w:tcPr>
          <w:p>
            <w:r>
              <w:t>Job + product + start/end + status + source (included credit/add-on/admin).</w:t>
            </w:r>
          </w:p>
        </w:tc>
      </w:tr>
      <w:tr>
        <w:tc>
          <w:tcPr>
            <w:tcW w:type="dxa" w:w="2880"/>
            <w:vAlign w:val="top"/>
          </w:tcPr>
          <w:p>
            <w:r>
              <w:t>PromotionAttributionEvent</w:t>
            </w:r>
          </w:p>
        </w:tc>
        <w:tc>
          <w:tcPr>
            <w:tcW w:type="dxa" w:w="7632"/>
            <w:vAlign w:val="top"/>
          </w:tcPr>
          <w:p>
            <w:r>
              <w:t>Impression/view/apply/contact attribution for measurement.</w:t>
            </w:r>
          </w:p>
        </w:tc>
      </w:tr>
    </w:tbl>
    <w:p>
      <w:pPr>
        <w:pStyle w:val="Heading1"/>
      </w:pPr>
      <w:r>
        <w:t>9. Entitlement Evaluation</w:t>
      </w:r>
    </w:p>
    <w:p>
      <w:pPr>
        <w:spacing w:before="80" w:after="120"/>
        <w:shd w:fill="F5F3FA"/>
      </w:pPr>
      <w:r>
        <w:rPr>
          <w:rFonts w:ascii="Consolas" w:hAnsi="Consolas"/>
          <w:color w:val="202631"/>
          <w:sz w:val="16"/>
        </w:rPr>
        <w:t>authorizeEmployerAction(orgId, userId, entitlementCode, quantity, reference):</w:t>
        <w:br/>
        <w:t xml:space="preserve">  1. Verify active OrganisationMembership + RBAC permission.</w:t>
        <w:br/>
        <w:t xml:space="preserve">  2. Resolve effective subscription (trial/paid/admin grant).</w:t>
        <w:br/>
        <w:t xml:space="preserve">  3. Resolve immutable plan version + entitlement definition.</w:t>
        <w:br/>
        <w:t xml:space="preserve">  4. Compute current usage window and remaining quantity.</w:t>
        <w:br/>
        <w:t xml:space="preserve">  5. If feature disabled -&gt; DENY.</w:t>
        <w:br/>
        <w:t xml:space="preserve">  6. If hard numeric limit exceeded -&gt; DENY + upgrade metadata.</w:t>
        <w:br/>
        <w:t xml:space="preserve">  7. If action is meterable -&gt; reserve/record usage using idempotency key.</w:t>
        <w:br/>
        <w:t xml:space="preserve">  8. Write audit/usage event and return allowance + remaining/resetAt.</w:t>
      </w:r>
    </w:p>
    <w:p>
      <w:pPr>
        <w:pStyle w:val="Heading1"/>
      </w:pPr>
      <w:r>
        <w:t>10. Candidate Access Order of Operations</w:t>
      </w:r>
    </w:p>
    <w:p>
      <w:pPr>
        <w:spacing w:before="80" w:after="120"/>
        <w:shd w:fill="F5F3FA"/>
      </w:pPr>
      <w:r>
        <w:rPr>
          <w:rFonts w:ascii="Consolas" w:hAnsi="Consolas"/>
          <w:color w:val="202631"/>
          <w:sz w:val="16"/>
        </w:rPr>
        <w:t>Candidate visibility/consent</w:t>
        <w:br/>
        <w:t xml:space="preserve">       ↓</w:t>
        <w:br/>
        <w:t>Employer organisation membership/RBAC</w:t>
        <w:br/>
        <w:t xml:space="preserve">       ↓</w:t>
        <w:br/>
        <w:t>Subscription/entitlement</w:t>
        <w:br/>
        <w:t xml:space="preserve">       ↓</w:t>
        <w:br/>
        <w:t>Rate-limit / anti-abuse policy</w:t>
        <w:br/>
        <w:t xml:space="preserve">       ↓</w:t>
        <w:br/>
        <w:t>Mask or reveal fields</w:t>
        <w:br/>
        <w:t xml:space="preserve">       ↓</w:t>
        <w:br/>
        <w:t>CandidateAccessAudit + EntitlementUsageEvent</w:t>
      </w:r>
    </w:p>
    <w:p>
      <w:r>
        <w:t>Privacy comes before monetisation: a paid plan never overrides candidate discoverability or consent.</w:t>
      </w:r>
    </w:p>
    <w:p>
      <w:pPr>
        <w:pStyle w:val="Heading1"/>
      </w:pPr>
      <w:r>
        <w:t>11. Search and Matching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5B3D91"/>
            <w:vAlign w:val="center"/>
          </w:tcPr>
          <w:p>
            <w:r>
              <w:rPr>
                <w:color w:val="FFFFFF"/>
              </w:rPr>
              <w:t>Projection</w:t>
            </w:r>
          </w:p>
        </w:tc>
        <w:tc>
          <w:tcPr>
            <w:tcW w:type="dxa" w:w="5184"/>
            <w:shd w:fill="5B3D91"/>
            <w:vAlign w:val="center"/>
          </w:tcPr>
          <w:p>
            <w:r>
              <w:rPr>
                <w:color w:val="FFFFFF"/>
              </w:rPr>
              <w:t>Contains</w:t>
            </w:r>
          </w:p>
        </w:tc>
        <w:tc>
          <w:tcPr>
            <w:tcW w:type="dxa" w:w="2592"/>
            <w:shd w:fill="5B3D91"/>
            <w:vAlign w:val="center"/>
          </w:tcPr>
          <w:p>
            <w:r>
              <w:rPr>
                <w:color w:val="FFFFFF"/>
              </w:rPr>
              <w:t>Excludes</w:t>
            </w:r>
          </w:p>
        </w:tc>
      </w:tr>
      <w:tr>
        <w:tc>
          <w:tcPr>
            <w:tcW w:type="dxa" w:w="2880"/>
            <w:vAlign w:val="top"/>
          </w:tcPr>
          <w:p>
            <w:r>
              <w:t>JobSearchDocument</w:t>
            </w:r>
          </w:p>
        </w:tc>
        <w:tc>
          <w:tcPr>
            <w:tcW w:type="dxa" w:w="5184"/>
            <w:vAlign w:val="top"/>
          </w:tcPr>
          <w:p>
            <w:r>
              <w:t>Job id, taxonomy ids, structured requirement facets, compensation, geo, freshness, promotion metadata.</w:t>
            </w:r>
          </w:p>
        </w:tc>
        <w:tc>
          <w:tcPr>
            <w:tcW w:type="dxa" w:w="2592"/>
            <w:vAlign w:val="top"/>
          </w:tcPr>
          <w:p>
            <w:r>
              <w:t>Employer secrets, raw sensitive identifiers.</w:t>
            </w:r>
          </w:p>
        </w:tc>
      </w:tr>
      <w:tr>
        <w:tc>
          <w:tcPr>
            <w:tcW w:type="dxa" w:w="2880"/>
            <w:vAlign w:val="top"/>
          </w:tcPr>
          <w:p>
            <w:r>
              <w:t>CandidateSearchDocument</w:t>
            </w:r>
          </w:p>
        </w:tc>
        <w:tc>
          <w:tcPr>
            <w:tcW w:type="dxa" w:w="5184"/>
            <w:vAlign w:val="top"/>
          </w:tcPr>
          <w:p>
            <w:r>
              <w:t>Candidate id, discoverability flag, taxonomy roles, structured skills, coarse geo/radius, availability, verification flags.</w:t>
            </w:r>
          </w:p>
        </w:tc>
        <w:tc>
          <w:tcPr>
            <w:tcW w:type="dxa" w:w="2592"/>
            <w:vAlign w:val="top"/>
          </w:tcPr>
          <w:p>
            <w:r>
              <w:t>Phone/email, raw Aadhaar/PAN, credential numbers, unnecessary PII.</w:t>
            </w:r>
          </w:p>
        </w:tc>
      </w:tr>
    </w:tbl>
    <w:p>
      <w:r>
        <w:t>Use CDC/outbox-driven projection updates. Search results return ids + ranking/match reasons; GraphQL hydrates authoritative details from SQL with batching/DataLoader. Cursor/keyset pagination is required for large result sets.</w:t>
      </w:r>
    </w:p>
    <w:p>
      <w:pPr>
        <w:pStyle w:val="Heading1"/>
      </w:pPr>
      <w:r>
        <w:t>12. GraphQL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5B3D91"/>
            <w:vAlign w:val="center"/>
          </w:tcPr>
          <w:p>
            <w:r>
              <w:rPr>
                <w:color w:val="FFFFFF"/>
              </w:rPr>
              <w:t>Surface</w:t>
            </w:r>
          </w:p>
        </w:tc>
        <w:tc>
          <w:tcPr>
            <w:tcW w:type="dxa" w:w="7632"/>
            <w:shd w:fill="5B3D91"/>
            <w:vAlign w:val="center"/>
          </w:tcPr>
          <w:p>
            <w:r>
              <w:rPr>
                <w:color w:val="FFFFFF"/>
              </w:rPr>
              <w:t>Representative operations</w:t>
            </w:r>
          </w:p>
        </w:tc>
      </w:tr>
      <w:tr>
        <w:tc>
          <w:tcPr>
            <w:tcW w:type="dxa" w:w="2880"/>
            <w:vAlign w:val="top"/>
          </w:tcPr>
          <w:p>
            <w:r>
              <w:t>Public/identity</w:t>
            </w:r>
          </w:p>
        </w:tc>
        <w:tc>
          <w:tcPr>
            <w:tcW w:type="dxa" w:w="7632"/>
            <w:vAlign w:val="top"/>
          </w:tcPr>
          <w:p>
            <w:r>
              <w:t>plans, requestCandidateOtp, verifyCandidateOtp, requestEmployerOtp, verifyEmployerOtp.</w:t>
            </w:r>
          </w:p>
        </w:tc>
      </w:tr>
      <w:tr>
        <w:tc>
          <w:tcPr>
            <w:tcW w:type="dxa" w:w="2880"/>
            <w:vAlign w:val="top"/>
          </w:tcPr>
          <w:p>
            <w:r>
              <w:t>Employer SaaS</w:t>
            </w:r>
          </w:p>
        </w:tc>
        <w:tc>
          <w:tcPr>
            <w:tcW w:type="dxa" w:w="7632"/>
            <w:vAlign w:val="top"/>
          </w:tcPr>
          <w:p>
            <w:r>
              <w:t>myOrganisations, subscription, entitlementUsage, startTrial, createCheckout, changePlan, cancelSubscription.</w:t>
            </w:r>
          </w:p>
        </w:tc>
      </w:tr>
      <w:tr>
        <w:tc>
          <w:tcPr>
            <w:tcW w:type="dxa" w:w="2880"/>
            <w:vAlign w:val="top"/>
          </w:tcPr>
          <w:p>
            <w:r>
              <w:t>Employer jobs</w:t>
            </w:r>
          </w:p>
        </w:tc>
        <w:tc>
          <w:tcPr>
            <w:tcW w:type="dxa" w:w="7632"/>
            <w:vAlign w:val="top"/>
          </w:tcPr>
          <w:p>
            <w:r>
              <w:t>createJobPosting, publishJob, pauseJob, closeJob, promoteJob, myJobs.</w:t>
            </w:r>
          </w:p>
        </w:tc>
      </w:tr>
      <w:tr>
        <w:tc>
          <w:tcPr>
            <w:tcW w:type="dxa" w:w="2880"/>
            <w:vAlign w:val="top"/>
          </w:tcPr>
          <w:p>
            <w:r>
              <w:t>Employer talent</w:t>
            </w:r>
          </w:p>
        </w:tc>
        <w:tc>
          <w:tcPr>
            <w:tcW w:type="dxa" w:w="7632"/>
            <w:vAlign w:val="top"/>
          </w:tcPr>
          <w:p>
            <w:r>
              <w:t>candidateSearch, jobCandidateMatches, candidateProfileMasked, revealCandidateContact, shortlistCandidate.</w:t>
            </w:r>
          </w:p>
        </w:tc>
      </w:tr>
      <w:tr>
        <w:tc>
          <w:tcPr>
            <w:tcW w:type="dxa" w:w="2880"/>
            <w:vAlign w:val="top"/>
          </w:tcPr>
          <w:p>
            <w:r>
              <w:t>Candidate</w:t>
            </w:r>
          </w:p>
        </w:tc>
        <w:tc>
          <w:tcPr>
            <w:tcW w:type="dxa" w:w="7632"/>
            <w:vAlign w:val="top"/>
          </w:tcPr>
          <w:p>
            <w:r>
              <w:t>meCandidate, jobFeed, jobSearch, prepareJobApplication, applyToJob, myApplications, alerts, contactEmployer.</w:t>
            </w:r>
          </w:p>
        </w:tc>
      </w:tr>
      <w:tr>
        <w:tc>
          <w:tcPr>
            <w:tcW w:type="dxa" w:w="2880"/>
            <w:vAlign w:val="top"/>
          </w:tcPr>
          <w:p>
            <w:r>
              <w:t>Admin</w:t>
            </w:r>
          </w:p>
        </w:tc>
        <w:tc>
          <w:tcPr>
            <w:tcW w:type="dxa" w:w="7632"/>
            <w:vAlign w:val="top"/>
          </w:tcPr>
          <w:p>
            <w:r>
              <w:t>plan/taxonomy/promotion configuration, moderation, reconciliation and audit queries through privileged schema/policies.</w:t>
            </w:r>
          </w:p>
        </w:tc>
      </w:tr>
    </w:tbl>
    <w:p>
      <w:pPr>
        <w:pStyle w:val="Heading1"/>
      </w:pPr>
      <w:r>
        <w:t>13. Event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456"/>
            <w:shd w:fill="5B3D91"/>
            <w:vAlign w:val="center"/>
          </w:tcPr>
          <w:p>
            <w:r>
              <w:rPr>
                <w:color w:val="FFFFFF"/>
              </w:rPr>
              <w:t>Event</w:t>
            </w:r>
          </w:p>
        </w:tc>
        <w:tc>
          <w:tcPr>
            <w:tcW w:type="dxa" w:w="2160"/>
            <w:shd w:fill="5B3D91"/>
            <w:vAlign w:val="center"/>
          </w:tcPr>
          <w:p>
            <w:r>
              <w:rPr>
                <w:color w:val="FFFFFF"/>
              </w:rPr>
              <w:t>Producer</w:t>
            </w:r>
          </w:p>
        </w:tc>
        <w:tc>
          <w:tcPr>
            <w:tcW w:type="dxa" w:w="4896"/>
            <w:shd w:fill="5B3D91"/>
            <w:vAlign w:val="center"/>
          </w:tcPr>
          <w:p>
            <w:r>
              <w:rPr>
                <w:color w:val="FFFFFF"/>
              </w:rPr>
              <w:t>Consumers / purpose</w:t>
            </w:r>
          </w:p>
        </w:tc>
      </w:tr>
      <w:tr>
        <w:tc>
          <w:tcPr>
            <w:tcW w:type="dxa" w:w="3456"/>
            <w:vAlign w:val="top"/>
          </w:tcPr>
          <w:p>
            <w:r>
              <w:t>USER_OTP_VERIFIED</w:t>
            </w:r>
          </w:p>
        </w:tc>
        <w:tc>
          <w:tcPr>
            <w:tcW w:type="dxa" w:w="2160"/>
            <w:vAlign w:val="top"/>
          </w:tcPr>
          <w:p>
            <w:r>
              <w:t>Identity</w:t>
            </w:r>
          </w:p>
        </w:tc>
        <w:tc>
          <w:tcPr>
            <w:tcW w:type="dxa" w:w="4896"/>
            <w:vAlign w:val="top"/>
          </w:tcPr>
          <w:p>
            <w:r>
              <w:t>Provision candidate/employer session; analytics.</w:t>
            </w:r>
          </w:p>
        </w:tc>
      </w:tr>
      <w:tr>
        <w:tc>
          <w:tcPr>
            <w:tcW w:type="dxa" w:w="3456"/>
            <w:vAlign w:val="top"/>
          </w:tcPr>
          <w:p>
            <w:r>
              <w:t>ORGANISATION_CREATED</w:t>
            </w:r>
          </w:p>
        </w:tc>
        <w:tc>
          <w:tcPr>
            <w:tcW w:type="dxa" w:w="2160"/>
            <w:vAlign w:val="top"/>
          </w:tcPr>
          <w:p>
            <w:r>
              <w:t>Organisation</w:t>
            </w:r>
          </w:p>
        </w:tc>
        <w:tc>
          <w:tcPr>
            <w:tcW w:type="dxa" w:w="4896"/>
            <w:vAlign w:val="top"/>
          </w:tcPr>
          <w:p>
            <w:r>
              <w:t>Default settings; analytics.</w:t>
            </w:r>
          </w:p>
        </w:tc>
      </w:tr>
      <w:tr>
        <w:tc>
          <w:tcPr>
            <w:tcW w:type="dxa" w:w="3456"/>
            <w:vAlign w:val="top"/>
          </w:tcPr>
          <w:p>
            <w:r>
              <w:t>SUBSCRIPTION_STARTED</w:t>
            </w:r>
          </w:p>
        </w:tc>
        <w:tc>
          <w:tcPr>
            <w:tcW w:type="dxa" w:w="2160"/>
            <w:vAlign w:val="top"/>
          </w:tcPr>
          <w:p>
            <w:r>
              <w:t>Billing</w:t>
            </w:r>
          </w:p>
        </w:tc>
        <w:tc>
          <w:tcPr>
            <w:tcW w:type="dxa" w:w="4896"/>
            <w:vAlign w:val="top"/>
          </w:tcPr>
          <w:p>
            <w:r>
              <w:t>Refresh entitlements; notifications.</w:t>
            </w:r>
          </w:p>
        </w:tc>
      </w:tr>
      <w:tr>
        <w:tc>
          <w:tcPr>
            <w:tcW w:type="dxa" w:w="3456"/>
            <w:vAlign w:val="top"/>
          </w:tcPr>
          <w:p>
            <w:r>
              <w:t>SUBSCRIPTION_RENEWED</w:t>
            </w:r>
          </w:p>
        </w:tc>
        <w:tc>
          <w:tcPr>
            <w:tcW w:type="dxa" w:w="2160"/>
            <w:vAlign w:val="top"/>
          </w:tcPr>
          <w:p>
            <w:r>
              <w:t>Billing</w:t>
            </w:r>
          </w:p>
        </w:tc>
        <w:tc>
          <w:tcPr>
            <w:tcW w:type="dxa" w:w="4896"/>
            <w:vAlign w:val="top"/>
          </w:tcPr>
          <w:p>
            <w:r>
              <w:t>Open new usage window; notifications.</w:t>
            </w:r>
          </w:p>
        </w:tc>
      </w:tr>
      <w:tr>
        <w:tc>
          <w:tcPr>
            <w:tcW w:type="dxa" w:w="3456"/>
            <w:vAlign w:val="top"/>
          </w:tcPr>
          <w:p>
            <w:r>
              <w:t>SUBSCRIPTION_PAST_DUE</w:t>
            </w:r>
          </w:p>
        </w:tc>
        <w:tc>
          <w:tcPr>
            <w:tcW w:type="dxa" w:w="2160"/>
            <w:vAlign w:val="top"/>
          </w:tcPr>
          <w:p>
            <w:r>
              <w:t>Billing</w:t>
            </w:r>
          </w:p>
        </w:tc>
        <w:tc>
          <w:tcPr>
            <w:tcW w:type="dxa" w:w="4896"/>
            <w:vAlign w:val="top"/>
          </w:tcPr>
          <w:p>
            <w:r>
              <w:t>Apply grace/restriction policy.</w:t>
            </w:r>
          </w:p>
        </w:tc>
      </w:tr>
      <w:tr>
        <w:tc>
          <w:tcPr>
            <w:tcW w:type="dxa" w:w="3456"/>
            <w:vAlign w:val="top"/>
          </w:tcPr>
          <w:p>
            <w:r>
              <w:t>JOB_PUBLISHED</w:t>
            </w:r>
          </w:p>
        </w:tc>
        <w:tc>
          <w:tcPr>
            <w:tcW w:type="dxa" w:w="2160"/>
            <w:vAlign w:val="top"/>
          </w:tcPr>
          <w:p>
            <w:r>
              <w:t>Jobs</w:t>
            </w:r>
          </w:p>
        </w:tc>
        <w:tc>
          <w:tcPr>
            <w:tcW w:type="dxa" w:w="4896"/>
            <w:vAlign w:val="top"/>
          </w:tcPr>
          <w:p>
            <w:r>
              <w:t>Index job; recommendation fanout.</w:t>
            </w:r>
          </w:p>
        </w:tc>
      </w:tr>
      <w:tr>
        <w:tc>
          <w:tcPr>
            <w:tcW w:type="dxa" w:w="3456"/>
            <w:vAlign w:val="top"/>
          </w:tcPr>
          <w:p>
            <w:r>
              <w:t>JOB_UPDATED</w:t>
            </w:r>
          </w:p>
        </w:tc>
        <w:tc>
          <w:tcPr>
            <w:tcW w:type="dxa" w:w="2160"/>
            <w:vAlign w:val="top"/>
          </w:tcPr>
          <w:p>
            <w:r>
              <w:t>Jobs</w:t>
            </w:r>
          </w:p>
        </w:tc>
        <w:tc>
          <w:tcPr>
            <w:tcW w:type="dxa" w:w="4896"/>
            <w:vAlign w:val="top"/>
          </w:tcPr>
          <w:p>
            <w:r>
              <w:t>Re-index job.</w:t>
            </w:r>
          </w:p>
        </w:tc>
      </w:tr>
      <w:tr>
        <w:tc>
          <w:tcPr>
            <w:tcW w:type="dxa" w:w="3456"/>
            <w:vAlign w:val="top"/>
          </w:tcPr>
          <w:p>
            <w:r>
              <w:t>JOB_PROMOTION_STARTED</w:t>
            </w:r>
          </w:p>
        </w:tc>
        <w:tc>
          <w:tcPr>
            <w:tcW w:type="dxa" w:w="2160"/>
            <w:vAlign w:val="top"/>
          </w:tcPr>
          <w:p>
            <w:r>
              <w:t>Promotion</w:t>
            </w:r>
          </w:p>
        </w:tc>
        <w:tc>
          <w:tcPr>
            <w:tcW w:type="dxa" w:w="4896"/>
            <w:vAlign w:val="top"/>
          </w:tcPr>
          <w:p>
            <w:r>
              <w:t>Ranking metadata/index update.</w:t>
            </w:r>
          </w:p>
        </w:tc>
      </w:tr>
      <w:tr>
        <w:tc>
          <w:tcPr>
            <w:tcW w:type="dxa" w:w="3456"/>
            <w:vAlign w:val="top"/>
          </w:tcPr>
          <w:p>
            <w:r>
              <w:t>CANDIDATE_PROFILE_UPDATED</w:t>
            </w:r>
          </w:p>
        </w:tc>
        <w:tc>
          <w:tcPr>
            <w:tcW w:type="dxa" w:w="2160"/>
            <w:vAlign w:val="top"/>
          </w:tcPr>
          <w:p>
            <w:r>
              <w:t>Candidate</w:t>
            </w:r>
          </w:p>
        </w:tc>
        <w:tc>
          <w:tcPr>
            <w:tcW w:type="dxa" w:w="4896"/>
            <w:vAlign w:val="top"/>
          </w:tcPr>
          <w:p>
            <w:r>
              <w:t>Re-index searchable candidate.</w:t>
            </w:r>
          </w:p>
        </w:tc>
      </w:tr>
      <w:tr>
        <w:tc>
          <w:tcPr>
            <w:tcW w:type="dxa" w:w="3456"/>
            <w:vAlign w:val="top"/>
          </w:tcPr>
          <w:p>
            <w:r>
              <w:t>APPLICATION_SUBMITTED</w:t>
            </w:r>
          </w:p>
        </w:tc>
        <w:tc>
          <w:tcPr>
            <w:tcW w:type="dxa" w:w="2160"/>
            <w:vAlign w:val="top"/>
          </w:tcPr>
          <w:p>
            <w:r>
              <w:t>Applications</w:t>
            </w:r>
          </w:p>
        </w:tc>
        <w:tc>
          <w:tcPr>
            <w:tcW w:type="dxa" w:w="4896"/>
            <w:vAlign w:val="top"/>
          </w:tcPr>
          <w:p>
            <w:r>
              <w:t>Notify employer; metrics.</w:t>
            </w:r>
          </w:p>
        </w:tc>
      </w:tr>
      <w:tr>
        <w:tc>
          <w:tcPr>
            <w:tcW w:type="dxa" w:w="3456"/>
            <w:vAlign w:val="top"/>
          </w:tcPr>
          <w:p>
            <w:r>
              <w:t>APPLICATION_STATUS_CHANGED</w:t>
            </w:r>
          </w:p>
        </w:tc>
        <w:tc>
          <w:tcPr>
            <w:tcW w:type="dxa" w:w="2160"/>
            <w:vAlign w:val="top"/>
          </w:tcPr>
          <w:p>
            <w:r>
              <w:t>Applications</w:t>
            </w:r>
          </w:p>
        </w:tc>
        <w:tc>
          <w:tcPr>
            <w:tcW w:type="dxa" w:w="4896"/>
            <w:vAlign w:val="top"/>
          </w:tcPr>
          <w:p>
            <w:r>
              <w:t>Notify candidate; metrics.</w:t>
            </w:r>
          </w:p>
        </w:tc>
      </w:tr>
      <w:tr>
        <w:tc>
          <w:tcPr>
            <w:tcW w:type="dxa" w:w="3456"/>
            <w:vAlign w:val="top"/>
          </w:tcPr>
          <w:p>
            <w:r>
              <w:t>CANDIDATE_CONTACT_REVEALED</w:t>
            </w:r>
          </w:p>
        </w:tc>
        <w:tc>
          <w:tcPr>
            <w:tcW w:type="dxa" w:w="2160"/>
            <w:vAlign w:val="top"/>
          </w:tcPr>
          <w:p>
            <w:r>
              <w:t>Talent access</w:t>
            </w:r>
          </w:p>
        </w:tc>
        <w:tc>
          <w:tcPr>
            <w:tcW w:type="dxa" w:w="4896"/>
            <w:vAlign w:val="top"/>
          </w:tcPr>
          <w:p>
            <w:r>
              <w:t>Meter usage; audit.</w:t>
            </w:r>
          </w:p>
        </w:tc>
      </w:tr>
    </w:tbl>
    <w:p>
      <w:pPr>
        <w:pStyle w:val="Heading1"/>
      </w:pPr>
      <w:r>
        <w:t>14. Security and Privacy</w:t>
      </w:r>
    </w:p>
    <w:p>
      <w:pPr>
        <w:pStyle w:val="ListBullet"/>
      </w:pPr>
      <w:r>
        <w:t>OTP challenges are hashed, short-lived, attempt-limited and rate-limited by destination/device/IP risk signals.</w:t>
      </w:r>
    </w:p>
    <w:p>
      <w:pPr>
        <w:pStyle w:val="ListBullet"/>
      </w:pPr>
      <w:r>
        <w:t>Access tokens are short-lived; refresh tokens are revocable/rotatable. Employer requests require organisation membership context.</w:t>
      </w:r>
    </w:p>
    <w:p>
      <w:pPr>
        <w:pStyle w:val="ListBullet"/>
      </w:pPr>
      <w:r>
        <w:t>Sensitive organisation/candidate identifier values are encrypted; searchable uniqueness uses keyed/hash representations where appropriate.</w:t>
      </w:r>
    </w:p>
    <w:p>
      <w:pPr>
        <w:pStyle w:val="ListBullet"/>
      </w:pPr>
      <w:r>
        <w:t>No Aadhaar/PAN/credential numbers are copied into search projections or analytics events.</w:t>
      </w:r>
    </w:p>
    <w:p>
      <w:pPr>
        <w:pStyle w:val="ListBullet"/>
      </w:pPr>
      <w:r>
        <w:t>Candidate contact reveal is purpose-limited, auditable and metered; bulk export is a distinct entitlement/policy.</w:t>
      </w:r>
    </w:p>
    <w:p>
      <w:pPr>
        <w:pStyle w:val="ListBullet"/>
      </w:pPr>
      <w:r>
        <w:t>Payment card/bank secrets remain with the payment provider; store only provider tokens/ids and payment status metadata.</w:t>
      </w:r>
    </w:p>
    <w:p>
      <w:pPr>
        <w:pStyle w:val="ListBullet"/>
      </w:pPr>
      <w:r>
        <w:t>Use row-level application authorization in services; do not rely on GraphQL field omission alone.</w:t>
      </w:r>
    </w:p>
    <w:p>
      <w:pPr>
        <w:pStyle w:val="ListBullet"/>
      </w:pPr>
      <w:r>
        <w:t>Administrative overrides require explicit role, reason and audit record.</w:t>
      </w:r>
    </w:p>
    <w:p>
      <w:pPr>
        <w:pStyle w:val="Heading1"/>
      </w:pPr>
      <w:r>
        <w:t>15.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5B3D91"/>
            <w:vAlign w:val="center"/>
          </w:tcPr>
          <w:p>
            <w:r>
              <w:rPr>
                <w:color w:val="FFFFFF"/>
              </w:rPr>
              <w:t>NFR</w:t>
            </w:r>
          </w:p>
        </w:tc>
        <w:tc>
          <w:tcPr>
            <w:tcW w:type="dxa" w:w="8352"/>
            <w:shd w:fill="5B3D91"/>
            <w:vAlign w:val="center"/>
          </w:tcPr>
          <w:p>
            <w:r>
              <w:rPr>
                <w:color w:val="FFFFFF"/>
              </w:rPr>
              <w:t>Target / requirement</w:t>
            </w:r>
          </w:p>
        </w:tc>
      </w:tr>
      <w:tr>
        <w:tc>
          <w:tcPr>
            <w:tcW w:type="dxa" w:w="2160"/>
            <w:vAlign w:val="top"/>
          </w:tcPr>
          <w:p>
            <w:r>
              <w:t>Availability</w:t>
            </w:r>
          </w:p>
        </w:tc>
        <w:tc>
          <w:tcPr>
            <w:tcW w:type="dxa" w:w="8352"/>
            <w:vAlign w:val="top"/>
          </w:tcPr>
          <w:p>
            <w:r>
              <w:t>Target 99.9% for core API at MVP; isolate provider outages with queues/retries.</w:t>
            </w:r>
          </w:p>
        </w:tc>
      </w:tr>
      <w:tr>
        <w:tc>
          <w:tcPr>
            <w:tcW w:type="dxa" w:w="2160"/>
            <w:vAlign w:val="top"/>
          </w:tcPr>
          <w:p>
            <w:r>
              <w:t>Latency</w:t>
            </w:r>
          </w:p>
        </w:tc>
        <w:tc>
          <w:tcPr>
            <w:tcW w:type="dxa" w:w="8352"/>
            <w:vAlign w:val="top"/>
          </w:tcPr>
          <w:p>
            <w:r>
              <w:t>P95 feed/search &lt;= 700 ms from warm region under target load; simple mutations &lt;= 1 s excluding external payment/OTP providers.</w:t>
            </w:r>
          </w:p>
        </w:tc>
      </w:tr>
      <w:tr>
        <w:tc>
          <w:tcPr>
            <w:tcW w:type="dxa" w:w="2160"/>
            <w:vAlign w:val="top"/>
          </w:tcPr>
          <w:p>
            <w:r>
              <w:t>Scalability</w:t>
            </w:r>
          </w:p>
        </w:tc>
        <w:tc>
          <w:tcPr>
            <w:tcW w:type="dxa" w:w="8352"/>
            <w:vAlign w:val="top"/>
          </w:tcPr>
          <w:p>
            <w:r>
              <w:t>Stateless GraphQL/API tier; independent search workers; horizontal scale.</w:t>
            </w:r>
          </w:p>
        </w:tc>
      </w:tr>
      <w:tr>
        <w:tc>
          <w:tcPr>
            <w:tcW w:type="dxa" w:w="2160"/>
            <w:vAlign w:val="top"/>
          </w:tcPr>
          <w:p>
            <w:r>
              <w:t>Consistency</w:t>
            </w:r>
          </w:p>
        </w:tc>
        <w:tc>
          <w:tcPr>
            <w:tcW w:type="dxa" w:w="8352"/>
            <w:vAlign w:val="top"/>
          </w:tcPr>
          <w:p>
            <w:r>
              <w:t>Strong consistency for billing/entitlement meter, publish/apply/reveal; eventual consistency acceptable for search index/analytics.</w:t>
            </w:r>
          </w:p>
        </w:tc>
      </w:tr>
      <w:tr>
        <w:tc>
          <w:tcPr>
            <w:tcW w:type="dxa" w:w="2160"/>
            <w:vAlign w:val="top"/>
          </w:tcPr>
          <w:p>
            <w:r>
              <w:t>Idempotency</w:t>
            </w:r>
          </w:p>
        </w:tc>
        <w:tc>
          <w:tcPr>
            <w:tcW w:type="dxa" w:w="8352"/>
            <w:vAlign w:val="top"/>
          </w:tcPr>
          <w:p>
            <w:r>
              <w:t>Required for payment webhooks, apply, reveal/meter, promotion purchase/activation and other retry-prone writes.</w:t>
            </w:r>
          </w:p>
        </w:tc>
      </w:tr>
      <w:tr>
        <w:tc>
          <w:tcPr>
            <w:tcW w:type="dxa" w:w="2160"/>
            <w:vAlign w:val="top"/>
          </w:tcPr>
          <w:p>
            <w:r>
              <w:t>Observability</w:t>
            </w:r>
          </w:p>
        </w:tc>
        <w:tc>
          <w:tcPr>
            <w:tcW w:type="dxa" w:w="8352"/>
            <w:vAlign w:val="top"/>
          </w:tcPr>
          <w:p>
            <w:r>
              <w:t>Correlation id; structured logs; metrics for auth, billing, GraphQL latency, search latency, queue lag and conversion funnels.</w:t>
            </w:r>
          </w:p>
        </w:tc>
      </w:tr>
      <w:tr>
        <w:tc>
          <w:tcPr>
            <w:tcW w:type="dxa" w:w="2160"/>
            <w:vAlign w:val="top"/>
          </w:tcPr>
          <w:p>
            <w:r>
              <w:t>Recovery</w:t>
            </w:r>
          </w:p>
        </w:tc>
        <w:tc>
          <w:tcPr>
            <w:tcW w:type="dxa" w:w="8352"/>
            <w:vAlign w:val="top"/>
          </w:tcPr>
          <w:p>
            <w:r>
              <w:t>Automated SQL backups/PITR per deployment environment; replayable outbox/inbox where feasible.</w:t>
            </w:r>
          </w:p>
        </w:tc>
      </w:tr>
      <w:tr>
        <w:tc>
          <w:tcPr>
            <w:tcW w:type="dxa" w:w="2160"/>
            <w:vAlign w:val="top"/>
          </w:tcPr>
          <w:p>
            <w:r>
              <w:t>Data retention</w:t>
            </w:r>
          </w:p>
        </w:tc>
        <w:tc>
          <w:tcPr>
            <w:tcW w:type="dxa" w:w="8352"/>
            <w:vAlign w:val="top"/>
          </w:tcPr>
          <w:p>
            <w:r>
              <w:t>Policy-driven by record type/purpose; audit/billing retention separate from discoverability.</w:t>
            </w:r>
          </w:p>
        </w:tc>
      </w:tr>
    </w:tbl>
    <w:p>
      <w:pPr>
        <w:pStyle w:val="Heading1"/>
      </w:pPr>
      <w:r>
        <w:t>16. Deployment Topology</w:t>
      </w:r>
    </w:p>
    <w:p>
      <w:pPr>
        <w:pStyle w:val="ListBullet"/>
      </w:pPr>
      <w:r>
        <w:t>CDN/WAF -&gt; GraphQL/API application tier.</w:t>
      </w:r>
    </w:p>
    <w:p>
      <w:pPr>
        <w:pStyle w:val="ListBullet"/>
      </w:pPr>
      <w:r>
        <w:t>Identity/auth module/service and organisation/RBAC module.</w:t>
      </w:r>
    </w:p>
    <w:p>
      <w:pPr>
        <w:pStyle w:val="ListBullet"/>
      </w:pPr>
      <w:r>
        <w:t>Billing/entitlement module with payment-provider adapter and webhook endpoint.</w:t>
      </w:r>
    </w:p>
    <w:p>
      <w:pPr>
        <w:pStyle w:val="ListBullet"/>
      </w:pPr>
      <w:r>
        <w:t>Job/candidate/application domain modules; can begin as a modular monolith and split later by load/team boundaries.</w:t>
      </w:r>
    </w:p>
    <w:p>
      <w:pPr>
        <w:pStyle w:val="ListBullet"/>
      </w:pPr>
      <w:r>
        <w:t>SQL Server primary transactional database.</w:t>
      </w:r>
    </w:p>
    <w:p>
      <w:pPr>
        <w:pStyle w:val="ListBullet"/>
      </w:pPr>
      <w:r>
        <w:t>Redis for rate limits, taxonomy/entitlement cache and short-lived coordination.</w:t>
      </w:r>
    </w:p>
    <w:p>
      <w:pPr>
        <w:pStyle w:val="ListBullet"/>
      </w:pPr>
      <w:r>
        <w:t>OpenSearch/Elasticsearch-compatible or equivalent search engine for job/candidate projections.</w:t>
      </w:r>
    </w:p>
    <w:p>
      <w:pPr>
        <w:pStyle w:val="ListBullet"/>
      </w:pPr>
      <w:r>
        <w:t>Queue/event bus and background workers for indexing, notifications, billing reconciliation and analytics.</w:t>
      </w:r>
    </w:p>
    <w:p>
      <w:pPr>
        <w:pStyle w:val="ListBullet"/>
      </w:pPr>
      <w:r>
        <w:t>Object storage for resume/evidence artifacts, never as the source of profile truth.</w:t>
      </w:r>
    </w:p>
    <w:p>
      <w:pPr>
        <w:pStyle w:val="Heading1"/>
      </w:pPr>
      <w:r>
        <w:t>17. Recommended Delivery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5B3D91"/>
            <w:vAlign w:val="center"/>
          </w:tcPr>
          <w:p>
            <w:r>
              <w:rPr>
                <w:color w:val="FFFFFF"/>
              </w:rPr>
              <w:t>Phase</w:t>
            </w:r>
          </w:p>
        </w:tc>
        <w:tc>
          <w:tcPr>
            <w:tcW w:type="dxa" w:w="8064"/>
            <w:shd w:fill="5B3D91"/>
            <w:vAlign w:val="center"/>
          </w:tcPr>
          <w:p>
            <w:r>
              <w:rPr>
                <w:color w:val="FFFFFF"/>
              </w:rPr>
              <w:t>Scope</w:t>
            </w:r>
          </w:p>
        </w:tc>
      </w:tr>
      <w:tr>
        <w:tc>
          <w:tcPr>
            <w:tcW w:type="dxa" w:w="2448"/>
            <w:vAlign w:val="top"/>
          </w:tcPr>
          <w:p>
            <w:r>
              <w:t>P0 - Foundation</w:t>
            </w:r>
          </w:p>
        </w:tc>
        <w:tc>
          <w:tcPr>
            <w:tcW w:type="dxa" w:w="8064"/>
            <w:vAlign w:val="top"/>
          </w:tcPr>
          <w:p>
            <w:r>
              <w:t>Taxonomy v2 + unified identity + organisation + candidate profile; schema migrations; feature flags.</w:t>
            </w:r>
          </w:p>
        </w:tc>
      </w:tr>
      <w:tr>
        <w:tc>
          <w:tcPr>
            <w:tcW w:type="dxa" w:w="2448"/>
            <w:vAlign w:val="top"/>
          </w:tcPr>
          <w:p>
            <w:r>
              <w:t>P1 - Marketplace MVP</w:t>
            </w:r>
          </w:p>
        </w:tc>
        <w:tc>
          <w:tcPr>
            <w:tcW w:type="dxa" w:w="8064"/>
            <w:vAlign w:val="top"/>
          </w:tcPr>
          <w:p>
            <w:r>
              <w:t>Employer trial, job post/publish, candidate OTP/feed/apply, applications, basic billing status.</w:t>
            </w:r>
          </w:p>
        </w:tc>
      </w:tr>
      <w:tr>
        <w:tc>
          <w:tcPr>
            <w:tcW w:type="dxa" w:w="2448"/>
            <w:vAlign w:val="top"/>
          </w:tcPr>
          <w:p>
            <w:r>
              <w:t>P2 - Talent SaaS</w:t>
            </w:r>
          </w:p>
        </w:tc>
        <w:tc>
          <w:tcPr>
            <w:tcW w:type="dxa" w:w="8064"/>
            <w:vAlign w:val="top"/>
          </w:tcPr>
          <w:p>
            <w:r>
              <w:t>Candidate search projection, consent/discoverability, masked profiles, contact reveal + metering.</w:t>
            </w:r>
          </w:p>
        </w:tc>
      </w:tr>
      <w:tr>
        <w:tc>
          <w:tcPr>
            <w:tcW w:type="dxa" w:w="2448"/>
            <w:vAlign w:val="top"/>
          </w:tcPr>
          <w:p>
            <w:r>
              <w:t>P3 - Monetisation</w:t>
            </w:r>
          </w:p>
        </w:tc>
        <w:tc>
          <w:tcPr>
            <w:tcW w:type="dxa" w:w="8064"/>
            <w:vAlign w:val="top"/>
          </w:tcPr>
          <w:p>
            <w:r>
              <w:t>Monthly/yearly checkout, renewal webhooks, plan dashboard, add-ons, promotion credits.</w:t>
            </w:r>
          </w:p>
        </w:tc>
      </w:tr>
      <w:tr>
        <w:tc>
          <w:tcPr>
            <w:tcW w:type="dxa" w:w="2448"/>
            <w:vAlign w:val="top"/>
          </w:tcPr>
          <w:p>
            <w:r>
              <w:t>P4 - Scale/Quality</w:t>
            </w:r>
          </w:p>
        </w:tc>
        <w:tc>
          <w:tcPr>
            <w:tcW w:type="dxa" w:w="8064"/>
            <w:vAlign w:val="top"/>
          </w:tcPr>
          <w:p>
            <w:r>
              <w:t>Advanced matching explanations, moderation/fraud, analytics, ATS/API, richer verification.</w:t>
            </w:r>
          </w:p>
        </w:tc>
      </w:tr>
    </w:tbl>
    <w:p>
      <w:pPr>
        <w:pStyle w:val="Heading1"/>
      </w:pPr>
      <w:r>
        <w:t>18. Source Lineage</w:t>
      </w:r>
    </w:p>
    <w:p>
      <w:r>
        <w:t>The database and GraphQL designs intentionally extend, rather than replace, IndiaWorks Employer/Auth/Job Posting v3 and Candidate Onboarding/Application v4. The associated .sql and .graphql deliverables in this v7 bundle contain the integrated starter contracts.</w:t>
      </w:r>
    </w:p>
    <w:p>
      <w:pPr>
        <w:pStyle w:val="Heading1"/>
      </w:pPr>
      <w:r>
        <w:t>v7 commercial gate - five free candidates</w:t>
      </w:r>
    </w:p>
    <w:p>
      <w:pPr>
        <w:pStyle w:val="Callout"/>
      </w:pPr>
      <w:r>
        <w:rPr>
          <w:b/>
        </w:rPr>
        <w:t xml:space="preserve">Rule: </w:t>
      </w:r>
      <w:r>
        <w:t>A verified organisation/legal entity receives five lifetime free DISTINCT candidate unlocks. The sixth distinct candidate requires a paid monthly/yearly/add-on CANDIDATE_UNLOCK entitlement.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v7 behavior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Masked discovery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Applicant/search result cards and candidate counts are visible in masked form without consuming an unlock.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Consumption key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Only first full-profile access of a distinct (OrganisationId, CandidateProfileId) consumes candidate access.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Scope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The five free candidates are shared by every recruiter, every job and every candidate-access surface in the organisation.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No reset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Free allowance never resets by month, billing period, new recruiter, new job, device, cancellation or re-sign-up.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Duplicate candidate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Re-opening the same candidate or finding the same candidate against another job does not consume again.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Privacy first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Consent/application context, discoverability and candidate-organisation block rules are evaluated before payment/entitlement.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Paid access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Paid plan/add-on entitlements can grant further CANDIDATE_UNLOCK units or unlimited access.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Contact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Candidate contact reveal remains separately consent checked, entitlement checked and audited.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Abuse control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Commercial identity fingerprint/risk controls prevent recreating organisations purely to regain five free candidates.</w:t>
            </w:r>
          </w:p>
        </w:tc>
      </w:tr>
    </w:tbl>
    <w:p>
      <w:pPr>
        <w:pStyle w:val="Heading1"/>
      </w:pPr>
      <w:r>
        <w:t>20. v7 candidate-access database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Key columns / purpose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OrganisationCommercialAccessState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OrganisationId PK, commercial identity fingerprint, FreeCandidateUnlockLimit=5, grant/revoke metadata, rowversion.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OrganisationCandidateUnlock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Unique OrganisationId+CandidateProfileId; source FREE_ALLOWANCE/PAID_ENTITLEMENT/ADD_ON/ADMIN; first job/user/time; usage-event link.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CandidatePaywallEvent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PAYWALL_SHOWN/CHECKOUT_STARTED/PAYMENT_COMPLETED/UNLOCK_RETRIED with freeUsed/freeLimit and correlation id.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EntitlementDefinition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Add CANDIDATE_UNLOCK. FREE_EVALUATION plan uses limit 5, reset NONE.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EntitlementUsageEvent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Immutable usage record; unique org+entitlement+idempotency key; paid unlock usage and other metered actions.</w:t>
            </w:r>
          </w:p>
        </w:tc>
      </w:tr>
    </w:tbl>
    <w:p>
      <w:pPr>
        <w:pStyle w:val="Heading2"/>
      </w:pPr>
      <w:r>
        <w:t>Concurrency rule</w:t>
      </w:r>
    </w:p>
    <w:p>
      <w:r>
        <w:t>Candidate unlock must execute inside an application-service transaction. First check unique OrganisationCandidateUnlock; then lock organisation commercial access/entitlement state, evaluate free/paid allowance, insert unlock and usage event atomically. The unique (OrganisationId, CandidateProfileId) constraint is the final database guard against duplicate consumption.</w:t>
      </w:r>
    </w:p>
    <w:p>
      <w:pPr>
        <w:pStyle w:val="Heading1"/>
      </w:pPr>
      <w:r>
        <w:t>21. v7 candidate access order of operations</w:t>
      </w:r>
    </w:p>
    <w:p>
      <w:r>
        <w:t>1. Authenticate employer session and resolve active organisation membership/RBAC.</w:t>
      </w:r>
    </w:p>
    <w:p>
      <w:r>
        <w:t>2. Evaluate candidate privacy/application/discoverability and CandidateOrganisationBlock.</w:t>
      </w:r>
    </w:p>
    <w:p>
      <w:r>
        <w:t>3. Check whether OrganisationCandidateUnlock already exists; if yes return full profile without metering.</w:t>
      </w:r>
    </w:p>
    <w:p>
      <w:r>
        <w:t>4. Evaluate organisation free distinct-candidate usage. If below five, create FREE_ALLOWANCE unlock.</w:t>
      </w:r>
    </w:p>
    <w:p>
      <w:r>
        <w:t>5. If five are already used, resolve active paid/add-on CANDIDATE_UNLOCK entitlement.</w:t>
      </w:r>
    </w:p>
    <w:p>
      <w:r>
        <w:t>6. If paid entitlement allows, create PAID_ENTITLEMENT/ADD_ON unlock and usage event.</w:t>
      </w:r>
    </w:p>
    <w:p>
      <w:r>
        <w:t>7. Otherwise write CandidatePaywallEvent(PAYWALL_SHOWN) and return PAYWALL_REQUIRED with plan choices.</w:t>
      </w:r>
    </w:p>
    <w:p>
      <w:r>
        <w:t>8. Only after candidate is unlocked may contact reveal be evaluated; contact remains separately consent/entitlement audited.</w:t>
      </w:r>
    </w:p>
    <w:p>
      <w:pPr>
        <w:pStyle w:val="Heading1"/>
      </w:pPr>
      <w:r>
        <w:t>22. GraphQL v7 extensions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candidateAccessStatus(organisationId)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Free limit/used/remaining, paidAccessActive, paywallActive and candidate-unlock entitlement usage.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jobApplicantsV7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Masked applicant cards + access state + shared organisation access status.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unlockCandidateProfile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Single authoritative value-event mutation; returns FREE_UNLOCKED/PAID_UNLOCKED/PAYWALL_REQUIRED/etc.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MaskedCandidateCard.accessDecision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Allows UI to show already-unlocked/free/paywall state without exposing full profile.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revealCandidateContact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Separate post-unlock operation; privacy and CONTACT_REVEAL policy remain authoritative.</w:t>
            </w:r>
          </w:p>
        </w:tc>
      </w:tr>
    </w:tbl>
    <w:p>
      <w:pPr>
        <w:pStyle w:val="Heading1"/>
      </w:pPr>
      <w:r>
        <w:t>23. Search/filter architecture</w:t>
      </w:r>
    </w:p>
    <w:p>
      <w:r>
        <w:t>Job filters and candidate filters are projection-backed. jobSearchFacets must not issue high-cardinality OLTP joins on each mobile filter change. Cache by normalized filter hash + geography + taxonomy version + index version. Candidate search projection excludes phone/email, raw Aadhaar/PAN and credential numbers.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Job filter family</w:t>
            </w:r>
          </w:p>
        </w:tc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Indexed fields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Taxonomy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familyId, roleId, specialisationId, workContextIds, aliases/search terms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Geo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city/district/PIN/lat/lng, distance/radius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Work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workMode, engagementType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Experience/Education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experience ranges/policy, education level, course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Pay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monthlyEquivalentMin/max, payFrequency, bonus/incentive flags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Schedule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shiftType, start/end, night/rotational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Freshness/Urgency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publishedAt, lastRefreshedAt, hiringUrgency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Capabilities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skills, languages, credential/asset requirements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Employer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verified flag, sourceType, sector, industry, employeeBand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Benefits/Contact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benefit codes, immediate call/WhatsApp capability</w:t>
            </w:r>
          </w:p>
        </w:tc>
      </w:tr>
    </w:tbl>
    <w:p>
      <w:pPr>
        <w:pStyle w:val="Heading1"/>
      </w:pPr>
      <w:r>
        <w:t>24. Session/persona architecture</w:t>
      </w:r>
    </w:p>
    <w:p>
      <w:r>
        <w:t>A single UserAccount can own a CandidateProfile and multiple OrganisationMemberships. AuthSession activePersona is a session context, not a permanent identity type. UserSession persists refresh-token hash/device/persona and supports token rotation, logout, revoke-other-sessions and sensitive-identifier-change revocation.</w:t>
      </w:r>
    </w:p>
    <w:p>
      <w:pPr>
        <w:pStyle w:val="Heading1"/>
      </w:pPr>
      <w:r>
        <w:t>25. Alerts, sharing and deep links</w:t>
      </w:r>
    </w:p>
    <w:p>
      <w:r>
        <w:t>SavedJobSearch stores a versioned canonical JobSearchInput. JobAlertSubscription stores channel/frequency/quiet hours; JobAlertRun stores watermarks; JobAlertDelivery stores per-job/channel dedupe and provider status. JobPublicLink/JobShareLink uses stable HTTPS public code/slug and native app links/universal links with mobile-web fallback.</w:t>
      </w:r>
    </w:p>
    <w:p>
      <w:pPr>
        <w:pStyle w:val="Heading1"/>
      </w:pPr>
      <w:r>
        <w:t>26. Employer-candidate CRM model</w:t>
      </w:r>
    </w:p>
    <w:p>
      <w:r>
        <w:t>CandidateApplication is Candidate&lt;-&gt;Job. EmployerCandidateRelationship is Organisation&lt;-&gt;Candidate across jobs. OrganisationCandidateUnlock is commercial access. CandidateContactReveal is PII/contact access. CandidateOrganisationBlock is the safety boundary. Keeping these separate prevents subscription logic from corrupting hiring workflow semantics.</w:t>
      </w:r>
    </w:p>
    <w:p>
      <w:pPr>
        <w:pStyle w:val="Heading1"/>
      </w:pPr>
      <w:r>
        <w:t>27. Release/dependency architecture</w:t>
      </w:r>
    </w:p>
    <w:p>
      <w:r>
        <w:t>S0 Foundation -&gt; S1 Identity/Tenancy/Free allowance provisioning -&gt; S2 Billing/Entitlement/Five-free gate -&gt; S3 Job Authoring -&gt; S4 Candidate Discovery/Apply -&gt; S5 Applicant CRM + Paywall -&gt; S6 Paid Talent Search -&gt; S7 Alerts/Promotion -&gt; S8 Trust/Admin/Analytics -&gt; S9 Hardening/UAT/Launch. The v7 backlog CSV has been topologically validated and priority-ordered inside each sprint.</w:t>
      </w:r>
    </w:p>
    <w:p>
      <w:pPr>
        <w:pStyle w:val="Heading1"/>
      </w:pPr>
      <w:r>
        <w:t>28. v7 source lineage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5112"/>
            <w:shd w:fill="5B3D91"/>
            <w:vAlign w:val="top"/>
          </w:tcPr>
          <w:p>
            <w:pPr>
              <w:spacing w:after="40"/>
            </w:pPr>
            <w:r>
              <w:rPr>
                <w:b/>
                <w:color w:val="FFFFFF"/>
                <w:sz w:val="17"/>
              </w:rPr>
              <w:t>Integrated into v7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Unified SaaS v5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Two-sided SaaS, entitlements, promotion, unified employer/candidate architecture.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Product/Technical Review v6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Sessions/personas, filters/facets, alerts, deep links, CRM, trust/safety, moderation and SQL corrections.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v7 commercial decision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rPr>
                <w:sz w:val="17"/>
              </w:rPr>
              <w:t>Five lifetime free distinct candidates per organisation/legal entity, sixth-candidate paywall, candidate-unlock entity/API and sprint dependency restructure.</w:t>
            </w:r>
          </w:p>
        </w:tc>
      </w:tr>
    </w:tbl>
    <w:sectPr w:rsidR="00FC693F" w:rsidRPr="0006063C" w:rsidSect="00034616">
      <w:footerReference w:type="default" r:id="rId9"/>
      <w:head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788C"/>
        <w:sz w:val="16"/>
      </w:rPr>
      <w:t>Architecture freeze candidate - 25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478"/>
        <w:sz w:val="16"/>
      </w:rPr>
      <w:t>IndiaWorks | Technical Architecture | v7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5B3D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C38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E5B4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5B3D9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b/>
      <w:color w:val="4C386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