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David Lakes</w:t>
      </w:r>
    </w:p>
    <w:p w:rsidR="00000000" w:rsidDel="00000000" w:rsidP="00000000" w:rsidRDefault="00000000" w:rsidRPr="00000000" w14:paraId="00000015">
      <w:pPr>
        <w:jc w:val="center"/>
        <w:rPr/>
      </w:pPr>
      <w:r w:rsidDel="00000000" w:rsidR="00000000" w:rsidRPr="00000000">
        <w:rPr>
          <w:rtl w:val="0"/>
        </w:rPr>
        <w:t xml:space="preserve">MATH 200</w:t>
      </w:r>
    </w:p>
    <w:p w:rsidR="00000000" w:rsidDel="00000000" w:rsidP="00000000" w:rsidRDefault="00000000" w:rsidRPr="00000000" w14:paraId="00000016">
      <w:pPr>
        <w:jc w:val="center"/>
        <w:rPr/>
      </w:pPr>
      <w:r w:rsidDel="00000000" w:rsidR="00000000" w:rsidRPr="00000000">
        <w:rPr>
          <w:rtl w:val="0"/>
        </w:rPr>
        <w:t xml:space="preserve">Project 1</w:t>
      </w:r>
    </w:p>
    <w:p w:rsidR="00000000" w:rsidDel="00000000" w:rsidP="00000000" w:rsidRDefault="00000000" w:rsidRPr="00000000" w14:paraId="00000017">
      <w:pPr>
        <w:jc w:val="center"/>
        <w:rPr/>
      </w:pPr>
      <w:r w:rsidDel="00000000" w:rsidR="00000000" w:rsidRPr="00000000">
        <w:rPr>
          <w:rtl w:val="0"/>
        </w:rPr>
        <w:t xml:space="preserve">Professor Brown</w:t>
      </w:r>
    </w:p>
    <w:p w:rsidR="00000000" w:rsidDel="00000000" w:rsidP="00000000" w:rsidRDefault="00000000" w:rsidRPr="00000000" w14:paraId="00000018">
      <w:pPr>
        <w:jc w:val="center"/>
        <w:rPr/>
      </w:pPr>
      <w:r w:rsidDel="00000000" w:rsidR="00000000" w:rsidRPr="00000000">
        <w:rPr>
          <w:rtl w:val="0"/>
        </w:rPr>
        <w:t xml:space="preserve">Due Dec. 10, 2023</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center"/>
        <w:rPr>
          <w:b w:val="1"/>
          <w:u w:val="single"/>
        </w:rPr>
      </w:pPr>
      <w:r w:rsidDel="00000000" w:rsidR="00000000" w:rsidRPr="00000000">
        <w:rPr>
          <w:b w:val="1"/>
          <w:u w:val="single"/>
          <w:rtl w:val="0"/>
        </w:rPr>
        <w:t xml:space="preserve">Max (Tallest Woman) Information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Value: 73.89 inches</w:t>
      </w:r>
    </w:p>
    <w:p w:rsidR="00000000" w:rsidDel="00000000" w:rsidP="00000000" w:rsidRDefault="00000000" w:rsidRPr="00000000" w14:paraId="00000030">
      <w:pPr>
        <w:rPr/>
      </w:pPr>
      <w:r w:rsidDel="00000000" w:rsidR="00000000" w:rsidRPr="00000000">
        <w:rPr>
          <w:rtl w:val="0"/>
        </w:rPr>
        <w:t xml:space="preserve">Z-Score: 2.54</w:t>
      </w:r>
    </w:p>
    <w:p w:rsidR="00000000" w:rsidDel="00000000" w:rsidP="00000000" w:rsidRDefault="00000000" w:rsidRPr="00000000" w14:paraId="00000031">
      <w:pPr>
        <w:rPr/>
      </w:pPr>
      <w:r w:rsidDel="00000000" w:rsidR="00000000" w:rsidRPr="00000000">
        <w:rPr>
          <w:rtl w:val="0"/>
        </w:rPr>
        <w:t xml:space="preserve">Probability of being taller: 0.00554262</w:t>
      </w:r>
    </w:p>
    <w:p w:rsidR="00000000" w:rsidDel="00000000" w:rsidP="00000000" w:rsidRDefault="00000000" w:rsidRPr="00000000" w14:paraId="00000032">
      <w:pPr>
        <w:rPr/>
      </w:pPr>
      <w:r w:rsidDel="00000000" w:rsidR="00000000" w:rsidRPr="00000000">
        <w:rPr>
          <w:rtl w:val="0"/>
        </w:rPr>
        <w:t xml:space="preserve">Probability of being shorter: 0.99445738</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positive Z-Score is roughly 2.5 standard deviations higher than the mean of the data set. This woman would be within the tallest 1% of heights in a normal distribution.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probability of a woman being taller than the tallest woman from the data set is less than 5%. This signifies that her height is unusual.</w:t>
      </w:r>
    </w:p>
    <w:p w:rsidR="00000000" w:rsidDel="00000000" w:rsidP="00000000" w:rsidRDefault="00000000" w:rsidRPr="00000000" w14:paraId="00000037">
      <w:pPr>
        <w:jc w:val="center"/>
        <w:rPr/>
      </w:pPr>
      <w:r w:rsidDel="00000000" w:rsidR="00000000" w:rsidRPr="00000000">
        <w:rPr>
          <w:rtl w:val="0"/>
        </w:rPr>
        <w:t xml:space="preserve">Probability of being taller:</w:t>
      </w:r>
    </w:p>
    <w:p w:rsidR="00000000" w:rsidDel="00000000" w:rsidP="00000000" w:rsidRDefault="00000000" w:rsidRPr="00000000" w14:paraId="00000038">
      <w:pPr>
        <w:jc w:val="center"/>
        <w:rPr/>
      </w:pPr>
      <w:r w:rsidDel="00000000" w:rsidR="00000000" w:rsidRPr="00000000">
        <w:rPr/>
        <w:drawing>
          <wp:inline distB="114300" distT="114300" distL="114300" distR="114300">
            <wp:extent cx="3919538" cy="2630681"/>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919538" cy="263068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t xml:space="preserve">Probability of being shorter:</w:t>
      </w:r>
    </w:p>
    <w:p w:rsidR="00000000" w:rsidDel="00000000" w:rsidP="00000000" w:rsidRDefault="00000000" w:rsidRPr="00000000" w14:paraId="0000003C">
      <w:pPr>
        <w:jc w:val="center"/>
        <w:rPr>
          <w:b w:val="1"/>
          <w:u w:val="single"/>
        </w:rPr>
      </w:pPr>
      <w:r w:rsidDel="00000000" w:rsidR="00000000" w:rsidRPr="00000000">
        <w:rPr>
          <w:b w:val="1"/>
          <w:u w:val="single"/>
        </w:rPr>
        <w:drawing>
          <wp:inline distB="114300" distT="114300" distL="114300" distR="114300">
            <wp:extent cx="3476625" cy="2425756"/>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476625" cy="242575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b w:val="1"/>
          <w:u w:val="single"/>
        </w:rPr>
      </w:pPr>
      <w:r w:rsidDel="00000000" w:rsidR="00000000" w:rsidRPr="00000000">
        <w:rPr>
          <w:b w:val="1"/>
          <w:u w:val="single"/>
          <w:rtl w:val="0"/>
        </w:rPr>
        <w:t xml:space="preserve">Minimum (Shortest Woman) Information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Value: 59.31 inches</w:t>
      </w:r>
    </w:p>
    <w:p w:rsidR="00000000" w:rsidDel="00000000" w:rsidP="00000000" w:rsidRDefault="00000000" w:rsidRPr="00000000" w14:paraId="00000040">
      <w:pPr>
        <w:rPr/>
      </w:pPr>
      <w:r w:rsidDel="00000000" w:rsidR="00000000" w:rsidRPr="00000000">
        <w:rPr>
          <w:rtl w:val="0"/>
        </w:rPr>
        <w:t xml:space="preserve">Z-Score: - 1.6257</w:t>
      </w:r>
    </w:p>
    <w:p w:rsidR="00000000" w:rsidDel="00000000" w:rsidP="00000000" w:rsidRDefault="00000000" w:rsidRPr="00000000" w14:paraId="00000041">
      <w:pPr>
        <w:rPr/>
      </w:pPr>
      <w:r w:rsidDel="00000000" w:rsidR="00000000" w:rsidRPr="00000000">
        <w:rPr>
          <w:rtl w:val="0"/>
        </w:rPr>
        <w:t xml:space="preserve">Probability of being shorter: 0.05200522</w:t>
      </w:r>
    </w:p>
    <w:p w:rsidR="00000000" w:rsidDel="00000000" w:rsidP="00000000" w:rsidRDefault="00000000" w:rsidRPr="00000000" w14:paraId="00000042">
      <w:pPr>
        <w:rPr/>
      </w:pPr>
      <w:r w:rsidDel="00000000" w:rsidR="00000000" w:rsidRPr="00000000">
        <w:rPr>
          <w:rtl w:val="0"/>
        </w:rPr>
        <w:t xml:space="preserve">Probability of being taller: 0.94799478</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negative Z-Score is 1.6257 standard deviations lower than the mean of the data set. This woman is within the shortest 10% of the population.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probability of a woman being shorter than the shortest woman from the data set is greater than 5%, meaning her height is not unusual.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Probability of being shorter:</w:t>
      </w:r>
    </w:p>
    <w:p w:rsidR="00000000" w:rsidDel="00000000" w:rsidP="00000000" w:rsidRDefault="00000000" w:rsidRPr="00000000" w14:paraId="0000004B">
      <w:pPr>
        <w:jc w:val="center"/>
        <w:rPr/>
      </w:pPr>
      <w:r w:rsidDel="00000000" w:rsidR="00000000" w:rsidRPr="00000000">
        <w:rPr/>
        <w:drawing>
          <wp:inline distB="114300" distT="114300" distL="114300" distR="114300">
            <wp:extent cx="3345786" cy="2249612"/>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45786" cy="224961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t xml:space="preserve">Probability of being taller:</w:t>
      </w:r>
    </w:p>
    <w:p w:rsidR="00000000" w:rsidDel="00000000" w:rsidP="00000000" w:rsidRDefault="00000000" w:rsidRPr="00000000" w14:paraId="0000004E">
      <w:pPr>
        <w:jc w:val="center"/>
        <w:rPr/>
      </w:pPr>
      <w:r w:rsidDel="00000000" w:rsidR="00000000" w:rsidRPr="00000000">
        <w:rPr/>
        <w:drawing>
          <wp:inline distB="114300" distT="114300" distL="114300" distR="114300">
            <wp:extent cx="3448050" cy="2314337"/>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48050" cy="231433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b w:val="1"/>
          <w:u w:val="single"/>
        </w:rPr>
      </w:pPr>
      <w:r w:rsidDel="00000000" w:rsidR="00000000" w:rsidRPr="00000000">
        <w:rPr>
          <w:b w:val="1"/>
          <w:u w:val="single"/>
          <w:rtl w:val="0"/>
        </w:rPr>
        <w:t xml:space="preserve">Sampling Distribution of Mean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sample distribution is roughly symmetrical, but also has a slight skew to the left, indicating that the population mean may be slightly less tall than the sample mean.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drawing>
          <wp:inline distB="114300" distT="114300" distL="114300" distR="114300">
            <wp:extent cx="3190875" cy="319087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9087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drawing>
          <wp:inline distB="114300" distT="114300" distL="114300" distR="114300">
            <wp:extent cx="3233738" cy="3246621"/>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33738" cy="324662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b w:val="1"/>
          <w:u w:val="single"/>
        </w:rPr>
      </w:pPr>
      <w:r w:rsidDel="00000000" w:rsidR="00000000" w:rsidRPr="00000000">
        <w:rPr>
          <w:rtl w:val="0"/>
        </w:rPr>
      </w:r>
    </w:p>
    <w:p w:rsidR="00000000" w:rsidDel="00000000" w:rsidP="00000000" w:rsidRDefault="00000000" w:rsidRPr="00000000" w14:paraId="00000059">
      <w:pPr>
        <w:jc w:val="center"/>
        <w:rPr>
          <w:b w:val="1"/>
          <w:u w:val="single"/>
        </w:rPr>
      </w:pPr>
      <w:r w:rsidDel="00000000" w:rsidR="00000000" w:rsidRPr="00000000">
        <w:rPr>
          <w:rtl w:val="0"/>
        </w:rPr>
      </w:r>
    </w:p>
    <w:p w:rsidR="00000000" w:rsidDel="00000000" w:rsidP="00000000" w:rsidRDefault="00000000" w:rsidRPr="00000000" w14:paraId="0000005A">
      <w:pPr>
        <w:jc w:val="center"/>
        <w:rPr>
          <w:b w:val="1"/>
          <w:u w:val="single"/>
        </w:rPr>
      </w:pPr>
      <w:r w:rsidDel="00000000" w:rsidR="00000000" w:rsidRPr="00000000">
        <w:rPr>
          <w:b w:val="1"/>
          <w:u w:val="single"/>
          <w:rtl w:val="0"/>
        </w:rPr>
        <w:t xml:space="preserve">Boxplot and Outliers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two tallest women in the sample set are considered to be outliers and are roughly between 4-6 inches above the upper-limit. </w:t>
      </w:r>
    </w:p>
    <w:p w:rsidR="00000000" w:rsidDel="00000000" w:rsidP="00000000" w:rsidRDefault="00000000" w:rsidRPr="00000000" w14:paraId="0000005D">
      <w:pPr>
        <w:jc w:val="center"/>
        <w:rPr>
          <w:b w:val="1"/>
          <w:u w:val="single"/>
        </w:rPr>
      </w:pPr>
      <w:r w:rsidDel="00000000" w:rsidR="00000000" w:rsidRPr="00000000">
        <w:rPr>
          <w:rtl w:val="0"/>
        </w:rPr>
      </w:r>
    </w:p>
    <w:p w:rsidR="00000000" w:rsidDel="00000000" w:rsidP="00000000" w:rsidRDefault="00000000" w:rsidRPr="00000000" w14:paraId="0000005E">
      <w:pPr>
        <w:jc w:val="center"/>
        <w:rPr>
          <w:b w:val="1"/>
          <w:u w:val="single"/>
        </w:rPr>
      </w:pPr>
      <w:r w:rsidDel="00000000" w:rsidR="00000000" w:rsidRPr="00000000">
        <w:rPr>
          <w:rtl w:val="0"/>
        </w:rPr>
      </w:r>
    </w:p>
    <w:p w:rsidR="00000000" w:rsidDel="00000000" w:rsidP="00000000" w:rsidRDefault="00000000" w:rsidRPr="00000000" w14:paraId="0000005F">
      <w:pPr>
        <w:jc w:val="center"/>
        <w:rPr>
          <w:b w:val="1"/>
          <w:u w:val="single"/>
        </w:rPr>
      </w:pPr>
      <w:r w:rsidDel="00000000" w:rsidR="00000000" w:rsidRPr="00000000">
        <w:rPr>
          <w:b w:val="1"/>
          <w:u w:val="single"/>
        </w:rPr>
        <w:drawing>
          <wp:inline distB="114300" distT="114300" distL="114300" distR="114300">
            <wp:extent cx="4233863" cy="3901396"/>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33863" cy="390139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b w:val="1"/>
          <w:u w:val="single"/>
        </w:rPr>
      </w:pPr>
      <w:r w:rsidDel="00000000" w:rsidR="00000000" w:rsidRPr="00000000">
        <w:rPr>
          <w:rtl w:val="0"/>
        </w:rPr>
      </w:r>
    </w:p>
    <w:p w:rsidR="00000000" w:rsidDel="00000000" w:rsidP="00000000" w:rsidRDefault="00000000" w:rsidRPr="00000000" w14:paraId="00000061">
      <w:pPr>
        <w:jc w:val="center"/>
        <w:rPr>
          <w:b w:val="1"/>
          <w:u w:val="single"/>
        </w:rPr>
      </w:pPr>
      <w:r w:rsidDel="00000000" w:rsidR="00000000" w:rsidRPr="00000000">
        <w:rPr>
          <w:b w:val="1"/>
          <w:u w:val="single"/>
          <w:rtl w:val="0"/>
        </w:rPr>
        <w:t xml:space="preserve">Confidence Interval</w:t>
      </w:r>
    </w:p>
    <w:p w:rsidR="00000000" w:rsidDel="00000000" w:rsidP="00000000" w:rsidRDefault="00000000" w:rsidRPr="00000000" w14:paraId="00000062">
      <w:pPr>
        <w:rPr>
          <w:b w:val="1"/>
          <w:color w:val="444444"/>
          <w:sz w:val="21"/>
          <w:szCs w:val="21"/>
          <w:highlight w:val="white"/>
        </w:rPr>
      </w:pPr>
      <w:r w:rsidDel="00000000" w:rsidR="00000000" w:rsidRPr="00000000">
        <w:rPr>
          <w:b w:val="1"/>
          <w:color w:val="444444"/>
          <w:sz w:val="21"/>
          <w:szCs w:val="21"/>
          <w:highlight w:val="white"/>
          <w:rtl w:val="0"/>
        </w:rPr>
        <w:t xml:space="preserve">One sample Z confidence interval:</w:t>
      </w:r>
    </w:p>
    <w:p w:rsidR="00000000" w:rsidDel="00000000" w:rsidP="00000000" w:rsidRDefault="00000000" w:rsidRPr="00000000" w14:paraId="00000063">
      <w:pPr>
        <w:rPr>
          <w:b w:val="1"/>
          <w:color w:val="444444"/>
          <w:sz w:val="21"/>
          <w:szCs w:val="21"/>
          <w:highlight w:val="white"/>
        </w:rPr>
      </w:pPr>
      <w:r w:rsidDel="00000000" w:rsidR="00000000" w:rsidRPr="00000000">
        <w:rPr>
          <w:b w:val="1"/>
          <w:color w:val="444444"/>
          <w:sz w:val="21"/>
          <w:szCs w:val="21"/>
          <w:highlight w:val="white"/>
          <w:rtl w:val="0"/>
        </w:rPr>
        <w:tab/>
        <w:t xml:space="preserve">Upper Limit: 66.51</w:t>
      </w:r>
    </w:p>
    <w:p w:rsidR="00000000" w:rsidDel="00000000" w:rsidP="00000000" w:rsidRDefault="00000000" w:rsidRPr="00000000" w14:paraId="00000064">
      <w:pPr>
        <w:rPr>
          <w:b w:val="1"/>
          <w:color w:val="444444"/>
          <w:sz w:val="21"/>
          <w:szCs w:val="21"/>
          <w:highlight w:val="white"/>
        </w:rPr>
      </w:pPr>
      <w:r w:rsidDel="00000000" w:rsidR="00000000" w:rsidRPr="00000000">
        <w:rPr>
          <w:b w:val="1"/>
          <w:color w:val="444444"/>
          <w:sz w:val="21"/>
          <w:szCs w:val="21"/>
          <w:highlight w:val="white"/>
          <w:rtl w:val="0"/>
        </w:rPr>
        <w:tab/>
        <w:t xml:space="preserve">Lower Limit: 64.27</w:t>
      </w:r>
    </w:p>
    <w:p w:rsidR="00000000" w:rsidDel="00000000" w:rsidP="00000000" w:rsidRDefault="00000000" w:rsidRPr="00000000" w14:paraId="00000065">
      <w:pPr>
        <w:rPr>
          <w:b w:val="1"/>
          <w:color w:val="444444"/>
          <w:sz w:val="21"/>
          <w:szCs w:val="21"/>
          <w:highlight w:val="white"/>
        </w:rPr>
      </w:pPr>
      <w:r w:rsidDel="00000000" w:rsidR="00000000" w:rsidRPr="00000000">
        <w:rPr>
          <w:rtl w:val="0"/>
        </w:rPr>
      </w:r>
    </w:p>
    <w:p w:rsidR="00000000" w:rsidDel="00000000" w:rsidP="00000000" w:rsidRDefault="00000000" w:rsidRPr="00000000" w14:paraId="00000066">
      <w:pPr>
        <w:rPr>
          <w:b w:val="1"/>
          <w:color w:val="444444"/>
          <w:sz w:val="21"/>
          <w:szCs w:val="21"/>
          <w:highlight w:val="white"/>
        </w:rPr>
      </w:pPr>
      <w:r w:rsidDel="00000000" w:rsidR="00000000" w:rsidRPr="00000000">
        <w:rPr>
          <w:b w:val="1"/>
          <w:color w:val="444444"/>
          <w:sz w:val="21"/>
          <w:szCs w:val="21"/>
          <w:highlight w:val="white"/>
          <w:rtl w:val="0"/>
        </w:rPr>
        <w:t xml:space="preserve">One sample T confidence interval:</w:t>
      </w:r>
    </w:p>
    <w:p w:rsidR="00000000" w:rsidDel="00000000" w:rsidP="00000000" w:rsidRDefault="00000000" w:rsidRPr="00000000" w14:paraId="00000067">
      <w:pPr>
        <w:ind w:firstLine="720"/>
        <w:rPr>
          <w:b w:val="1"/>
          <w:color w:val="444444"/>
          <w:sz w:val="21"/>
          <w:szCs w:val="21"/>
          <w:highlight w:val="white"/>
        </w:rPr>
      </w:pPr>
      <w:r w:rsidDel="00000000" w:rsidR="00000000" w:rsidRPr="00000000">
        <w:rPr>
          <w:b w:val="1"/>
          <w:color w:val="444444"/>
          <w:sz w:val="21"/>
          <w:szCs w:val="21"/>
          <w:highlight w:val="white"/>
          <w:rtl w:val="0"/>
        </w:rPr>
        <w:t xml:space="preserve">Upper Limit: 66.56</w:t>
      </w:r>
    </w:p>
    <w:p w:rsidR="00000000" w:rsidDel="00000000" w:rsidP="00000000" w:rsidRDefault="00000000" w:rsidRPr="00000000" w14:paraId="00000068">
      <w:pPr>
        <w:rPr>
          <w:b w:val="1"/>
          <w:color w:val="444444"/>
          <w:sz w:val="21"/>
          <w:szCs w:val="21"/>
          <w:highlight w:val="white"/>
        </w:rPr>
      </w:pPr>
      <w:r w:rsidDel="00000000" w:rsidR="00000000" w:rsidRPr="00000000">
        <w:rPr>
          <w:b w:val="1"/>
          <w:color w:val="444444"/>
          <w:sz w:val="21"/>
          <w:szCs w:val="21"/>
          <w:highlight w:val="white"/>
          <w:rtl w:val="0"/>
        </w:rPr>
        <w:tab/>
        <w:t xml:space="preserve">Lower Limit: 64.24</w:t>
      </w:r>
    </w:p>
    <w:p w:rsidR="00000000" w:rsidDel="00000000" w:rsidP="00000000" w:rsidRDefault="00000000" w:rsidRPr="00000000" w14:paraId="00000069">
      <w:pPr>
        <w:rPr>
          <w:b w:val="1"/>
          <w:color w:val="444444"/>
          <w:sz w:val="21"/>
          <w:szCs w:val="21"/>
          <w:highlight w:val="white"/>
        </w:rPr>
      </w:pPr>
      <w:r w:rsidDel="00000000" w:rsidR="00000000" w:rsidRPr="00000000">
        <w:rPr>
          <w:rtl w:val="0"/>
        </w:rPr>
      </w:r>
    </w:p>
    <w:p w:rsidR="00000000" w:rsidDel="00000000" w:rsidP="00000000" w:rsidRDefault="00000000" w:rsidRPr="00000000" w14:paraId="0000006A">
      <w:pPr>
        <w:rPr>
          <w:color w:val="444444"/>
          <w:sz w:val="21"/>
          <w:szCs w:val="21"/>
          <w:highlight w:val="white"/>
        </w:rPr>
      </w:pPr>
      <w:r w:rsidDel="00000000" w:rsidR="00000000" w:rsidRPr="00000000">
        <w:rPr>
          <w:color w:val="444444"/>
          <w:sz w:val="21"/>
          <w:szCs w:val="21"/>
          <w:highlight w:val="white"/>
          <w:rtl w:val="0"/>
        </w:rPr>
        <w:t xml:space="preserve">The mean given before is between the confidence interval, so we are 95% confident that the mean is between the lower and upper limits. This supports what we were told about the mean. </w:t>
      </w:r>
    </w:p>
    <w:p w:rsidR="00000000" w:rsidDel="00000000" w:rsidP="00000000" w:rsidRDefault="00000000" w:rsidRPr="00000000" w14:paraId="0000006B">
      <w:pPr>
        <w:rPr>
          <w:color w:val="444444"/>
          <w:sz w:val="21"/>
          <w:szCs w:val="21"/>
          <w:highlight w:val="white"/>
        </w:rPr>
      </w:pPr>
      <w:r w:rsidDel="00000000" w:rsidR="00000000" w:rsidRPr="00000000">
        <w:rPr>
          <w:rtl w:val="0"/>
        </w:rPr>
      </w:r>
    </w:p>
    <w:p w:rsidR="00000000" w:rsidDel="00000000" w:rsidP="00000000" w:rsidRDefault="00000000" w:rsidRPr="00000000" w14:paraId="0000006C">
      <w:pPr>
        <w:jc w:val="center"/>
        <w:rPr>
          <w:b w:val="1"/>
          <w:color w:val="444444"/>
          <w:sz w:val="21"/>
          <w:szCs w:val="21"/>
          <w:highlight w:val="white"/>
          <w:u w:val="single"/>
        </w:rPr>
      </w:pPr>
      <w:r w:rsidDel="00000000" w:rsidR="00000000" w:rsidRPr="00000000">
        <w:rPr>
          <w:b w:val="1"/>
          <w:color w:val="444444"/>
          <w:sz w:val="21"/>
          <w:szCs w:val="21"/>
          <w:highlight w:val="white"/>
          <w:u w:val="single"/>
          <w:rtl w:val="0"/>
        </w:rPr>
        <w:t xml:space="preserve">Female Volleyball Players</w:t>
      </w:r>
    </w:p>
    <w:p w:rsidR="00000000" w:rsidDel="00000000" w:rsidP="00000000" w:rsidRDefault="00000000" w:rsidRPr="00000000" w14:paraId="0000006D">
      <w:pPr>
        <w:jc w:val="center"/>
        <w:rPr>
          <w:b w:val="1"/>
          <w:color w:val="444444"/>
          <w:sz w:val="21"/>
          <w:szCs w:val="21"/>
          <w:highlight w:val="white"/>
          <w:u w:val="single"/>
        </w:rPr>
      </w:pPr>
      <w:r w:rsidDel="00000000" w:rsidR="00000000" w:rsidRPr="00000000">
        <w:rPr>
          <w:rtl w:val="0"/>
        </w:rPr>
      </w:r>
    </w:p>
    <w:p w:rsidR="00000000" w:rsidDel="00000000" w:rsidP="00000000" w:rsidRDefault="00000000" w:rsidRPr="00000000" w14:paraId="0000006E">
      <w:pPr>
        <w:jc w:val="left"/>
        <w:rPr>
          <w:color w:val="444444"/>
          <w:sz w:val="21"/>
          <w:szCs w:val="21"/>
          <w:highlight w:val="white"/>
        </w:rPr>
      </w:pPr>
      <w:r w:rsidDel="00000000" w:rsidR="00000000" w:rsidRPr="00000000">
        <w:rPr>
          <w:color w:val="444444"/>
          <w:sz w:val="21"/>
          <w:szCs w:val="21"/>
          <w:highlight w:val="white"/>
          <w:rtl w:val="0"/>
        </w:rPr>
        <w:t xml:space="preserve">The average height for female volleyball players (67 inches) is outside the 95% confidence interval, meaning female volleyball players are unusually tall.</w:t>
      </w:r>
    </w:p>
    <w:p w:rsidR="00000000" w:rsidDel="00000000" w:rsidP="00000000" w:rsidRDefault="00000000" w:rsidRPr="00000000" w14:paraId="0000006F">
      <w:pPr>
        <w:jc w:val="center"/>
        <w:rPr>
          <w:b w:val="1"/>
          <w:color w:val="444444"/>
          <w:sz w:val="21"/>
          <w:szCs w:val="21"/>
          <w:highlight w:val="white"/>
          <w:u w:val="single"/>
        </w:rPr>
      </w:pPr>
      <w:r w:rsidDel="00000000" w:rsidR="00000000" w:rsidRPr="00000000">
        <w:rPr>
          <w:b w:val="1"/>
          <w:color w:val="444444"/>
          <w:sz w:val="21"/>
          <w:szCs w:val="21"/>
          <w:highlight w:val="white"/>
          <w:u w:val="single"/>
          <w:rtl w:val="0"/>
        </w:rPr>
        <w:t xml:space="preserve">Female Soccer Players</w:t>
      </w:r>
    </w:p>
    <w:p w:rsidR="00000000" w:rsidDel="00000000" w:rsidP="00000000" w:rsidRDefault="00000000" w:rsidRPr="00000000" w14:paraId="00000070">
      <w:pPr>
        <w:jc w:val="center"/>
        <w:rPr>
          <w:b w:val="1"/>
          <w:color w:val="444444"/>
          <w:sz w:val="21"/>
          <w:szCs w:val="21"/>
          <w:highlight w:val="white"/>
          <w:u w:val="single"/>
        </w:rPr>
      </w:pPr>
      <w:r w:rsidDel="00000000" w:rsidR="00000000" w:rsidRPr="00000000">
        <w:rPr>
          <w:rtl w:val="0"/>
        </w:rPr>
      </w:r>
    </w:p>
    <w:p w:rsidR="00000000" w:rsidDel="00000000" w:rsidP="00000000" w:rsidRDefault="00000000" w:rsidRPr="00000000" w14:paraId="00000071">
      <w:pPr>
        <w:rPr>
          <w:color w:val="444444"/>
          <w:sz w:val="21"/>
          <w:szCs w:val="21"/>
          <w:highlight w:val="white"/>
        </w:rPr>
      </w:pPr>
      <w:r w:rsidDel="00000000" w:rsidR="00000000" w:rsidRPr="00000000">
        <w:rPr>
          <w:color w:val="444444"/>
          <w:sz w:val="21"/>
          <w:szCs w:val="21"/>
          <w:highlight w:val="white"/>
          <w:rtl w:val="0"/>
        </w:rPr>
        <w:t xml:space="preserve">Our null hypothesis is that women are typically not significantly taller than the average female soccer player. Our test hypothesis is that women are typically significantly taller than the average woman. </w:t>
      </w:r>
    </w:p>
    <w:p w:rsidR="00000000" w:rsidDel="00000000" w:rsidP="00000000" w:rsidRDefault="00000000" w:rsidRPr="00000000" w14:paraId="00000072">
      <w:pPr>
        <w:rPr>
          <w:color w:val="444444"/>
          <w:sz w:val="21"/>
          <w:szCs w:val="21"/>
          <w:highlight w:val="white"/>
        </w:rPr>
      </w:pPr>
      <w:r w:rsidDel="00000000" w:rsidR="00000000" w:rsidRPr="00000000">
        <w:rPr>
          <w:rtl w:val="0"/>
        </w:rPr>
      </w:r>
    </w:p>
    <w:p w:rsidR="00000000" w:rsidDel="00000000" w:rsidP="00000000" w:rsidRDefault="00000000" w:rsidRPr="00000000" w14:paraId="00000073">
      <w:pPr>
        <w:rPr>
          <w:b w:val="1"/>
          <w:color w:val="444444"/>
          <w:sz w:val="21"/>
          <w:szCs w:val="21"/>
          <w:highlight w:val="white"/>
        </w:rPr>
      </w:pPr>
      <w:r w:rsidDel="00000000" w:rsidR="00000000" w:rsidRPr="00000000">
        <w:rPr>
          <w:b w:val="1"/>
          <w:color w:val="444444"/>
          <w:sz w:val="21"/>
          <w:szCs w:val="21"/>
          <w:highlight w:val="white"/>
          <w:rtl w:val="0"/>
        </w:rPr>
        <w:t xml:space="preserve">Results:</w:t>
      </w:r>
    </w:p>
    <w:p w:rsidR="00000000" w:rsidDel="00000000" w:rsidP="00000000" w:rsidRDefault="00000000" w:rsidRPr="00000000" w14:paraId="00000074">
      <w:pPr>
        <w:rPr>
          <w:b w:val="1"/>
          <w:color w:val="444444"/>
          <w:sz w:val="21"/>
          <w:szCs w:val="21"/>
          <w:highlight w:val="white"/>
        </w:rPr>
      </w:pPr>
      <w:r w:rsidDel="00000000" w:rsidR="00000000" w:rsidRPr="00000000">
        <w:rPr>
          <w:b w:val="1"/>
          <w:color w:val="444444"/>
          <w:sz w:val="21"/>
          <w:szCs w:val="21"/>
          <w:highlight w:val="white"/>
          <w:rtl w:val="0"/>
        </w:rPr>
        <w:tab/>
        <w:t xml:space="preserve">T-Stat: 2.99</w:t>
      </w:r>
    </w:p>
    <w:p w:rsidR="00000000" w:rsidDel="00000000" w:rsidP="00000000" w:rsidRDefault="00000000" w:rsidRPr="00000000" w14:paraId="00000075">
      <w:pPr>
        <w:rPr>
          <w:b w:val="1"/>
          <w:color w:val="444444"/>
          <w:sz w:val="21"/>
          <w:szCs w:val="21"/>
          <w:highlight w:val="white"/>
        </w:rPr>
      </w:pPr>
      <w:r w:rsidDel="00000000" w:rsidR="00000000" w:rsidRPr="00000000">
        <w:rPr>
          <w:b w:val="1"/>
          <w:color w:val="444444"/>
          <w:sz w:val="21"/>
          <w:szCs w:val="21"/>
          <w:highlight w:val="white"/>
          <w:rtl w:val="0"/>
        </w:rPr>
        <w:tab/>
        <w:t xml:space="preserve">P-Value: .0028</w:t>
      </w:r>
    </w:p>
    <w:p w:rsidR="00000000" w:rsidDel="00000000" w:rsidP="00000000" w:rsidRDefault="00000000" w:rsidRPr="00000000" w14:paraId="00000076">
      <w:pPr>
        <w:rPr>
          <w:color w:val="444444"/>
          <w:sz w:val="21"/>
          <w:szCs w:val="21"/>
          <w:highlight w:val="white"/>
        </w:rPr>
      </w:pPr>
      <w:r w:rsidDel="00000000" w:rsidR="00000000" w:rsidRPr="00000000">
        <w:rPr>
          <w:color w:val="444444"/>
          <w:sz w:val="21"/>
          <w:szCs w:val="21"/>
          <w:highlight w:val="white"/>
          <w:rtl w:val="0"/>
        </w:rPr>
        <w:t xml:space="preserve">The t-stat suggests that the average woman is nearly 3 standard deviations taller than the average female soccer player. The P-value is below the significance value (0.05), meaning we reject the null hypothesis as there is sufficient evidence that the average woman is significantly taller than the average female soccer player. </w:t>
      </w:r>
    </w:p>
    <w:p w:rsidR="00000000" w:rsidDel="00000000" w:rsidP="00000000" w:rsidRDefault="00000000" w:rsidRPr="00000000" w14:paraId="00000077">
      <w:pPr>
        <w:rPr>
          <w:b w:val="1"/>
          <w:color w:val="444444"/>
          <w:sz w:val="21"/>
          <w:szCs w:val="21"/>
          <w:highlight w:val="white"/>
        </w:rPr>
      </w:pPr>
      <w:r w:rsidDel="00000000" w:rsidR="00000000" w:rsidRPr="00000000">
        <w:rPr>
          <w:rtl w:val="0"/>
        </w:rPr>
      </w:r>
    </w:p>
    <w:p w:rsidR="00000000" w:rsidDel="00000000" w:rsidP="00000000" w:rsidRDefault="00000000" w:rsidRPr="00000000" w14:paraId="00000078">
      <w:pPr>
        <w:rPr>
          <w:b w:val="1"/>
          <w:color w:val="444444"/>
          <w:sz w:val="21"/>
          <w:szCs w:val="21"/>
          <w:highlight w:val="white"/>
        </w:rPr>
      </w:pPr>
      <w:r w:rsidDel="00000000" w:rsidR="00000000" w:rsidRPr="00000000">
        <w:rPr>
          <w:b w:val="1"/>
          <w:color w:val="444444"/>
          <w:sz w:val="21"/>
          <w:szCs w:val="21"/>
          <w:highlight w:val="white"/>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