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5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566"/>
        <w:gridCol w:w="1338"/>
        <w:gridCol w:w="1455"/>
        <w:gridCol w:w="2819"/>
        <w:gridCol w:w="2149"/>
        <w:gridCol w:w="936"/>
      </w:tblGrid>
      <w:tr w14:paraId="12BD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vAlign w:val="center"/>
          </w:tcPr>
          <w:p w14:paraId="798B72A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用例编号</w:t>
            </w:r>
          </w:p>
        </w:tc>
        <w:tc>
          <w:tcPr>
            <w:tcW w:w="566" w:type="dxa"/>
            <w:vAlign w:val="center"/>
          </w:tcPr>
          <w:p w14:paraId="7706FE9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测试模块</w:t>
            </w:r>
          </w:p>
        </w:tc>
        <w:tc>
          <w:tcPr>
            <w:tcW w:w="1338" w:type="dxa"/>
            <w:vAlign w:val="center"/>
          </w:tcPr>
          <w:p w14:paraId="0887477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测试目标</w:t>
            </w:r>
          </w:p>
        </w:tc>
        <w:tc>
          <w:tcPr>
            <w:tcW w:w="1455" w:type="dxa"/>
            <w:vAlign w:val="center"/>
          </w:tcPr>
          <w:p w14:paraId="3749E05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前置条件</w:t>
            </w:r>
          </w:p>
        </w:tc>
        <w:tc>
          <w:tcPr>
            <w:tcW w:w="2819" w:type="dxa"/>
            <w:vAlign w:val="center"/>
          </w:tcPr>
          <w:p w14:paraId="2BE7927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测试步骤</w:t>
            </w:r>
          </w:p>
        </w:tc>
        <w:tc>
          <w:tcPr>
            <w:tcW w:w="2149" w:type="dxa"/>
            <w:vAlign w:val="center"/>
          </w:tcPr>
          <w:p w14:paraId="3FFD8F2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预期结果</w:t>
            </w:r>
          </w:p>
        </w:tc>
        <w:tc>
          <w:tcPr>
            <w:tcW w:w="936" w:type="dxa"/>
            <w:vAlign w:val="center"/>
          </w:tcPr>
          <w:p w14:paraId="0D6BA47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</w:rPr>
            </w:pPr>
            <w:r>
              <w:rPr>
                <w:rFonts w:hint="eastAsia" w:ascii="Calibri" w:eastAsia="宋体"/>
                <w:b/>
                <w:sz w:val="24"/>
                <w:szCs w:val="24"/>
              </w:rPr>
              <w:t>测试结果</w:t>
            </w:r>
          </w:p>
        </w:tc>
      </w:tr>
      <w:tr w14:paraId="4422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2472B84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TC-01 </w:t>
            </w:r>
          </w:p>
        </w:tc>
        <w:tc>
          <w:tcPr>
            <w:tcW w:w="566" w:type="dxa"/>
            <w:vAlign w:val="center"/>
          </w:tcPr>
          <w:p w14:paraId="6BF34CD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系统访问 </w:t>
            </w:r>
          </w:p>
        </w:tc>
        <w:tc>
          <w:tcPr>
            <w:tcW w:w="1338" w:type="dxa"/>
            <w:vAlign w:val="center"/>
          </w:tcPr>
          <w:p w14:paraId="0C2D97D1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验证平台首页能够正常打开 </w:t>
            </w:r>
          </w:p>
        </w:tc>
        <w:tc>
          <w:tcPr>
            <w:tcW w:w="1455" w:type="dxa"/>
            <w:vAlign w:val="center"/>
          </w:tcPr>
          <w:p w14:paraId="43A3D2D0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服务已启动 </w:t>
            </w:r>
          </w:p>
        </w:tc>
        <w:tc>
          <w:tcPr>
            <w:tcW w:w="2819" w:type="dxa"/>
            <w:vAlign w:val="center"/>
          </w:tcPr>
          <w:p w14:paraId="3DE8399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在浏览器访问系统地址 </w:t>
            </w:r>
          </w:p>
        </w:tc>
        <w:tc>
          <w:tcPr>
            <w:tcW w:w="2149" w:type="dxa"/>
            <w:vAlign w:val="center"/>
          </w:tcPr>
          <w:p w14:paraId="3C763FD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页面正常加载，导航和主要功能入口可见 </w:t>
            </w:r>
          </w:p>
        </w:tc>
        <w:tc>
          <w:tcPr>
            <w:tcW w:w="936" w:type="dxa"/>
            <w:vAlign w:val="center"/>
          </w:tcPr>
          <w:p w14:paraId="3085C72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213E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2F66D46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TC-02 </w:t>
            </w:r>
          </w:p>
        </w:tc>
        <w:tc>
          <w:tcPr>
            <w:tcW w:w="566" w:type="dxa"/>
            <w:vAlign w:val="center"/>
          </w:tcPr>
          <w:p w14:paraId="26EB8D5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用户登录 </w:t>
            </w:r>
          </w:p>
        </w:tc>
        <w:tc>
          <w:tcPr>
            <w:tcW w:w="1338" w:type="dxa"/>
            <w:vAlign w:val="center"/>
          </w:tcPr>
          <w:p w14:paraId="321196C7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验证用户可登录系统 </w:t>
            </w:r>
          </w:p>
        </w:tc>
        <w:tc>
          <w:tcPr>
            <w:tcW w:w="1455" w:type="dxa"/>
            <w:vAlign w:val="center"/>
          </w:tcPr>
          <w:p w14:paraId="5DC401C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用户账号已存在 </w:t>
            </w:r>
          </w:p>
        </w:tc>
        <w:tc>
          <w:tcPr>
            <w:tcW w:w="2819" w:type="dxa"/>
            <w:vAlign w:val="center"/>
          </w:tcPr>
          <w:p w14:paraId="1B417650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输入用户名和密码，点击登录 </w:t>
            </w:r>
          </w:p>
        </w:tc>
        <w:tc>
          <w:tcPr>
            <w:tcW w:w="2149" w:type="dxa"/>
            <w:vAlign w:val="center"/>
          </w:tcPr>
          <w:p w14:paraId="46FED62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登录成功并进入系统功能页面 </w:t>
            </w:r>
          </w:p>
        </w:tc>
        <w:tc>
          <w:tcPr>
            <w:tcW w:w="936" w:type="dxa"/>
            <w:vAlign w:val="center"/>
          </w:tcPr>
          <w:p w14:paraId="3DB7C0D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23CF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F61524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TC-03 </w:t>
            </w:r>
          </w:p>
        </w:tc>
        <w:tc>
          <w:tcPr>
            <w:tcW w:w="566" w:type="dxa"/>
            <w:vAlign w:val="center"/>
          </w:tcPr>
          <w:p w14:paraId="7D429ED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用户登录 </w:t>
            </w:r>
          </w:p>
        </w:tc>
        <w:tc>
          <w:tcPr>
            <w:tcW w:w="1338" w:type="dxa"/>
            <w:vAlign w:val="center"/>
          </w:tcPr>
          <w:p w14:paraId="52CD899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验证错误密码提示 </w:t>
            </w:r>
          </w:p>
        </w:tc>
        <w:tc>
          <w:tcPr>
            <w:tcW w:w="1455" w:type="dxa"/>
            <w:vAlign w:val="center"/>
          </w:tcPr>
          <w:p w14:paraId="1EF55EB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用户账号已存在 </w:t>
            </w:r>
          </w:p>
        </w:tc>
        <w:tc>
          <w:tcPr>
            <w:tcW w:w="2819" w:type="dxa"/>
            <w:vAlign w:val="center"/>
          </w:tcPr>
          <w:p w14:paraId="6A944699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输入错误密码后提交 </w:t>
            </w:r>
          </w:p>
        </w:tc>
        <w:tc>
          <w:tcPr>
            <w:tcW w:w="2149" w:type="dxa"/>
            <w:vAlign w:val="center"/>
          </w:tcPr>
          <w:p w14:paraId="78AD45B5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系统提示登录失败，不进入用户页面 </w:t>
            </w:r>
          </w:p>
        </w:tc>
        <w:tc>
          <w:tcPr>
            <w:tcW w:w="936" w:type="dxa"/>
            <w:vAlign w:val="center"/>
          </w:tcPr>
          <w:p w14:paraId="0298CB7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07E3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33CA317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TC-04 </w:t>
            </w:r>
          </w:p>
        </w:tc>
        <w:tc>
          <w:tcPr>
            <w:tcW w:w="566" w:type="dxa"/>
            <w:vAlign w:val="center"/>
          </w:tcPr>
          <w:p w14:paraId="060B2CF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DTI 推荐 </w:t>
            </w:r>
          </w:p>
        </w:tc>
        <w:tc>
          <w:tcPr>
            <w:tcW w:w="1338" w:type="dxa"/>
            <w:vAlign w:val="center"/>
          </w:tcPr>
          <w:p w14:paraId="7CDB5B71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验证基础 DTI 推荐流程 </w:t>
            </w:r>
          </w:p>
        </w:tc>
        <w:tc>
          <w:tcPr>
            <w:tcW w:w="1455" w:type="dxa"/>
            <w:vAlign w:val="center"/>
          </w:tcPr>
          <w:p w14:paraId="212DB51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后端与模型服务可用 </w:t>
            </w:r>
          </w:p>
        </w:tc>
        <w:tc>
          <w:tcPr>
            <w:tcW w:w="2819" w:type="dxa"/>
            <w:vAlign w:val="center"/>
          </w:tcPr>
          <w:p w14:paraId="344CD77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 PDB ID、PubChem CID 后提交 </w:t>
            </w:r>
          </w:p>
        </w:tc>
        <w:tc>
          <w:tcPr>
            <w:tcW w:w="2149" w:type="dxa"/>
            <w:vAlign w:val="center"/>
          </w:tcPr>
          <w:p w14:paraId="5A8D6D09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返回药物信息、蛋白信息和相互作用概率 </w:t>
            </w:r>
          </w:p>
        </w:tc>
        <w:tc>
          <w:tcPr>
            <w:tcW w:w="936" w:type="dxa"/>
            <w:vAlign w:val="center"/>
          </w:tcPr>
          <w:p w14:paraId="66B462E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4278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0244A90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TC-05 </w:t>
            </w:r>
          </w:p>
        </w:tc>
        <w:tc>
          <w:tcPr>
            <w:tcW w:w="566" w:type="dxa"/>
            <w:vAlign w:val="center"/>
          </w:tcPr>
          <w:p w14:paraId="34BCEE3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DTI 推荐 </w:t>
            </w:r>
          </w:p>
        </w:tc>
        <w:tc>
          <w:tcPr>
            <w:tcW w:w="1338" w:type="dxa"/>
            <w:vAlign w:val="center"/>
          </w:tcPr>
          <w:p w14:paraId="381E8349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验证缺少 PDB ID 的异常处理 </w:t>
            </w:r>
          </w:p>
        </w:tc>
        <w:tc>
          <w:tcPr>
            <w:tcW w:w="1455" w:type="dxa"/>
            <w:vAlign w:val="center"/>
          </w:tcPr>
          <w:p w14:paraId="21A17CA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页面已打开 </w:t>
            </w:r>
          </w:p>
        </w:tc>
        <w:tc>
          <w:tcPr>
            <w:tcW w:w="2819" w:type="dxa"/>
            <w:vAlign w:val="center"/>
          </w:tcPr>
          <w:p w14:paraId="086F1E01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只输入 CID，不输入 PDB ID 后提交 </w:t>
            </w:r>
          </w:p>
        </w:tc>
        <w:tc>
          <w:tcPr>
            <w:tcW w:w="2149" w:type="dxa"/>
            <w:vAlign w:val="center"/>
          </w:tcPr>
          <w:p w14:paraId="0791F491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系统提示 PDB IDs and CIDs are required </w:t>
            </w:r>
          </w:p>
        </w:tc>
        <w:tc>
          <w:tcPr>
            <w:tcW w:w="936" w:type="dxa"/>
            <w:vAlign w:val="center"/>
          </w:tcPr>
          <w:p w14:paraId="19A842C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23A7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7096C1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TC-06 </w:t>
            </w:r>
          </w:p>
        </w:tc>
        <w:tc>
          <w:tcPr>
            <w:tcW w:w="566" w:type="dxa"/>
            <w:vAlign w:val="center"/>
          </w:tcPr>
          <w:p w14:paraId="3A8A7C8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个性化推荐 </w:t>
            </w:r>
          </w:p>
        </w:tc>
        <w:tc>
          <w:tcPr>
            <w:tcW w:w="1338" w:type="dxa"/>
            <w:vAlign w:val="center"/>
          </w:tcPr>
          <w:p w14:paraId="0F472FE6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验证患者画像参与重排序 </w:t>
            </w:r>
          </w:p>
        </w:tc>
        <w:tc>
          <w:tcPr>
            <w:tcW w:w="1455" w:type="dxa"/>
            <w:vAlign w:val="center"/>
          </w:tcPr>
          <w:p w14:paraId="658350EF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页面已打开 </w:t>
            </w:r>
          </w:p>
        </w:tc>
        <w:tc>
          <w:tcPr>
            <w:tcW w:w="2819" w:type="dxa"/>
            <w:vAlign w:val="center"/>
          </w:tcPr>
          <w:p w14:paraId="6B5B9B2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输入年龄、性别、疾病史、过敏史和医保偏好后提交 </w:t>
            </w:r>
          </w:p>
        </w:tc>
        <w:tc>
          <w:tcPr>
            <w:tcW w:w="2149" w:type="dxa"/>
            <w:vAlign w:val="center"/>
          </w:tcPr>
          <w:p w14:paraId="15CF99D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 ranked_results，并显示个性化推荐排序 </w:t>
            </w:r>
          </w:p>
        </w:tc>
        <w:tc>
          <w:tcPr>
            <w:tcW w:w="936" w:type="dxa"/>
            <w:vAlign w:val="center"/>
          </w:tcPr>
          <w:p w14:paraId="38BE804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6999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36B7B15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TC-07 </w:t>
            </w:r>
          </w:p>
        </w:tc>
        <w:tc>
          <w:tcPr>
            <w:tcW w:w="566" w:type="dxa"/>
            <w:vAlign w:val="center"/>
          </w:tcPr>
          <w:p w14:paraId="3EF5F24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个性化推荐 </w:t>
            </w:r>
          </w:p>
        </w:tc>
        <w:tc>
          <w:tcPr>
            <w:tcW w:w="1338" w:type="dxa"/>
            <w:vAlign w:val="center"/>
          </w:tcPr>
          <w:p w14:paraId="023CDA30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验证无个性化信息时的兼容性 </w:t>
            </w:r>
          </w:p>
        </w:tc>
        <w:tc>
          <w:tcPr>
            <w:tcW w:w="1455" w:type="dxa"/>
            <w:vAlign w:val="center"/>
          </w:tcPr>
          <w:p w14:paraId="5A44ED7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页面已打开 </w:t>
            </w:r>
          </w:p>
        </w:tc>
        <w:tc>
          <w:tcPr>
            <w:tcW w:w="2819" w:type="dxa"/>
            <w:vAlign w:val="center"/>
          </w:tcPr>
          <w:p w14:paraId="5611B23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只输入药物和蛋白信息，不输入患者画像 </w:t>
            </w:r>
          </w:p>
        </w:tc>
        <w:tc>
          <w:tcPr>
            <w:tcW w:w="2149" w:type="dxa"/>
            <w:vAlign w:val="center"/>
          </w:tcPr>
          <w:p w14:paraId="4B10E25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返回基础预测结果，个性化排序不强制执行 </w:t>
            </w:r>
          </w:p>
        </w:tc>
        <w:tc>
          <w:tcPr>
            <w:tcW w:w="936" w:type="dxa"/>
            <w:vAlign w:val="center"/>
          </w:tcPr>
          <w:p w14:paraId="0F4BEBF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1DE8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6B4391E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TC-08 </w:t>
            </w:r>
          </w:p>
        </w:tc>
        <w:tc>
          <w:tcPr>
            <w:tcW w:w="566" w:type="dxa"/>
            <w:vAlign w:val="center"/>
          </w:tcPr>
          <w:p w14:paraId="731187F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多场景预测 </w:t>
            </w:r>
          </w:p>
        </w:tc>
        <w:tc>
          <w:tcPr>
            <w:tcW w:w="1338" w:type="dxa"/>
            <w:vAlign w:val="center"/>
          </w:tcPr>
          <w:p w14:paraId="5B77575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验证药物重定位任务 </w:t>
            </w:r>
          </w:p>
        </w:tc>
        <w:tc>
          <w:tcPr>
            <w:tcW w:w="1455" w:type="dxa"/>
            <w:vAlign w:val="center"/>
          </w:tcPr>
          <w:p w14:paraId="10C6A3F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服务已启动 </w:t>
            </w:r>
          </w:p>
        </w:tc>
        <w:tc>
          <w:tcPr>
            <w:tcW w:w="2819" w:type="dxa"/>
            <w:vAlign w:val="center"/>
          </w:tcPr>
          <w:p w14:paraId="7772A3C3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选择 drug_repositioning，输入药物和蛋白数据 </w:t>
            </w:r>
          </w:p>
        </w:tc>
        <w:tc>
          <w:tcPr>
            <w:tcW w:w="2149" w:type="dxa"/>
            <w:vAlign w:val="center"/>
          </w:tcPr>
          <w:p w14:paraId="7FBBFA9F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调用 HyperAttentionDTI human checkpoint 或返回演示结果 </w:t>
            </w:r>
          </w:p>
        </w:tc>
        <w:tc>
          <w:tcPr>
            <w:tcW w:w="936" w:type="dxa"/>
            <w:vAlign w:val="center"/>
          </w:tcPr>
          <w:p w14:paraId="41A8DFE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3ED4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FFB4FF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TC-09 </w:t>
            </w:r>
          </w:p>
        </w:tc>
        <w:tc>
          <w:tcPr>
            <w:tcW w:w="566" w:type="dxa"/>
            <w:vAlign w:val="center"/>
          </w:tcPr>
          <w:p w14:paraId="5E0F35B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多场景预测 </w:t>
            </w:r>
          </w:p>
        </w:tc>
        <w:tc>
          <w:tcPr>
            <w:tcW w:w="1338" w:type="dxa"/>
            <w:vAlign w:val="center"/>
          </w:tcPr>
          <w:p w14:paraId="29B8CFB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验证新靶点筛选任务 </w:t>
            </w:r>
          </w:p>
        </w:tc>
        <w:tc>
          <w:tcPr>
            <w:tcW w:w="1455" w:type="dxa"/>
            <w:vAlign w:val="center"/>
          </w:tcPr>
          <w:p w14:paraId="35A76BF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服务已启动 </w:t>
            </w:r>
          </w:p>
        </w:tc>
        <w:tc>
          <w:tcPr>
            <w:tcW w:w="2819" w:type="dxa"/>
            <w:vAlign w:val="center"/>
          </w:tcPr>
          <w:p w14:paraId="1316766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选择 novel_target_screening，输入药物和蛋白数据 </w:t>
            </w:r>
          </w:p>
        </w:tc>
        <w:tc>
          <w:tcPr>
            <w:tcW w:w="2149" w:type="dxa"/>
            <w:vAlign w:val="center"/>
          </w:tcPr>
          <w:p w14:paraId="7F71CC4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调用 HyperAttentionDTI GPCR checkpoint 或返回演示结果 </w:t>
            </w:r>
          </w:p>
        </w:tc>
        <w:tc>
          <w:tcPr>
            <w:tcW w:w="936" w:type="dxa"/>
            <w:vAlign w:val="center"/>
          </w:tcPr>
          <w:p w14:paraId="1C219F4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47F9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70599F8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TC-10 </w:t>
            </w:r>
          </w:p>
        </w:tc>
        <w:tc>
          <w:tcPr>
            <w:tcW w:w="566" w:type="dxa"/>
            <w:vAlign w:val="center"/>
          </w:tcPr>
          <w:p w14:paraId="4686A5C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多场景预测 </w:t>
            </w:r>
          </w:p>
        </w:tc>
        <w:tc>
          <w:tcPr>
            <w:tcW w:w="1338" w:type="dxa"/>
            <w:vAlign w:val="center"/>
          </w:tcPr>
          <w:p w14:paraId="74C4292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验证新药评价任务 </w:t>
            </w:r>
          </w:p>
        </w:tc>
        <w:tc>
          <w:tcPr>
            <w:tcW w:w="1455" w:type="dxa"/>
            <w:vAlign w:val="center"/>
          </w:tcPr>
          <w:p w14:paraId="44E6EF0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服务已启动 </w:t>
            </w:r>
          </w:p>
        </w:tc>
        <w:tc>
          <w:tcPr>
            <w:tcW w:w="2819" w:type="dxa"/>
            <w:vAlign w:val="center"/>
          </w:tcPr>
          <w:p w14:paraId="139CE42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选择 new_drug_evaluation，输入药物和蛋白数据 </w:t>
            </w:r>
          </w:p>
        </w:tc>
        <w:tc>
          <w:tcPr>
            <w:tcW w:w="2149" w:type="dxa"/>
            <w:vAlign w:val="center"/>
          </w:tcPr>
          <w:p w14:paraId="07A0DF00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调用 PSICHIC，并返回统一结果结构 </w:t>
            </w:r>
          </w:p>
        </w:tc>
        <w:tc>
          <w:tcPr>
            <w:tcW w:w="936" w:type="dxa"/>
            <w:vAlign w:val="center"/>
          </w:tcPr>
          <w:p w14:paraId="65DA3D7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1326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38BF84B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TC-11 </w:t>
            </w:r>
          </w:p>
        </w:tc>
        <w:tc>
          <w:tcPr>
            <w:tcW w:w="566" w:type="dxa"/>
            <w:vAlign w:val="center"/>
          </w:tcPr>
          <w:p w14:paraId="7F0995E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多场景预测 </w:t>
            </w:r>
          </w:p>
        </w:tc>
        <w:tc>
          <w:tcPr>
            <w:tcW w:w="1338" w:type="dxa"/>
            <w:vAlign w:val="center"/>
          </w:tcPr>
          <w:p w14:paraId="471106F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验证亲和力预测任务 </w:t>
            </w:r>
          </w:p>
        </w:tc>
        <w:tc>
          <w:tcPr>
            <w:tcW w:w="1455" w:type="dxa"/>
            <w:vAlign w:val="center"/>
          </w:tcPr>
          <w:p w14:paraId="3983AFA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服务已启动 </w:t>
            </w:r>
          </w:p>
        </w:tc>
        <w:tc>
          <w:tcPr>
            <w:tcW w:w="2819" w:type="dxa"/>
            <w:vAlign w:val="center"/>
          </w:tcPr>
          <w:p w14:paraId="394E707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选择 affinity_prediction，输入药物和蛋白数据 </w:t>
            </w:r>
          </w:p>
        </w:tc>
        <w:tc>
          <w:tcPr>
            <w:tcW w:w="2149" w:type="dxa"/>
            <w:vAlign w:val="center"/>
          </w:tcPr>
          <w:p w14:paraId="094AD286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调用 DeepDTA，并返回亲和力预测结果 </w:t>
            </w:r>
          </w:p>
        </w:tc>
        <w:tc>
          <w:tcPr>
            <w:tcW w:w="936" w:type="dxa"/>
            <w:vAlign w:val="center"/>
          </w:tcPr>
          <w:p w14:paraId="7B2E2D8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27D2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76DE858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TC-12 </w:t>
            </w:r>
          </w:p>
        </w:tc>
        <w:tc>
          <w:tcPr>
            <w:tcW w:w="566" w:type="dxa"/>
            <w:vAlign w:val="center"/>
          </w:tcPr>
          <w:p w14:paraId="382939D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多场景预测 </w:t>
            </w:r>
          </w:p>
        </w:tc>
        <w:tc>
          <w:tcPr>
            <w:tcW w:w="1338" w:type="dxa"/>
            <w:vAlign w:val="center"/>
          </w:tcPr>
          <w:p w14:paraId="18EE87BF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验证非法任务类型处理 </w:t>
            </w:r>
          </w:p>
        </w:tc>
        <w:tc>
          <w:tcPr>
            <w:tcW w:w="1455" w:type="dxa"/>
            <w:vAlign w:val="center"/>
          </w:tcPr>
          <w:p w14:paraId="109BD86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接口可访问 </w:t>
            </w:r>
          </w:p>
        </w:tc>
        <w:tc>
          <w:tcPr>
            <w:tcW w:w="2819" w:type="dxa"/>
            <w:vAlign w:val="center"/>
          </w:tcPr>
          <w:p w14:paraId="3D911A0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提交不存在的 task_type </w:t>
            </w:r>
          </w:p>
        </w:tc>
        <w:tc>
          <w:tcPr>
            <w:tcW w:w="2149" w:type="dxa"/>
            <w:vAlign w:val="center"/>
          </w:tcPr>
          <w:p w14:paraId="24E1CD4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后端返回 Unsupported task type </w:t>
            </w:r>
          </w:p>
        </w:tc>
        <w:tc>
          <w:tcPr>
            <w:tcW w:w="936" w:type="dxa"/>
            <w:vAlign w:val="center"/>
          </w:tcPr>
          <w:p w14:paraId="70BE268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57B3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237BA25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TC-13 </w:t>
            </w:r>
          </w:p>
        </w:tc>
        <w:tc>
          <w:tcPr>
            <w:tcW w:w="566" w:type="dxa"/>
            <w:vAlign w:val="center"/>
          </w:tcPr>
          <w:p w14:paraId="37092E1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药物查询 </w:t>
            </w:r>
          </w:p>
        </w:tc>
        <w:tc>
          <w:tcPr>
            <w:tcW w:w="1338" w:type="dxa"/>
            <w:vAlign w:val="center"/>
          </w:tcPr>
          <w:p w14:paraId="35423F7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 PubChem CID 查询 </w:t>
            </w:r>
          </w:p>
        </w:tc>
        <w:tc>
          <w:tcPr>
            <w:tcW w:w="1455" w:type="dxa"/>
            <w:vAlign w:val="center"/>
          </w:tcPr>
          <w:p w14:paraId="3BDAE96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网络或本地缓存可用 </w:t>
            </w:r>
          </w:p>
        </w:tc>
        <w:tc>
          <w:tcPr>
            <w:tcW w:w="2819" w:type="dxa"/>
            <w:vAlign w:val="center"/>
          </w:tcPr>
          <w:p w14:paraId="48EF2E2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输入合法 CID 并查询 </w:t>
            </w:r>
          </w:p>
        </w:tc>
        <w:tc>
          <w:tcPr>
            <w:tcW w:w="2149" w:type="dxa"/>
            <w:vAlign w:val="center"/>
          </w:tcPr>
          <w:p w14:paraId="1FE28C96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返回药物名称、SMILES、结构等信息 </w:t>
            </w:r>
          </w:p>
        </w:tc>
        <w:tc>
          <w:tcPr>
            <w:tcW w:w="936" w:type="dxa"/>
            <w:vAlign w:val="center"/>
          </w:tcPr>
          <w:p w14:paraId="3B47ED6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58B8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5174FC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TC-14 </w:t>
            </w:r>
          </w:p>
        </w:tc>
        <w:tc>
          <w:tcPr>
            <w:tcW w:w="566" w:type="dxa"/>
            <w:vAlign w:val="center"/>
          </w:tcPr>
          <w:p w14:paraId="0A36ADC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蛋白查询 </w:t>
            </w:r>
          </w:p>
        </w:tc>
        <w:tc>
          <w:tcPr>
            <w:tcW w:w="1338" w:type="dxa"/>
            <w:vAlign w:val="center"/>
          </w:tcPr>
          <w:p w14:paraId="7CDBCCA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 PDB 或 UniProt 查询 </w:t>
            </w:r>
          </w:p>
        </w:tc>
        <w:tc>
          <w:tcPr>
            <w:tcW w:w="1455" w:type="dxa"/>
            <w:vAlign w:val="center"/>
          </w:tcPr>
          <w:p w14:paraId="314289E6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网络或本地缓存可用 </w:t>
            </w:r>
          </w:p>
        </w:tc>
        <w:tc>
          <w:tcPr>
            <w:tcW w:w="2819" w:type="dxa"/>
            <w:vAlign w:val="center"/>
          </w:tcPr>
          <w:p w14:paraId="3600475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输入合法 PDB ID 或 UniProt ID </w:t>
            </w:r>
          </w:p>
        </w:tc>
        <w:tc>
          <w:tcPr>
            <w:tcW w:w="2149" w:type="dxa"/>
            <w:vAlign w:val="center"/>
          </w:tcPr>
          <w:p w14:paraId="19CAE53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返回蛋白序列、结构信息和来源信息 </w:t>
            </w:r>
          </w:p>
        </w:tc>
        <w:tc>
          <w:tcPr>
            <w:tcW w:w="936" w:type="dxa"/>
            <w:vAlign w:val="center"/>
          </w:tcPr>
          <w:p w14:paraId="4C43386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66CB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7A68584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TC-15 </w:t>
            </w:r>
          </w:p>
        </w:tc>
        <w:tc>
          <w:tcPr>
            <w:tcW w:w="566" w:type="dxa"/>
            <w:vAlign w:val="center"/>
          </w:tcPr>
          <w:p w14:paraId="09FDC86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外部接口异常 </w:t>
            </w:r>
          </w:p>
        </w:tc>
        <w:tc>
          <w:tcPr>
            <w:tcW w:w="1338" w:type="dxa"/>
            <w:vAlign w:val="center"/>
          </w:tcPr>
          <w:p w14:paraId="5309A1E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验证查询降级能力 </w:t>
            </w:r>
          </w:p>
        </w:tc>
        <w:tc>
          <w:tcPr>
            <w:tcW w:w="1455" w:type="dxa"/>
            <w:vAlign w:val="center"/>
          </w:tcPr>
          <w:p w14:paraId="7047BD77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模拟外部接口不可用 </w:t>
            </w:r>
          </w:p>
        </w:tc>
        <w:tc>
          <w:tcPr>
            <w:tcW w:w="2819" w:type="dxa"/>
            <w:vAlign w:val="center"/>
          </w:tcPr>
          <w:p w14:paraId="38CEB61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输入无法在线解析的数据 </w:t>
            </w:r>
          </w:p>
        </w:tc>
        <w:tc>
          <w:tcPr>
            <w:tcW w:w="2149" w:type="dxa"/>
            <w:vAlign w:val="center"/>
          </w:tcPr>
          <w:p w14:paraId="098FAEB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系统返回降级结果或明确提示，不出现页面崩溃 </w:t>
            </w:r>
          </w:p>
        </w:tc>
        <w:tc>
          <w:tcPr>
            <w:tcW w:w="936" w:type="dxa"/>
            <w:vAlign w:val="center"/>
          </w:tcPr>
          <w:p w14:paraId="2CDEE4B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3B5D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4DFAAB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TC-16 </w:t>
            </w:r>
          </w:p>
        </w:tc>
        <w:tc>
          <w:tcPr>
            <w:tcW w:w="566" w:type="dxa"/>
            <w:vAlign w:val="center"/>
          </w:tcPr>
          <w:p w14:paraId="1B40894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结果保存 </w:t>
            </w:r>
          </w:p>
        </w:tc>
        <w:tc>
          <w:tcPr>
            <w:tcW w:w="1338" w:type="dxa"/>
            <w:vAlign w:val="center"/>
          </w:tcPr>
          <w:p w14:paraId="6039E1FF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验证推荐结果可保存 </w:t>
            </w:r>
          </w:p>
        </w:tc>
        <w:tc>
          <w:tcPr>
            <w:tcW w:w="1455" w:type="dxa"/>
            <w:vAlign w:val="center"/>
          </w:tcPr>
          <w:p w14:paraId="27210FF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用户已登录且已有推荐结果 </w:t>
            </w:r>
          </w:p>
        </w:tc>
        <w:tc>
          <w:tcPr>
            <w:tcW w:w="2819" w:type="dxa"/>
            <w:vAlign w:val="center"/>
          </w:tcPr>
          <w:p w14:paraId="4BE6C8F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点击保存推荐结果 </w:t>
            </w:r>
          </w:p>
        </w:tc>
        <w:tc>
          <w:tcPr>
            <w:tcW w:w="2149" w:type="dxa"/>
            <w:vAlign w:val="center"/>
          </w:tcPr>
          <w:p w14:paraId="26B04064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系统生成 save_id，并保存 JSON 记录 </w:t>
            </w:r>
          </w:p>
        </w:tc>
        <w:tc>
          <w:tcPr>
            <w:tcW w:w="936" w:type="dxa"/>
            <w:vAlign w:val="center"/>
          </w:tcPr>
          <w:p w14:paraId="7FF8A6F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64E3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2C9327B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TC-17 </w:t>
            </w:r>
          </w:p>
        </w:tc>
        <w:tc>
          <w:tcPr>
            <w:tcW w:w="566" w:type="dxa"/>
            <w:vAlign w:val="center"/>
          </w:tcPr>
          <w:p w14:paraId="5EBA44A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历史记录 </w:t>
            </w:r>
          </w:p>
        </w:tc>
        <w:tc>
          <w:tcPr>
            <w:tcW w:w="1338" w:type="dxa"/>
            <w:vAlign w:val="center"/>
          </w:tcPr>
          <w:p w14:paraId="4ED805F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验证历史结果列表 </w:t>
            </w:r>
          </w:p>
        </w:tc>
        <w:tc>
          <w:tcPr>
            <w:tcW w:w="1455" w:type="dxa"/>
            <w:vAlign w:val="center"/>
          </w:tcPr>
          <w:p w14:paraId="5B8C61C3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用户已登录且存在保存记录 </w:t>
            </w:r>
          </w:p>
        </w:tc>
        <w:tc>
          <w:tcPr>
            <w:tcW w:w="2819" w:type="dxa"/>
            <w:vAlign w:val="center"/>
          </w:tcPr>
          <w:p w14:paraId="0434246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打开历史记录页面 </w:t>
            </w:r>
          </w:p>
        </w:tc>
        <w:tc>
          <w:tcPr>
            <w:tcW w:w="2149" w:type="dxa"/>
            <w:vAlign w:val="center"/>
          </w:tcPr>
          <w:p w14:paraId="31C2E86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页面显示当前用户保存的记录摘要 </w:t>
            </w:r>
          </w:p>
        </w:tc>
        <w:tc>
          <w:tcPr>
            <w:tcW w:w="936" w:type="dxa"/>
            <w:vAlign w:val="center"/>
          </w:tcPr>
          <w:p w14:paraId="15CCF74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6267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74DB4D6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TC-18 </w:t>
            </w:r>
          </w:p>
        </w:tc>
        <w:tc>
          <w:tcPr>
            <w:tcW w:w="566" w:type="dxa"/>
            <w:vAlign w:val="center"/>
          </w:tcPr>
          <w:p w14:paraId="38EDFBF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历史详情 </w:t>
            </w:r>
          </w:p>
        </w:tc>
        <w:tc>
          <w:tcPr>
            <w:tcW w:w="1338" w:type="dxa"/>
            <w:vAlign w:val="center"/>
          </w:tcPr>
          <w:p w14:paraId="7D50B99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验证保存结果可查看 </w:t>
            </w:r>
          </w:p>
        </w:tc>
        <w:tc>
          <w:tcPr>
            <w:tcW w:w="1455" w:type="dxa"/>
            <w:vAlign w:val="center"/>
          </w:tcPr>
          <w:p w14:paraId="60ABB45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用户已登录且存在保存记录 </w:t>
            </w:r>
          </w:p>
        </w:tc>
        <w:tc>
          <w:tcPr>
            <w:tcW w:w="2819" w:type="dxa"/>
            <w:vAlign w:val="center"/>
          </w:tcPr>
          <w:p w14:paraId="4FF969B5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点击某条历史记录 </w:t>
            </w:r>
          </w:p>
        </w:tc>
        <w:tc>
          <w:tcPr>
            <w:tcW w:w="2149" w:type="dxa"/>
            <w:vAlign w:val="center"/>
          </w:tcPr>
          <w:p w14:paraId="7D933A4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显示该记录的完整推荐结果 </w:t>
            </w:r>
          </w:p>
        </w:tc>
        <w:tc>
          <w:tcPr>
            <w:tcW w:w="936" w:type="dxa"/>
            <w:vAlign w:val="center"/>
          </w:tcPr>
          <w:p w14:paraId="35C1176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6E3E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003AFC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TC-19 </w:t>
            </w:r>
          </w:p>
        </w:tc>
        <w:tc>
          <w:tcPr>
            <w:tcW w:w="566" w:type="dxa"/>
            <w:vAlign w:val="center"/>
          </w:tcPr>
          <w:p w14:paraId="1C08EB0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历史删除 </w:t>
            </w:r>
          </w:p>
        </w:tc>
        <w:tc>
          <w:tcPr>
            <w:tcW w:w="1338" w:type="dxa"/>
            <w:vAlign w:val="center"/>
          </w:tcPr>
          <w:p w14:paraId="395FF2D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验证用户只能删除自己的记录 </w:t>
            </w:r>
          </w:p>
        </w:tc>
        <w:tc>
          <w:tcPr>
            <w:tcW w:w="1455" w:type="dxa"/>
            <w:vAlign w:val="center"/>
          </w:tcPr>
          <w:p w14:paraId="55FB9BB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用户已登录且存在保存记录 </w:t>
            </w:r>
          </w:p>
        </w:tc>
        <w:tc>
          <w:tcPr>
            <w:tcW w:w="2819" w:type="dxa"/>
            <w:vAlign w:val="center"/>
          </w:tcPr>
          <w:p w14:paraId="2514FB7B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删除当前用户记录 </w:t>
            </w:r>
          </w:p>
        </w:tc>
        <w:tc>
          <w:tcPr>
            <w:tcW w:w="2149" w:type="dxa"/>
            <w:vAlign w:val="center"/>
          </w:tcPr>
          <w:p w14:paraId="23207165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删除成功，列表中不再显示该记录 </w:t>
            </w:r>
          </w:p>
        </w:tc>
        <w:tc>
          <w:tcPr>
            <w:tcW w:w="936" w:type="dxa"/>
            <w:vAlign w:val="center"/>
          </w:tcPr>
          <w:p w14:paraId="74996C1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  <w:tr w14:paraId="1527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74DB6CD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TC-20 </w:t>
            </w:r>
          </w:p>
        </w:tc>
        <w:tc>
          <w:tcPr>
            <w:tcW w:w="566" w:type="dxa"/>
            <w:vAlign w:val="center"/>
          </w:tcPr>
          <w:p w14:paraId="2796B9B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权限控制 </w:t>
            </w:r>
          </w:p>
        </w:tc>
        <w:tc>
          <w:tcPr>
            <w:tcW w:w="1338" w:type="dxa"/>
            <w:vAlign w:val="center"/>
          </w:tcPr>
          <w:p w14:paraId="655C19A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验证未登录不能保存结果 </w:t>
            </w:r>
          </w:p>
        </w:tc>
        <w:tc>
          <w:tcPr>
            <w:tcW w:w="1455" w:type="dxa"/>
            <w:vAlign w:val="center"/>
          </w:tcPr>
          <w:p w14:paraId="66E0C46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用户未登录 </w:t>
            </w:r>
          </w:p>
        </w:tc>
        <w:tc>
          <w:tcPr>
            <w:tcW w:w="2819" w:type="dxa"/>
            <w:vAlign w:val="center"/>
          </w:tcPr>
          <w:p w14:paraId="6A7392E9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直接调用保存接口 </w:t>
            </w:r>
          </w:p>
        </w:tc>
        <w:tc>
          <w:tcPr>
            <w:tcW w:w="2149" w:type="dxa"/>
            <w:vAlign w:val="center"/>
          </w:tcPr>
          <w:p w14:paraId="4E3B3691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返回 Login required，不写入文件 </w:t>
            </w:r>
          </w:p>
        </w:tc>
        <w:tc>
          <w:tcPr>
            <w:tcW w:w="936" w:type="dxa"/>
            <w:vAlign w:val="center"/>
          </w:tcPr>
          <w:p w14:paraId="5928038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</w:rPr>
            </w:pPr>
            <w:r>
              <w:rPr>
                <w:rFonts w:hint="eastAsia" w:ascii="Calibri" w:eastAsia="宋体"/>
                <w:sz w:val="24"/>
                <w:szCs w:val="24"/>
              </w:rPr>
              <w:t xml:space="preserve">通过 </w:t>
            </w:r>
          </w:p>
        </w:tc>
      </w:tr>
    </w:tbl>
    <w:p w14:paraId="3E10C7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745DA"/>
    <w:rsid w:val="12E7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2026-06-16T12:15:00Z</dcterms:created>
  <dc:creator>不会英语的程序猿</dc:creator>
  <cp:lastModifiedBy>不会英语的程序猿</cp:lastModifiedBy>
  <dcterms:modified xsi:type="dcterms:W3CDTF">2026-06-16T12:16:23Z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64C2B00B91534AF3AAE2902C0F49C36C_11</vt:lpwstr>
  </property>
  <property fmtid="{D5CDD505-2E9C-101B-9397-08002B2CF9AE}" pid="4" name="KSOTemplateDocerSaveRecord">
    <vt:lpwstr>eyJoZGlkIjoiN2U4M2VkZDMzMjg3ZGI5NDAzYTY4YzU0MzViYWM2NDAiLCJ1c2VySWQiOiI4NjIyNDI2OTcifQ==</vt:lpwstr>
  </property>
</Properties>
</file>