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eastAsia" w:ascii="宋体" w:hAnsi="宋体" w:eastAsia="宋体" w:cs="宋体"/>
        </w:rPr>
      </w:pPr>
      <w:r>
        <w:rPr>
          <w:rFonts w:hint="eastAsia" w:ascii="宋体" w:hAnsi="宋体" w:eastAsia="宋体" w:cs="宋体"/>
        </w:rPr>
        <w:t>三、系统设计</w:t>
      </w:r>
    </w:p>
    <w:p>
      <w:pPr>
        <w:rPr>
          <w:rFonts w:hint="eastAsia" w:ascii="宋体" w:hAnsi="宋体" w:eastAsia="宋体" w:cs="宋体"/>
        </w:rPr>
      </w:pPr>
      <w:r>
        <w:rPr>
          <w:rFonts w:hint="eastAsia" w:ascii="宋体" w:hAnsi="宋体" w:eastAsia="宋体" w:cs="宋体"/>
          <w:sz w:val="24"/>
        </w:rPr>
        <w:t>本章在需求分析基础上，对 iDrug——多场景 DTI 预测与个性化药物推荐辅助平台进行系统设计说明。参考课程文档的组织方式，本章主要包括系统时序图与操作契约、系统包图以及逻辑分层设计。系统设计围绕平台“预测—查询—排序—展示—保存”的核心业务流程展开，重点说明前端页面、Django 后端、模型推理环境、数据库与外部数据接口之间的协作关系。</w:t>
      </w:r>
    </w:p>
    <w:p>
      <w:pPr>
        <w:pStyle w:val="4"/>
        <w:rPr>
          <w:rFonts w:hint="eastAsia" w:ascii="宋体" w:hAnsi="宋体" w:eastAsia="宋体" w:cs="宋体"/>
        </w:rPr>
      </w:pPr>
      <w:r>
        <w:rPr>
          <w:rFonts w:hint="eastAsia" w:ascii="宋体" w:hAnsi="宋体" w:eastAsia="宋体" w:cs="宋体"/>
        </w:rPr>
        <w:t>3.1 系统时序图与操作契约</w:t>
      </w:r>
    </w:p>
    <w:p>
      <w:pPr>
        <w:pStyle w:val="5"/>
        <w:rPr>
          <w:rFonts w:hint="eastAsia" w:ascii="宋体" w:hAnsi="宋体" w:eastAsia="宋体" w:cs="宋体"/>
        </w:rPr>
      </w:pPr>
      <w:r>
        <w:rPr>
          <w:rFonts w:hint="eastAsia" w:ascii="宋体" w:hAnsi="宋体" w:eastAsia="宋体" w:cs="宋体"/>
        </w:rPr>
        <w:t>3.1.1 系统整体时序图</w:t>
      </w:r>
    </w:p>
    <w:p>
      <w:pPr>
        <w:rPr>
          <w:rFonts w:hint="eastAsia" w:ascii="宋体" w:hAnsi="宋体" w:eastAsia="宋体" w:cs="宋体"/>
          <w:sz w:val="24"/>
        </w:rPr>
      </w:pPr>
      <w:r>
        <w:rPr>
          <w:rFonts w:hint="eastAsia" w:ascii="宋体" w:hAnsi="宋体" w:eastAsia="宋体" w:cs="宋体"/>
          <w:sz w:val="24"/>
        </w:rPr>
        <w:t>系统整体交互从用户访问前端页面开始。用户可在页面中发起多场景 DTI 预测、个性化推荐、结构查询、数据浏览或结果管理请求。前端将请求提交至 Django API，后端完成输入校验、会话校验和业务路由，再根据任务类型调用模型推理服务、本地知识库、MySQL 数据库或外部数据接口。处理完成后，系统将结构化结果返回给前端页面进行展示；若用户需要保存结果，则后端将结果写入当前用户的历史记录。</w:t>
      </w:r>
    </w:p>
    <w:p>
      <w:pPr>
        <w:spacing w:line="240" w:lineRule="auto"/>
        <w:rPr>
          <w:rFonts w:hint="eastAsia" w:ascii="宋体" w:hAnsi="宋体" w:eastAsia="宋体" w:cs="宋体"/>
        </w:rPr>
      </w:pPr>
      <w:r>
        <w:rPr>
          <w:rFonts w:hint="eastAsia" w:ascii="宋体" w:hAnsi="宋体" w:eastAsia="宋体" w:cs="宋体"/>
          <w:sz w:val="24"/>
          <w:lang w:eastAsia="zh-CN"/>
        </w:rPr>
        <w:drawing>
          <wp:inline distT="0" distB="0" distL="114300" distR="114300">
            <wp:extent cx="5485130" cy="3300095"/>
            <wp:effectExtent l="0" t="0" r="1270" b="1905"/>
            <wp:docPr id="2" name="图片 2" descr="_app_data_所有对话_主对话_图3-1-iDrug系统整体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_app_data_所有对话_主对话_图3-1-iDrug系统整体时序图"/>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485130" cy="3300095"/>
                    </a:xfrm>
                    <a:prstGeom prst="rect">
                      <a:avLst/>
                    </a:prstGeom>
                  </pic:spPr>
                </pic:pic>
              </a:graphicData>
            </a:graphic>
          </wp:inline>
        </w:drawing>
      </w:r>
    </w:p>
    <w:p>
      <w:pPr>
        <w:pStyle w:val="5"/>
        <w:rPr>
          <w:rFonts w:hint="eastAsia" w:ascii="宋体" w:hAnsi="宋体" w:eastAsia="宋体" w:cs="宋体"/>
        </w:rPr>
      </w:pPr>
      <w:r>
        <w:rPr>
          <w:rFonts w:hint="eastAsia" w:ascii="宋体" w:hAnsi="宋体" w:eastAsia="宋体" w:cs="宋体"/>
        </w:rPr>
        <w:t>3.1.2 多场景 DTI 预测时序图</w:t>
      </w:r>
    </w:p>
    <w:p>
      <w:pPr>
        <w:rPr>
          <w:rFonts w:hint="eastAsia" w:ascii="宋体" w:hAnsi="宋体" w:eastAsia="宋体" w:cs="宋体"/>
          <w:sz w:val="24"/>
        </w:rPr>
      </w:pPr>
      <w:r>
        <w:rPr>
          <w:rFonts w:hint="eastAsia" w:ascii="宋体" w:hAnsi="宋体" w:eastAsia="宋体" w:cs="宋体"/>
          <w:sz w:val="24"/>
        </w:rPr>
        <w:t>多场景 DTI 预测是平台核心功能之一。用户在预测页面选择药物重定位、新靶标筛选、新药评估或亲和力预测等任务后，前端提交药物和靶点输入。后端通过任务—模型匹配机制调用对应模型：HyperAttentionDTI 主要用于药物重定位和新靶标筛选，PSICHIC 主要用于新药评估，DeepDTA 主要用于亲和力预测。模型推理过程中，系统会生成临时输入文件，调用独立 Python 推理脚本，读取输出结果并封装为统一 JSON 返回前端。</w:t>
      </w:r>
    </w:p>
    <w:p>
      <w:pPr>
        <w:spacing w:line="24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485130" cy="3114040"/>
            <wp:effectExtent l="0" t="0" r="1270" b="10160"/>
            <wp:docPr id="3" name="图片 3" descr="_app_data_所有对话_主对话_图3-2-多场景DTI预测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app_data_所有对话_主对话_图3-2-多场景DTI预测时序图"/>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485130" cy="3114040"/>
                    </a:xfrm>
                    <a:prstGeom prst="rect">
                      <a:avLst/>
                    </a:prstGeom>
                  </pic:spPr>
                </pic:pic>
              </a:graphicData>
            </a:graphic>
          </wp:inline>
        </w:drawing>
      </w:r>
    </w:p>
    <w:p>
      <w:pPr>
        <w:rPr>
          <w:rFonts w:hint="eastAsia" w:ascii="宋体" w:hAnsi="宋体" w:eastAsia="宋体" w:cs="宋体"/>
        </w:rPr>
      </w:pPr>
      <w:r>
        <w:rPr>
          <w:rFonts w:hint="eastAsia" w:ascii="宋体" w:hAnsi="宋体" w:eastAsia="宋体" w:cs="宋体"/>
          <w:sz w:val="24"/>
        </w:rPr>
        <w:t>操作契约：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`runPredictionTask(taskType, drugInput, proteinInput)`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UC02_多场景 DTI 预测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用户已进入预测页面；任务类型已选择；药物输入和靶点输入不为空；后端服务与模型推理环境可用。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系统根据任务类型完成模型匹配；生成模型输入文件；调用对应模型脚本；返回预测分数、预测标签或结果列表；临时文件在任务结束后被清理或留存于运行临时目录。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`resolvePredictionModel(taskType)`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UC02_多场景 DTI 预测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后端已接收到合法任务类型。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药物重定位、新靶标筛选、新药评估和亲和力预测任务被映射到对应模型；若任务类型不受支持，系统返回错误信息而不执行推理。</w:t>
            </w:r>
          </w:p>
        </w:tc>
      </w:tr>
    </w:tbl>
    <w:p>
      <w:pPr>
        <w:pStyle w:val="5"/>
        <w:rPr>
          <w:rFonts w:hint="eastAsia" w:ascii="宋体" w:hAnsi="宋体" w:eastAsia="宋体" w:cs="宋体"/>
        </w:rPr>
      </w:pPr>
      <w:r>
        <w:rPr>
          <w:rFonts w:hint="eastAsia" w:ascii="宋体" w:hAnsi="宋体" w:eastAsia="宋体" w:cs="宋体"/>
        </w:rPr>
        <w:t>3.1.3 个性化推荐重排序时序图</w:t>
      </w:r>
    </w:p>
    <w:p>
      <w:pPr>
        <w:rPr>
          <w:rFonts w:hint="eastAsia" w:ascii="宋体" w:hAnsi="宋体" w:eastAsia="宋体" w:cs="宋体"/>
        </w:rPr>
      </w:pPr>
      <w:r>
        <w:rPr>
          <w:rFonts w:hint="eastAsia" w:ascii="宋体" w:hAnsi="宋体" w:eastAsia="宋体" w:cs="宋体"/>
          <w:sz w:val="24"/>
        </w:rPr>
        <w:t>个性化推荐重排序是在基础 DTI 预测结果上的二次优化。用户提交药物、靶点和用户画像信息后，系统先获取基础预测分数，再读取药物属性、疾病标签、过敏标签、医保偏好等本地知识数据。排序服务按照“基础预测分数 + 疾病匹配加分 - 风险惩罚 + 偏好权重”的思路计算综合得分，最终返回排名、分数变化和推荐理由。若用户选择保存结果，后端将推荐记录写入当前用户的历史记录。</w:t>
      </w:r>
    </w:p>
    <w:p>
      <w:pPr>
        <w:spacing w:line="240" w:lineRule="auto"/>
        <w:jc w:val="center"/>
        <w:rPr>
          <w:rFonts w:hint="eastAsia" w:ascii="宋体" w:hAnsi="宋体" w:eastAsia="宋体" w:cs="宋体"/>
          <w:i/>
          <w:color w:val="808080"/>
          <w:sz w:val="24"/>
          <w:lang w:eastAsia="zh-CN"/>
        </w:rPr>
      </w:pPr>
      <w:r>
        <w:rPr>
          <w:rFonts w:hint="eastAsia" w:ascii="宋体" w:hAnsi="宋体" w:eastAsia="宋体" w:cs="宋体"/>
          <w:i/>
          <w:color w:val="808080"/>
          <w:sz w:val="24"/>
          <w:lang w:eastAsia="zh-CN"/>
        </w:rPr>
        <w:drawing>
          <wp:inline distT="0" distB="0" distL="114300" distR="114300">
            <wp:extent cx="5485130" cy="3114040"/>
            <wp:effectExtent l="0" t="0" r="1270" b="10160"/>
            <wp:docPr id="4" name="图片 4" descr="_app_data_所有对话_主对话_图3-3-个性化推荐重排序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_app_data_所有对话_主对话_图3-3-个性化推荐重排序时序图"/>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485130" cy="3114040"/>
                    </a:xfrm>
                    <a:prstGeom prst="rect">
                      <a:avLst/>
                    </a:prstGeom>
                  </pic:spPr>
                </pic:pic>
              </a:graphicData>
            </a:graphic>
          </wp:inline>
        </w:drawing>
      </w:r>
    </w:p>
    <w:p>
      <w:pPr>
        <w:rPr>
          <w:rFonts w:hint="eastAsia" w:ascii="宋体" w:hAnsi="宋体" w:eastAsia="宋体" w:cs="宋体"/>
        </w:rPr>
      </w:pPr>
      <w:r>
        <w:rPr>
          <w:rFonts w:hint="eastAsia" w:ascii="宋体" w:hAnsi="宋体" w:eastAsia="宋体" w:cs="宋体"/>
          <w:sz w:val="24"/>
        </w:rPr>
        <w:t>操作契约：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`personalizedRecommend(drugInput, proteinInput, userProfile)`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UC03_个性化药物推荐重排序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用户已输入候选药物与靶点信息；推荐服务可读取药物个性化元数据、疾病标签和过敏标签；基础 DTI 预测服务可调用。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系统生成基础预测结果；根据用户画像和药物属性计算综合得分；返回个性化排序列表、推荐理由、风险提示和排序变化。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`loadPersonalizationMetadata()`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UC03_个性化药物推荐重排序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本地药物个性化元数据、疾病标签字典、过敏标签字典路径有效。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系统将药物属性、疾病匹配规则、过敏风险和医保属性加载为可用于排序计算的数据结构；若部分数据缺失，系统保留基础预测结果并降低解释信息完整度。</w:t>
            </w:r>
          </w:p>
        </w:tc>
      </w:tr>
    </w:tbl>
    <w:p>
      <w:pPr>
        <w:pStyle w:val="5"/>
        <w:rPr>
          <w:rFonts w:hint="eastAsia" w:ascii="宋体" w:hAnsi="宋体" w:eastAsia="宋体" w:cs="宋体"/>
        </w:rPr>
      </w:pPr>
      <w:r>
        <w:rPr>
          <w:rFonts w:hint="eastAsia" w:ascii="宋体" w:hAnsi="宋体" w:eastAsia="宋体" w:cs="宋体"/>
        </w:rPr>
        <w:t>3.1.4 结构查询与可视化操作契约</w:t>
      </w:r>
    </w:p>
    <w:p>
      <w:pPr>
        <w:rPr>
          <w:rFonts w:hint="eastAsia" w:ascii="宋体" w:hAnsi="宋体" w:eastAsia="宋体" w:cs="宋体"/>
        </w:rPr>
      </w:pPr>
      <w:r>
        <w:rPr>
          <w:rFonts w:hint="eastAsia" w:ascii="宋体" w:hAnsi="宋体" w:eastAsia="宋体" w:cs="宋体"/>
          <w:sz w:val="24"/>
        </w:rPr>
        <w:t>结构查询功能用于支撑平台的结果解释和数据服务能力。用户可在查询页面输入药物 CID、SMILES、PDB ID、UniProt ID 或蛋白序列等信息，系统优先查询本地缓存和本地结构化数据；若本地数据不足，则调用 PubChem、PDB 等外部接口。查询结果返回后，前端展示基础信息、结构图片或三维可视化视图。</w:t>
      </w:r>
    </w:p>
    <w:p>
      <w:pPr>
        <w:rPr>
          <w:rFonts w:hint="eastAsia" w:ascii="宋体" w:hAnsi="宋体" w:eastAsia="宋体" w:cs="宋体"/>
        </w:rPr>
      </w:pPr>
      <w:r>
        <w:rPr>
          <w:rFonts w:hint="eastAsia" w:ascii="宋体" w:hAnsi="宋体" w:eastAsia="宋体" w:cs="宋体"/>
          <w:sz w:val="24"/>
        </w:rPr>
        <w:t>操作契约：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`queryStructure(queryType, queryText)`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UC04_药物、蛋白质与复合物结构查询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用户已选择查询类型；输入条件不为空；本地缓存或外部数据接口至少有一种可用。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系统返回药物、蛋白质或复合物的结构信息；若本地缓存命中，则优先返回本地数据；若外部接口调用失败，系统返回可解释错误并保留页面可用状态。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`renderStructureView(structureData)`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UC04_药物、蛋白质与复合物结构查询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后端已返回结构数据、结构文件路径、图片路径或可视化所需标识。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前端展示结构信息；若三维结构可用，则支持旋转、缩放和结构查看；若结构文件缺失，则展示文本信息或静态图片作为替代。</w:t>
            </w:r>
          </w:p>
        </w:tc>
      </w:tr>
    </w:tbl>
    <w:p>
      <w:pPr>
        <w:pStyle w:val="5"/>
        <w:rPr>
          <w:rFonts w:hint="eastAsia" w:ascii="宋体" w:hAnsi="宋体" w:eastAsia="宋体" w:cs="宋体"/>
        </w:rPr>
      </w:pPr>
      <w:r>
        <w:rPr>
          <w:rFonts w:hint="eastAsia" w:ascii="宋体" w:hAnsi="宋体" w:eastAsia="宋体" w:cs="宋体"/>
        </w:rPr>
        <w:t>3.1.5 数据浏览操作契约</w:t>
      </w:r>
    </w:p>
    <w:p>
      <w:pPr>
        <w:rPr>
          <w:rFonts w:hint="eastAsia" w:ascii="宋体" w:hAnsi="宋体" w:eastAsia="宋体" w:cs="宋体"/>
        </w:rPr>
      </w:pPr>
      <w:r>
        <w:rPr>
          <w:rFonts w:hint="eastAsia" w:ascii="宋体" w:hAnsi="宋体" w:eastAsia="宋体" w:cs="宋体"/>
          <w:sz w:val="24"/>
        </w:rPr>
        <w:t>数据浏览功能主要用于展示平台整理的本地结构化数据，包括药物结构映射、蛋白质结构映射、复合物映射、疾病标签、过敏标签和药物个性化元数据。该功能为预测、推荐和查询功能提供数据支撑，也便于课程展示系统的数据组织能力。</w:t>
      </w:r>
    </w:p>
    <w:p>
      <w:pPr>
        <w:rPr>
          <w:rFonts w:hint="eastAsia" w:ascii="宋体" w:hAnsi="宋体" w:eastAsia="宋体" w:cs="宋体"/>
        </w:rPr>
      </w:pPr>
      <w:r>
        <w:rPr>
          <w:rFonts w:hint="eastAsia" w:ascii="宋体" w:hAnsi="宋体" w:eastAsia="宋体" w:cs="宋体"/>
          <w:sz w:val="24"/>
        </w:rPr>
        <w:t>操作契约：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`browseDataSource(sourceName, page, pageSize)`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UC05_数据浏览与本地知识库查看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用户进入数据浏览页面；数据源名称合法；对应 CSV、JSON 或数据库记录可读取。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系统返回当前数据源的字段说明、数据用途、总量摘要和当前页数据；当数据源缺失时，返回明确提示而不影响其他数据源浏览。</w:t>
            </w:r>
          </w:p>
        </w:tc>
      </w:tr>
    </w:tbl>
    <w:p>
      <w:pPr>
        <w:pStyle w:val="5"/>
        <w:rPr>
          <w:rFonts w:hint="eastAsia" w:ascii="宋体" w:hAnsi="宋体" w:eastAsia="宋体" w:cs="宋体"/>
        </w:rPr>
      </w:pPr>
      <w:r>
        <w:rPr>
          <w:rFonts w:hint="eastAsia" w:ascii="宋体" w:hAnsi="宋体" w:eastAsia="宋体" w:cs="宋体"/>
        </w:rPr>
        <w:t>3.1.6 用户与结果管理操作契约</w:t>
      </w:r>
    </w:p>
    <w:p>
      <w:pPr>
        <w:rPr>
          <w:rFonts w:hint="eastAsia" w:ascii="宋体" w:hAnsi="宋体" w:eastAsia="宋体" w:cs="宋体"/>
        </w:rPr>
      </w:pPr>
      <w:r>
        <w:rPr>
          <w:rFonts w:hint="eastAsia" w:ascii="宋体" w:hAnsi="宋体" w:eastAsia="宋体" w:cs="宋体"/>
          <w:sz w:val="24"/>
        </w:rPr>
        <w:t>用户与结果管理功能使平台从即时预测工具扩展为可留存结果的软件系统。用户登录后可保存预测或推荐结果，并在用户中心查看历史记录、打开详情或删除个人记录。公开 demo 记录可用于课程展示，但应避免被普通用户误删。</w:t>
      </w:r>
    </w:p>
    <w:p>
      <w:pPr>
        <w:rPr>
          <w:rFonts w:hint="eastAsia" w:ascii="宋体" w:hAnsi="宋体" w:eastAsia="宋体" w:cs="宋体"/>
        </w:rPr>
      </w:pPr>
      <w:r>
        <w:rPr>
          <w:rFonts w:hint="eastAsia" w:ascii="宋体" w:hAnsi="宋体" w:eastAsia="宋体" w:cs="宋体"/>
          <w:sz w:val="24"/>
        </w:rPr>
        <w:t>操作契约：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0"/>
        <w:gridCol w:w="4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`registerOrLogin(username,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UC01_用户注册与登录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用户访问注册或登录页面；数据库服务可用；用户名和密码不为空。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注册时创建唯一用户记录；登录时建立当前用户会话；若校验失败，系统返回错误提示并不改变会话状态。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`saveRecommendationResult(currentUser, payload)`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UC06_预测结果保存与历史管理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用户已登录；预测或推荐结果存在；结果内容包含任务类型、输入摘要和结果列表。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系统将结果保存到当前用户历史记录；记录包含保存时间、用户名称、输入参数、用户画像和结果摘要；保存成功后前端显示成功反馈。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项目</w:t>
            </w:r>
          </w:p>
        </w:tc>
        <w:tc>
          <w:tcPr>
            <w:tcW w:w="4320" w:type="dxa"/>
          </w:tcPr>
          <w:p>
            <w:pPr>
              <w:spacing w:after="0"/>
              <w:rPr>
                <w:rFonts w:hint="eastAsia" w:ascii="宋体" w:hAnsi="宋体" w:eastAsia="宋体" w:cs="宋体"/>
              </w:rPr>
            </w:pPr>
            <w:r>
              <w:rPr>
                <w:rFonts w:hint="eastAsia" w:ascii="宋体" w:hAnsi="宋体" w:eastAsia="宋体" w:cs="宋体"/>
                <w:sz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操作</w:t>
            </w:r>
          </w:p>
        </w:tc>
        <w:tc>
          <w:tcPr>
            <w:tcW w:w="4320" w:type="dxa"/>
          </w:tcPr>
          <w:p>
            <w:pPr>
              <w:spacing w:after="0"/>
              <w:rPr>
                <w:rFonts w:hint="eastAsia" w:ascii="宋体" w:hAnsi="宋体" w:eastAsia="宋体" w:cs="宋体"/>
              </w:rPr>
            </w:pPr>
            <w:r>
              <w:rPr>
                <w:rFonts w:hint="eastAsia" w:ascii="宋体" w:hAnsi="宋体" w:eastAsia="宋体" w:cs="宋体"/>
                <w:sz w:val="24"/>
              </w:rPr>
              <w:t>`deleteSavedResult(currentUser, saveId)`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交叉引用</w:t>
            </w:r>
          </w:p>
        </w:tc>
        <w:tc>
          <w:tcPr>
            <w:tcW w:w="4320" w:type="dxa"/>
          </w:tcPr>
          <w:p>
            <w:pPr>
              <w:spacing w:after="0"/>
              <w:rPr>
                <w:rFonts w:hint="eastAsia" w:ascii="宋体" w:hAnsi="宋体" w:eastAsia="宋体" w:cs="宋体"/>
              </w:rPr>
            </w:pPr>
            <w:r>
              <w:rPr>
                <w:rFonts w:hint="eastAsia" w:ascii="宋体" w:hAnsi="宋体" w:eastAsia="宋体" w:cs="宋体"/>
                <w:sz w:val="24"/>
              </w:rPr>
              <w:t>UC06_预测结果保存与历史管理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前置条件</w:t>
            </w:r>
          </w:p>
        </w:tc>
        <w:tc>
          <w:tcPr>
            <w:tcW w:w="4320" w:type="dxa"/>
          </w:tcPr>
          <w:p>
            <w:pPr>
              <w:spacing w:after="0"/>
              <w:rPr>
                <w:rFonts w:hint="eastAsia" w:ascii="宋体" w:hAnsi="宋体" w:eastAsia="宋体" w:cs="宋体"/>
              </w:rPr>
            </w:pPr>
            <w:r>
              <w:rPr>
                <w:rFonts w:hint="eastAsia" w:ascii="宋体" w:hAnsi="宋体" w:eastAsia="宋体" w:cs="宋体"/>
                <w:sz w:val="24"/>
              </w:rPr>
              <w:t>用户已登录；目标记录存在；目标记录属于当前用户且不是受保护的公开 demo 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pPr>
              <w:spacing w:after="0"/>
              <w:rPr>
                <w:rFonts w:hint="eastAsia" w:ascii="宋体" w:hAnsi="宋体" w:eastAsia="宋体" w:cs="宋体"/>
              </w:rPr>
            </w:pPr>
            <w:r>
              <w:rPr>
                <w:rFonts w:hint="eastAsia" w:ascii="宋体" w:hAnsi="宋体" w:eastAsia="宋体" w:cs="宋体"/>
                <w:sz w:val="24"/>
              </w:rPr>
              <w:t>后置条件</w:t>
            </w:r>
          </w:p>
        </w:tc>
        <w:tc>
          <w:tcPr>
            <w:tcW w:w="4320" w:type="dxa"/>
          </w:tcPr>
          <w:p>
            <w:pPr>
              <w:spacing w:after="0"/>
              <w:rPr>
                <w:rFonts w:hint="eastAsia" w:ascii="宋体" w:hAnsi="宋体" w:eastAsia="宋体" w:cs="宋体"/>
              </w:rPr>
            </w:pPr>
            <w:r>
              <w:rPr>
                <w:rFonts w:hint="eastAsia" w:ascii="宋体" w:hAnsi="宋体" w:eastAsia="宋体" w:cs="宋体"/>
                <w:sz w:val="24"/>
              </w:rPr>
              <w:t>系统删除对应历史记录；用户中心列表刷新；若目标记录不存在或无权限删除，系统返回错误提示。</w:t>
            </w:r>
          </w:p>
        </w:tc>
      </w:tr>
    </w:tbl>
    <w:p>
      <w:pPr>
        <w:pStyle w:val="4"/>
        <w:rPr>
          <w:rFonts w:hint="eastAsia" w:ascii="宋体" w:hAnsi="宋体" w:eastAsia="宋体" w:cs="宋体"/>
        </w:rPr>
      </w:pPr>
      <w:r>
        <w:rPr>
          <w:rFonts w:hint="eastAsia" w:ascii="宋体" w:hAnsi="宋体" w:eastAsia="宋体" w:cs="宋体"/>
        </w:rPr>
        <w:t>3.2 包图</w:t>
      </w:r>
    </w:p>
    <w:p>
      <w:pPr>
        <w:rPr>
          <w:rFonts w:hint="eastAsia" w:ascii="宋体" w:hAnsi="宋体" w:eastAsia="宋体" w:cs="宋体"/>
          <w:sz w:val="24"/>
        </w:rPr>
      </w:pPr>
      <w:r>
        <w:rPr>
          <w:rFonts w:hint="eastAsia" w:ascii="宋体" w:hAnsi="宋体" w:eastAsia="宋体" w:cs="宋体"/>
          <w:sz w:val="24"/>
        </w:rPr>
        <w:t>系统包图用于说明 iDrug 平台各代码包和运行资源之间的依赖关系。整体上，系统由前端包、后端包、模型包、数据库包、外部接口包和运行环境包组成。前端负责页面展示与交互，后端负责路由、接口、业务逻辑与模型调度，模型包封装不同 DTI 模型的推理脚本和工具代码，数据库包保存 migrations、MySQL 业务数据以及本地结构化数据，外部接口包用于接入 PubChem、PDB、UniProt 等公共数据资源。</w:t>
      </w:r>
    </w:p>
    <w:p>
      <w:pPr>
        <w:spacing w:line="240" w:lineRule="auto"/>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5485130" cy="3300095"/>
            <wp:effectExtent l="0" t="0" r="1270" b="1905"/>
            <wp:docPr id="5" name="图片 5" descr="_app_data_所有对话_主对话_图3-4-iDrug系统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app_data_所有对话_主对话_图3-4-iDrug系统包图"/>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485130" cy="3300095"/>
                    </a:xfrm>
                    <a:prstGeom prst="rect">
                      <a:avLst/>
                    </a:prstGeom>
                  </pic:spPr>
                </pic:pic>
              </a:graphicData>
            </a:graphic>
          </wp:inline>
        </w:drawing>
      </w:r>
    </w:p>
    <w:p>
      <w:pPr>
        <w:rPr>
          <w:rFonts w:hint="eastAsia" w:ascii="宋体" w:hAnsi="宋体" w:eastAsia="宋体" w:cs="宋体"/>
        </w:rPr>
      </w:pPr>
      <w:r>
        <w:rPr>
          <w:rFonts w:hint="eastAsia" w:ascii="宋体" w:hAnsi="宋体" w:eastAsia="宋体" w:cs="宋体"/>
          <w:sz w:val="24"/>
        </w:rPr>
        <w:t>包说明如下：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8"/>
        <w:gridCol w:w="3816"/>
        <w:gridCol w:w="23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包名</w:t>
            </w:r>
          </w:p>
        </w:tc>
        <w:tc>
          <w:tcPr>
            <w:tcW w:w="2880" w:type="dxa"/>
          </w:tcPr>
          <w:p>
            <w:pPr>
              <w:spacing w:after="0"/>
              <w:rPr>
                <w:rFonts w:hint="eastAsia" w:ascii="宋体" w:hAnsi="宋体" w:eastAsia="宋体" w:cs="宋体"/>
              </w:rPr>
            </w:pPr>
            <w:r>
              <w:rPr>
                <w:rFonts w:hint="eastAsia" w:ascii="宋体" w:hAnsi="宋体" w:eastAsia="宋体" w:cs="宋体"/>
                <w:sz w:val="24"/>
              </w:rPr>
              <w:t>主要内容</w:t>
            </w:r>
          </w:p>
        </w:tc>
        <w:tc>
          <w:tcPr>
            <w:tcW w:w="2880" w:type="dxa"/>
          </w:tcPr>
          <w:p>
            <w:pPr>
              <w:spacing w:after="0"/>
              <w:rPr>
                <w:rFonts w:hint="eastAsia" w:ascii="宋体" w:hAnsi="宋体" w:eastAsia="宋体" w:cs="宋体"/>
              </w:rPr>
            </w:pPr>
            <w:r>
              <w:rPr>
                <w:rFonts w:hint="eastAsia" w:ascii="宋体" w:hAnsi="宋体" w:eastAsia="宋体" w:cs="宋体"/>
                <w:sz w:val="24"/>
              </w:rPr>
              <w:t>设计职责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`frontend`</w:t>
            </w:r>
          </w:p>
        </w:tc>
        <w:tc>
          <w:tcPr>
            <w:tcW w:w="2880" w:type="dxa"/>
          </w:tcPr>
          <w:p>
            <w:pPr>
              <w:spacing w:after="0"/>
              <w:rPr>
                <w:rFonts w:hint="eastAsia" w:ascii="宋体" w:hAnsi="宋体" w:eastAsia="宋体" w:cs="宋体"/>
              </w:rPr>
            </w:pPr>
            <w:r>
              <w:rPr>
                <w:rFonts w:hint="eastAsia" w:ascii="宋体" w:hAnsi="宋体" w:eastAsia="宋体" w:cs="宋体"/>
                <w:sz w:val="24"/>
              </w:rPr>
              <w:t>`pages`、`static`、CSS、图片、页面脚本</w:t>
            </w:r>
          </w:p>
        </w:tc>
        <w:tc>
          <w:tcPr>
            <w:tcW w:w="2880" w:type="dxa"/>
          </w:tcPr>
          <w:p>
            <w:pPr>
              <w:spacing w:after="0"/>
              <w:rPr>
                <w:rFonts w:hint="eastAsia" w:ascii="宋体" w:hAnsi="宋体" w:eastAsia="宋体" w:cs="宋体"/>
              </w:rPr>
            </w:pPr>
            <w:r>
              <w:rPr>
                <w:rFonts w:hint="eastAsia" w:ascii="宋体" w:hAnsi="宋体" w:eastAsia="宋体" w:cs="宋体"/>
                <w:sz w:val="24"/>
              </w:rPr>
              <w:t>提供平台页面、用户输入表单、结果展示、结构可视化入口和页面导航。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`backend.iDrug`</w:t>
            </w:r>
          </w:p>
        </w:tc>
        <w:tc>
          <w:tcPr>
            <w:tcW w:w="2880" w:type="dxa"/>
          </w:tcPr>
          <w:p>
            <w:pPr>
              <w:spacing w:after="0"/>
              <w:rPr>
                <w:rFonts w:hint="eastAsia" w:ascii="宋体" w:hAnsi="宋体" w:eastAsia="宋体" w:cs="宋体"/>
              </w:rPr>
            </w:pPr>
            <w:r>
              <w:rPr>
                <w:rFonts w:hint="eastAsia" w:ascii="宋体" w:hAnsi="宋体" w:eastAsia="宋体" w:cs="宋体"/>
                <w:sz w:val="24"/>
              </w:rPr>
              <w:t>`settings.py`、`urls.py`、`asgi.py`、`wsgi.py`</w:t>
            </w:r>
          </w:p>
        </w:tc>
        <w:tc>
          <w:tcPr>
            <w:tcW w:w="2880" w:type="dxa"/>
          </w:tcPr>
          <w:p>
            <w:pPr>
              <w:spacing w:after="0"/>
              <w:rPr>
                <w:rFonts w:hint="eastAsia" w:ascii="宋体" w:hAnsi="宋体" w:eastAsia="宋体" w:cs="宋体"/>
              </w:rPr>
            </w:pPr>
            <w:r>
              <w:rPr>
                <w:rFonts w:hint="eastAsia" w:ascii="宋体" w:hAnsi="宋体" w:eastAsia="宋体" w:cs="宋体"/>
                <w:sz w:val="24"/>
              </w:rPr>
              <w:t>提供 Django 项目级配置、URL 路由和服务入口。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`backend.web`</w:t>
            </w:r>
          </w:p>
        </w:tc>
        <w:tc>
          <w:tcPr>
            <w:tcW w:w="2880" w:type="dxa"/>
          </w:tcPr>
          <w:p>
            <w:pPr>
              <w:spacing w:after="0"/>
              <w:rPr>
                <w:rFonts w:hint="eastAsia" w:ascii="宋体" w:hAnsi="宋体" w:eastAsia="宋体" w:cs="宋体"/>
              </w:rPr>
            </w:pPr>
            <w:r>
              <w:rPr>
                <w:rFonts w:hint="eastAsia" w:ascii="宋体" w:hAnsi="宋体" w:eastAsia="宋体" w:cs="宋体"/>
                <w:sz w:val="24"/>
              </w:rPr>
              <w:t>`views.py`、`models.py`、`ms.py`、`serializer.py`、`drug_services.py`、`protein_services.py`、`personalization.py`、`prediction_model_services.py`</w:t>
            </w:r>
          </w:p>
        </w:tc>
        <w:tc>
          <w:tcPr>
            <w:tcW w:w="2880" w:type="dxa"/>
          </w:tcPr>
          <w:p>
            <w:pPr>
              <w:spacing w:after="0"/>
              <w:rPr>
                <w:rFonts w:hint="eastAsia" w:ascii="宋体" w:hAnsi="宋体" w:eastAsia="宋体" w:cs="宋体"/>
              </w:rPr>
            </w:pPr>
            <w:r>
              <w:rPr>
                <w:rFonts w:hint="eastAsia" w:ascii="宋体" w:hAnsi="宋体" w:eastAsia="宋体" w:cs="宋体"/>
                <w:sz w:val="24"/>
              </w:rPr>
              <w:t>提供接口控制、用户管理、查询服务、推荐排序、模型调度和业务数据组织。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`model`</w:t>
            </w:r>
          </w:p>
        </w:tc>
        <w:tc>
          <w:tcPr>
            <w:tcW w:w="2880" w:type="dxa"/>
          </w:tcPr>
          <w:p>
            <w:pPr>
              <w:spacing w:after="0"/>
              <w:rPr>
                <w:rFonts w:hint="eastAsia" w:ascii="宋体" w:hAnsi="宋体" w:eastAsia="宋体" w:cs="宋体"/>
              </w:rPr>
            </w:pPr>
            <w:r>
              <w:rPr>
                <w:rFonts w:hint="eastAsia" w:ascii="宋体" w:hAnsi="宋体" w:eastAsia="宋体" w:cs="宋体"/>
                <w:sz w:val="24"/>
              </w:rPr>
              <w:t>`hyperattentionati`、`psichic`、`deepdta`、`predict.py`</w:t>
            </w:r>
          </w:p>
        </w:tc>
        <w:tc>
          <w:tcPr>
            <w:tcW w:w="2880" w:type="dxa"/>
          </w:tcPr>
          <w:p>
            <w:pPr>
              <w:spacing w:after="0"/>
              <w:rPr>
                <w:rFonts w:hint="eastAsia" w:ascii="宋体" w:hAnsi="宋体" w:eastAsia="宋体" w:cs="宋体"/>
              </w:rPr>
            </w:pPr>
            <w:r>
              <w:rPr>
                <w:rFonts w:hint="eastAsia" w:ascii="宋体" w:hAnsi="宋体" w:eastAsia="宋体" w:cs="宋体"/>
                <w:sz w:val="24"/>
              </w:rPr>
              <w:t>提供多场景 DTI 预测、新药评估和亲和力预测相关推理代码。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`database`</w:t>
            </w:r>
          </w:p>
        </w:tc>
        <w:tc>
          <w:tcPr>
            <w:tcW w:w="2880" w:type="dxa"/>
          </w:tcPr>
          <w:p>
            <w:pPr>
              <w:spacing w:after="0"/>
              <w:rPr>
                <w:rFonts w:hint="eastAsia" w:ascii="宋体" w:hAnsi="宋体" w:eastAsia="宋体" w:cs="宋体"/>
              </w:rPr>
            </w:pPr>
            <w:r>
              <w:rPr>
                <w:rFonts w:hint="eastAsia" w:ascii="宋体" w:hAnsi="宋体" w:eastAsia="宋体" w:cs="宋体"/>
                <w:sz w:val="24"/>
              </w:rPr>
              <w:t>Django migrations、数据库说明、MySQL 配置说明</w:t>
            </w:r>
          </w:p>
        </w:tc>
        <w:tc>
          <w:tcPr>
            <w:tcW w:w="2880" w:type="dxa"/>
          </w:tcPr>
          <w:p>
            <w:pPr>
              <w:spacing w:after="0"/>
              <w:rPr>
                <w:rFonts w:hint="eastAsia" w:ascii="宋体" w:hAnsi="宋体" w:eastAsia="宋体" w:cs="宋体"/>
              </w:rPr>
            </w:pPr>
            <w:r>
              <w:rPr>
                <w:rFonts w:hint="eastAsia" w:ascii="宋体" w:hAnsi="宋体" w:eastAsia="宋体" w:cs="宋体"/>
                <w:sz w:val="24"/>
              </w:rPr>
              <w:t>记录数据库结构演进，支撑用户、历史结果和业务数据持久化。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`external APIs`</w:t>
            </w:r>
          </w:p>
        </w:tc>
        <w:tc>
          <w:tcPr>
            <w:tcW w:w="2880" w:type="dxa"/>
          </w:tcPr>
          <w:p>
            <w:pPr>
              <w:spacing w:after="0"/>
              <w:rPr>
                <w:rFonts w:hint="eastAsia" w:ascii="宋体" w:hAnsi="宋体" w:eastAsia="宋体" w:cs="宋体"/>
              </w:rPr>
            </w:pPr>
            <w:r>
              <w:rPr>
                <w:rFonts w:hint="eastAsia" w:ascii="宋体" w:hAnsi="宋体" w:eastAsia="宋体" w:cs="宋体"/>
                <w:sz w:val="24"/>
              </w:rPr>
              <w:t>PubChem、PDB、UniProt、DrugBank 等数据接口</w:t>
            </w:r>
          </w:p>
        </w:tc>
        <w:tc>
          <w:tcPr>
            <w:tcW w:w="2880" w:type="dxa"/>
          </w:tcPr>
          <w:p>
            <w:pPr>
              <w:spacing w:after="0"/>
              <w:rPr>
                <w:rFonts w:hint="eastAsia" w:ascii="宋体" w:hAnsi="宋体" w:eastAsia="宋体" w:cs="宋体"/>
              </w:rPr>
            </w:pPr>
            <w:r>
              <w:rPr>
                <w:rFonts w:hint="eastAsia" w:ascii="宋体" w:hAnsi="宋体" w:eastAsia="宋体" w:cs="宋体"/>
                <w:sz w:val="24"/>
              </w:rPr>
              <w:t>为药物、蛋白质、复合物和药物属性查询提供外部数据来源。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pPr>
              <w:spacing w:after="0"/>
              <w:rPr>
                <w:rFonts w:hint="eastAsia" w:ascii="宋体" w:hAnsi="宋体" w:eastAsia="宋体" w:cs="宋体"/>
              </w:rPr>
            </w:pPr>
            <w:r>
              <w:rPr>
                <w:rFonts w:hint="eastAsia" w:ascii="宋体" w:hAnsi="宋体" w:eastAsia="宋体" w:cs="宋体"/>
                <w:sz w:val="24"/>
              </w:rPr>
              <w:t>`runtime`</w:t>
            </w:r>
          </w:p>
        </w:tc>
        <w:tc>
          <w:tcPr>
            <w:tcW w:w="2880" w:type="dxa"/>
          </w:tcPr>
          <w:p>
            <w:pPr>
              <w:spacing w:after="0"/>
              <w:rPr>
                <w:rFonts w:hint="eastAsia" w:ascii="宋体" w:hAnsi="宋体" w:eastAsia="宋体" w:cs="宋体"/>
              </w:rPr>
            </w:pPr>
            <w:r>
              <w:rPr>
                <w:rFonts w:hint="eastAsia" w:ascii="宋体" w:hAnsi="宋体" w:eastAsia="宋体" w:cs="宋体"/>
                <w:sz w:val="24"/>
              </w:rPr>
              <w:t>Django 主服务、多模型独立 Python 环境、运行临时目录和缓存目录</w:t>
            </w:r>
          </w:p>
        </w:tc>
        <w:tc>
          <w:tcPr>
            <w:tcW w:w="2880" w:type="dxa"/>
          </w:tcPr>
          <w:p>
            <w:pPr>
              <w:spacing w:after="0"/>
              <w:rPr>
                <w:rFonts w:hint="eastAsia" w:ascii="宋体" w:hAnsi="宋体" w:eastAsia="宋体" w:cs="宋体"/>
              </w:rPr>
            </w:pPr>
            <w:r>
              <w:rPr>
                <w:rFonts w:hint="eastAsia" w:ascii="宋体" w:hAnsi="宋体" w:eastAsia="宋体" w:cs="宋体"/>
                <w:sz w:val="24"/>
              </w:rPr>
              <w:t>隔离不同模型依赖，保证模型调用和 Web 服务协同运行。</w:t>
            </w:r>
          </w:p>
        </w:tc>
      </w:tr>
    </w:tbl>
    <w:p>
      <w:pPr>
        <w:pStyle w:val="4"/>
        <w:rPr>
          <w:rFonts w:hint="eastAsia" w:ascii="宋体" w:hAnsi="宋体" w:eastAsia="宋体" w:cs="宋体"/>
        </w:rPr>
      </w:pPr>
      <w:r>
        <w:rPr>
          <w:rFonts w:hint="eastAsia" w:ascii="宋体" w:hAnsi="宋体" w:eastAsia="宋体" w:cs="宋体"/>
        </w:rPr>
        <w:t>3.3 逻辑分层</w:t>
      </w:r>
    </w:p>
    <w:p>
      <w:pPr>
        <w:rPr>
          <w:rFonts w:hint="eastAsia" w:ascii="宋体" w:hAnsi="宋体" w:eastAsia="宋体" w:cs="宋体"/>
        </w:rPr>
      </w:pPr>
      <w:r>
        <w:rPr>
          <w:rFonts w:hint="eastAsia" w:ascii="宋体" w:hAnsi="宋体" w:eastAsia="宋体" w:cs="宋体"/>
          <w:sz w:val="24"/>
        </w:rPr>
        <w:t>iDrug 平台采用表现层、业务层、模型层和数据层四层逻辑结构。该结构与作品报告中的总体技术路线保持一致：表现层负责页面交互与结果展示，业务层负责请求处理与模型调度，模型层负责预测计算与推荐排序，数据层负责本地知识库、业务数据库和外部接口接入。</w:t>
      </w:r>
    </w:p>
    <w:p>
      <w:pPr>
        <w:spacing w:line="240" w:lineRule="auto"/>
        <w:jc w:val="center"/>
        <w:rPr>
          <w:rFonts w:hint="eastAsia" w:ascii="宋体" w:hAnsi="宋体" w:eastAsia="宋体" w:cs="宋体"/>
          <w:i/>
          <w:color w:val="808080"/>
          <w:sz w:val="24"/>
          <w:lang w:eastAsia="zh-CN"/>
        </w:rPr>
      </w:pPr>
      <w:r>
        <w:rPr>
          <w:rFonts w:hint="eastAsia" w:ascii="宋体" w:hAnsi="宋体" w:eastAsia="宋体" w:cs="宋体"/>
          <w:i/>
          <w:color w:val="808080"/>
          <w:sz w:val="24"/>
          <w:lang w:eastAsia="zh-CN"/>
        </w:rPr>
        <w:drawing>
          <wp:inline distT="0" distB="0" distL="114300" distR="114300">
            <wp:extent cx="5486400" cy="2590800"/>
            <wp:effectExtent l="0" t="0" r="0" b="0"/>
            <wp:docPr id="6" name="图片 6" descr="_app_data_所有对话_主对话_idrug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_app_data_所有对话_主对话_idrug框架图"/>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486400" cy="2590800"/>
                    </a:xfrm>
                    <a:prstGeom prst="rect">
                      <a:avLst/>
                    </a:prstGeom>
                  </pic:spPr>
                </pic:pic>
              </a:graphicData>
            </a:graphic>
          </wp:inline>
        </w:drawing>
      </w:r>
    </w:p>
    <w:p>
      <w:pPr>
        <w:pStyle w:val="5"/>
        <w:rPr>
          <w:rFonts w:hint="eastAsia" w:ascii="宋体" w:hAnsi="宋体" w:eastAsia="宋体" w:cs="宋体"/>
        </w:rPr>
      </w:pPr>
      <w:r>
        <w:rPr>
          <w:rFonts w:hint="eastAsia" w:ascii="宋体" w:hAnsi="宋体" w:eastAsia="宋体" w:cs="宋体"/>
        </w:rPr>
        <w:t>3.3.1 表现层</w:t>
      </w:r>
    </w:p>
    <w:p>
      <w:pPr>
        <w:rPr>
          <w:rFonts w:hint="eastAsia" w:ascii="宋体" w:hAnsi="宋体" w:eastAsia="宋体" w:cs="宋体"/>
        </w:rPr>
      </w:pPr>
      <w:r>
        <w:rPr>
          <w:rFonts w:hint="eastAsia" w:ascii="宋体" w:hAnsi="宋体" w:eastAsia="宋体" w:cs="宋体"/>
          <w:sz w:val="24"/>
        </w:rPr>
        <w:t>实现内容：前端页面、导航栏、表单输入、任务选择、预测结果展示、推荐结果展示、结构可视化区域、数据浏览表格、用户中心和历史详情页面。表现层主要由 HTML、CSS 和 JavaScript 构成，对应目录为 `frontend/pages` 和 `frontend/static`。</w:t>
      </w:r>
    </w:p>
    <w:p>
      <w:pPr>
        <w:rPr>
          <w:rFonts w:hint="eastAsia" w:ascii="宋体" w:hAnsi="宋体" w:eastAsia="宋体" w:cs="宋体"/>
        </w:rPr>
      </w:pPr>
      <w:r>
        <w:rPr>
          <w:rFonts w:hint="eastAsia" w:ascii="宋体" w:hAnsi="宋体" w:eastAsia="宋体" w:cs="宋体"/>
          <w:sz w:val="24"/>
        </w:rPr>
        <w:t>设计要点：</w:t>
      </w:r>
    </w:p>
    <w:p>
      <w:pPr>
        <w:pStyle w:val="14"/>
        <w:rPr>
          <w:rFonts w:hint="eastAsia" w:ascii="宋体" w:hAnsi="宋体" w:eastAsia="宋体" w:cs="宋体"/>
        </w:rPr>
      </w:pPr>
      <w:r>
        <w:rPr>
          <w:rFonts w:hint="eastAsia" w:ascii="宋体" w:hAnsi="宋体" w:eastAsia="宋体" w:cs="宋体"/>
          <w:sz w:val="24"/>
        </w:rPr>
        <w:t>页面应围绕预测、查询、排序、展示、保存的主流程组织导航。</w:t>
      </w:r>
    </w:p>
    <w:p>
      <w:pPr>
        <w:pStyle w:val="14"/>
        <w:rPr>
          <w:rFonts w:hint="eastAsia" w:ascii="宋体" w:hAnsi="宋体" w:eastAsia="宋体" w:cs="宋体"/>
        </w:rPr>
      </w:pPr>
      <w:r>
        <w:rPr>
          <w:rFonts w:hint="eastAsia" w:ascii="宋体" w:hAnsi="宋体" w:eastAsia="宋体" w:cs="宋体"/>
          <w:sz w:val="24"/>
        </w:rPr>
        <w:t>输入表单应对药物、靶点和用户画像提供清晰字段。</w:t>
      </w:r>
    </w:p>
    <w:p>
      <w:pPr>
        <w:pStyle w:val="14"/>
        <w:rPr>
          <w:rFonts w:hint="eastAsia" w:ascii="宋体" w:hAnsi="宋体" w:eastAsia="宋体" w:cs="宋体"/>
        </w:rPr>
      </w:pPr>
      <w:r>
        <w:rPr>
          <w:rFonts w:hint="eastAsia" w:ascii="宋体" w:hAnsi="宋体" w:eastAsia="宋体" w:cs="宋体"/>
          <w:sz w:val="24"/>
        </w:rPr>
        <w:t>预测和推荐结果应以列表、排名、分数和解释信息形式呈现。</w:t>
      </w:r>
    </w:p>
    <w:p>
      <w:pPr>
        <w:pStyle w:val="14"/>
        <w:rPr>
          <w:rFonts w:hint="eastAsia" w:ascii="宋体" w:hAnsi="宋体" w:eastAsia="宋体" w:cs="宋体"/>
        </w:rPr>
      </w:pPr>
      <w:r>
        <w:rPr>
          <w:rFonts w:hint="eastAsia" w:ascii="宋体" w:hAnsi="宋体" w:eastAsia="宋体" w:cs="宋体"/>
          <w:sz w:val="24"/>
        </w:rPr>
        <w:t>结构查询页面应支持静态图片和三维结构展示。</w:t>
      </w:r>
    </w:p>
    <w:p>
      <w:pPr>
        <w:pStyle w:val="14"/>
        <w:rPr>
          <w:rFonts w:hint="eastAsia" w:ascii="宋体" w:hAnsi="宋体" w:eastAsia="宋体" w:cs="宋体"/>
        </w:rPr>
      </w:pPr>
      <w:r>
        <w:rPr>
          <w:rFonts w:hint="eastAsia" w:ascii="宋体" w:hAnsi="宋体" w:eastAsia="宋体" w:cs="宋体"/>
          <w:sz w:val="24"/>
        </w:rPr>
        <w:t>用户中心应支持历史记录查看、详情打开和删除反馈。</w:t>
      </w:r>
    </w:p>
    <w:p>
      <w:pPr>
        <w:pStyle w:val="5"/>
        <w:rPr>
          <w:rFonts w:hint="eastAsia" w:ascii="宋体" w:hAnsi="宋体" w:eastAsia="宋体" w:cs="宋体"/>
        </w:rPr>
      </w:pPr>
      <w:r>
        <w:rPr>
          <w:rFonts w:hint="eastAsia" w:ascii="宋体" w:hAnsi="宋体" w:eastAsia="宋体" w:cs="宋体"/>
        </w:rPr>
        <w:t>3.3.2 业务层</w:t>
      </w:r>
    </w:p>
    <w:p>
      <w:pPr>
        <w:rPr>
          <w:rFonts w:hint="eastAsia" w:ascii="宋体" w:hAnsi="宋体" w:eastAsia="宋体" w:cs="宋体"/>
        </w:rPr>
      </w:pPr>
      <w:r>
        <w:rPr>
          <w:rFonts w:hint="eastAsia" w:ascii="宋体" w:hAnsi="宋体" w:eastAsia="宋体" w:cs="宋体"/>
          <w:sz w:val="24"/>
        </w:rPr>
        <w:t>实现内容：Django URL 路由、视图函数、REST API、用户注册登录、会话校验、预测任务分发、个性化推荐重排序、药物与蛋白查询、数据源摘要、结果保存与删除。业务层主要对应 `backend/iDrug/urls.py` 和 `backend/web/` 下的各业务模块。</w:t>
      </w:r>
    </w:p>
    <w:p>
      <w:pPr>
        <w:rPr>
          <w:rFonts w:hint="eastAsia" w:ascii="宋体" w:hAnsi="宋体" w:eastAsia="宋体" w:cs="宋体"/>
        </w:rPr>
      </w:pPr>
      <w:r>
        <w:rPr>
          <w:rFonts w:hint="eastAsia" w:ascii="宋体" w:hAnsi="宋体" w:eastAsia="宋体" w:cs="宋体"/>
          <w:sz w:val="24"/>
        </w:rPr>
        <w:t>设计要点：</w:t>
      </w:r>
    </w:p>
    <w:p>
      <w:pPr>
        <w:pStyle w:val="14"/>
        <w:rPr>
          <w:rFonts w:hint="eastAsia" w:ascii="宋体" w:hAnsi="宋体" w:eastAsia="宋体" w:cs="宋体"/>
        </w:rPr>
      </w:pPr>
      <w:r>
        <w:rPr>
          <w:rFonts w:hint="eastAsia" w:ascii="宋体" w:hAnsi="宋体" w:eastAsia="宋体" w:cs="宋体"/>
          <w:sz w:val="24"/>
        </w:rPr>
        <w:t>业务层对外提供统一 HTTP 接口，对内协调模型层与数据层。</w:t>
      </w:r>
    </w:p>
    <w:p>
      <w:pPr>
        <w:pStyle w:val="14"/>
        <w:rPr>
          <w:rFonts w:hint="eastAsia" w:ascii="宋体" w:hAnsi="宋体" w:eastAsia="宋体" w:cs="宋体"/>
        </w:rPr>
      </w:pPr>
      <w:r>
        <w:rPr>
          <w:rFonts w:hint="eastAsia" w:ascii="宋体" w:hAnsi="宋体" w:eastAsia="宋体" w:cs="宋体"/>
          <w:sz w:val="24"/>
        </w:rPr>
        <w:t>所有核心请求均应进行输入校验，避免空输入或非法格式直接进入模型推理。</w:t>
      </w:r>
    </w:p>
    <w:p>
      <w:pPr>
        <w:pStyle w:val="14"/>
        <w:rPr>
          <w:rFonts w:hint="eastAsia" w:ascii="宋体" w:hAnsi="宋体" w:eastAsia="宋体" w:cs="宋体"/>
        </w:rPr>
      </w:pPr>
      <w:r>
        <w:rPr>
          <w:rFonts w:hint="eastAsia" w:ascii="宋体" w:hAnsi="宋体" w:eastAsia="宋体" w:cs="宋体"/>
          <w:sz w:val="24"/>
        </w:rPr>
        <w:t>预测任务由业务层根据任务类型调度对应模型，前端无需感知具体模型路径和运行环境。</w:t>
      </w:r>
    </w:p>
    <w:p>
      <w:pPr>
        <w:pStyle w:val="14"/>
        <w:rPr>
          <w:rFonts w:hint="eastAsia" w:ascii="宋体" w:hAnsi="宋体" w:eastAsia="宋体" w:cs="宋体"/>
        </w:rPr>
      </w:pPr>
      <w:r>
        <w:rPr>
          <w:rFonts w:hint="eastAsia" w:ascii="宋体" w:hAnsi="宋体" w:eastAsia="宋体" w:cs="宋体"/>
          <w:sz w:val="24"/>
        </w:rPr>
        <w:t>个性化推荐由业务层整合基础预测分数、用户画像和药物知识数据生成综合结果。</w:t>
      </w:r>
    </w:p>
    <w:p>
      <w:pPr>
        <w:pStyle w:val="14"/>
        <w:rPr>
          <w:rFonts w:hint="eastAsia" w:ascii="宋体" w:hAnsi="宋体" w:eastAsia="宋体" w:cs="宋体"/>
        </w:rPr>
      </w:pPr>
      <w:r>
        <w:rPr>
          <w:rFonts w:hint="eastAsia" w:ascii="宋体" w:hAnsi="宋体" w:eastAsia="宋体" w:cs="宋体"/>
          <w:sz w:val="24"/>
        </w:rPr>
        <w:t>用户历史记录由业务层绑定当前登录用户，确保不同用户数据隔离。</w:t>
      </w:r>
    </w:p>
    <w:p>
      <w:pPr>
        <w:pStyle w:val="5"/>
        <w:rPr>
          <w:rFonts w:hint="eastAsia" w:ascii="宋体" w:hAnsi="宋体" w:eastAsia="宋体" w:cs="宋体"/>
        </w:rPr>
      </w:pPr>
      <w:r>
        <w:rPr>
          <w:rFonts w:hint="eastAsia" w:ascii="宋体" w:hAnsi="宋体" w:eastAsia="宋体" w:cs="宋体"/>
        </w:rPr>
        <w:t>3.3.3 模型层</w:t>
      </w:r>
    </w:p>
    <w:p>
      <w:pPr>
        <w:rPr>
          <w:rFonts w:hint="eastAsia" w:ascii="宋体" w:hAnsi="宋体" w:eastAsia="宋体" w:cs="宋体"/>
        </w:rPr>
      </w:pPr>
      <w:r>
        <w:rPr>
          <w:rFonts w:hint="eastAsia" w:ascii="宋体" w:hAnsi="宋体" w:eastAsia="宋体" w:cs="宋体"/>
          <w:sz w:val="24"/>
        </w:rPr>
        <w:t>实现内容：HyperAttentionDTI、PSICHIC、DeepDTA 等模型推理脚本，任务—模型匹配机制，临时输入文件生成，模型输出解析，基础预测分数计算，个性化推荐重排序算法。模型层主要对应 `model/` 目录和 `backend/web/prediction_model_services.py`、`backend/web/personalization.py` 等模块。</w:t>
      </w:r>
    </w:p>
    <w:p>
      <w:pPr>
        <w:rPr>
          <w:rFonts w:hint="eastAsia" w:ascii="宋体" w:hAnsi="宋体" w:eastAsia="宋体" w:cs="宋体"/>
        </w:rPr>
      </w:pPr>
      <w:r>
        <w:rPr>
          <w:rFonts w:hint="eastAsia" w:ascii="宋体" w:hAnsi="宋体" w:eastAsia="宋体" w:cs="宋体"/>
          <w:sz w:val="24"/>
        </w:rPr>
        <w:t>设计要点：</w:t>
      </w:r>
    </w:p>
    <w:p>
      <w:pPr>
        <w:pStyle w:val="14"/>
        <w:rPr>
          <w:rFonts w:hint="eastAsia" w:ascii="宋体" w:hAnsi="宋体" w:eastAsia="宋体" w:cs="宋体"/>
        </w:rPr>
      </w:pPr>
      <w:r>
        <w:rPr>
          <w:rFonts w:hint="eastAsia" w:ascii="宋体" w:hAnsi="宋体" w:eastAsia="宋体" w:cs="宋体"/>
          <w:sz w:val="24"/>
        </w:rPr>
        <w:t>不同模型可运行在独立 Python 环境中，降低依赖冲突风险。</w:t>
      </w:r>
    </w:p>
    <w:p>
      <w:pPr>
        <w:pStyle w:val="14"/>
        <w:rPr>
          <w:rFonts w:hint="eastAsia" w:ascii="宋体" w:hAnsi="宋体" w:eastAsia="宋体" w:cs="宋体"/>
        </w:rPr>
      </w:pPr>
      <w:r>
        <w:rPr>
          <w:rFonts w:hint="eastAsia" w:ascii="宋体" w:hAnsi="宋体" w:eastAsia="宋体" w:cs="宋体"/>
          <w:sz w:val="24"/>
        </w:rPr>
        <w:t>模型推理输入应统一转换为模型脚本可接受的 CSV 或参数格式。</w:t>
      </w:r>
    </w:p>
    <w:p>
      <w:pPr>
        <w:pStyle w:val="14"/>
        <w:rPr>
          <w:rFonts w:hint="eastAsia" w:ascii="宋体" w:hAnsi="宋体" w:eastAsia="宋体" w:cs="宋体"/>
        </w:rPr>
      </w:pPr>
      <w:r>
        <w:rPr>
          <w:rFonts w:hint="eastAsia" w:ascii="宋体" w:hAnsi="宋体" w:eastAsia="宋体" w:cs="宋体"/>
          <w:sz w:val="24"/>
        </w:rPr>
        <w:t>模型输出应统一解析为任务状态、预测分数、预测标签和结果项列表。</w:t>
      </w:r>
    </w:p>
    <w:p>
      <w:pPr>
        <w:pStyle w:val="14"/>
        <w:rPr>
          <w:rFonts w:hint="eastAsia" w:ascii="宋体" w:hAnsi="宋体" w:eastAsia="宋体" w:cs="宋体"/>
        </w:rPr>
      </w:pPr>
      <w:r>
        <w:rPr>
          <w:rFonts w:hint="eastAsia" w:ascii="宋体" w:hAnsi="宋体" w:eastAsia="宋体" w:cs="宋体"/>
          <w:sz w:val="24"/>
        </w:rPr>
        <w:t>权重文件体积较大，不直接提交 GitHub，应通过部署环境或课程压缩包补齐。</w:t>
      </w:r>
    </w:p>
    <w:p>
      <w:pPr>
        <w:pStyle w:val="14"/>
        <w:rPr>
          <w:rFonts w:hint="eastAsia" w:ascii="宋体" w:hAnsi="宋体" w:eastAsia="宋体" w:cs="宋体"/>
        </w:rPr>
      </w:pPr>
      <w:r>
        <w:rPr>
          <w:rFonts w:hint="eastAsia" w:ascii="宋体" w:hAnsi="宋体" w:eastAsia="宋体" w:cs="宋体"/>
          <w:sz w:val="24"/>
        </w:rPr>
        <w:t>个性化重排序应提供可解释结果，避免只输出单一模型分数。</w:t>
      </w:r>
    </w:p>
    <w:p>
      <w:pPr>
        <w:pStyle w:val="5"/>
        <w:rPr>
          <w:rFonts w:hint="eastAsia" w:ascii="宋体" w:hAnsi="宋体" w:eastAsia="宋体" w:cs="宋体"/>
        </w:rPr>
      </w:pPr>
      <w:r>
        <w:rPr>
          <w:rFonts w:hint="eastAsia" w:ascii="宋体" w:hAnsi="宋体" w:eastAsia="宋体" w:cs="宋体"/>
        </w:rPr>
        <w:t>3.3.4 数据层</w:t>
      </w:r>
    </w:p>
    <w:p>
      <w:pPr>
        <w:rPr>
          <w:rFonts w:hint="eastAsia" w:ascii="宋体" w:hAnsi="宋体" w:eastAsia="宋体" w:cs="宋体"/>
        </w:rPr>
      </w:pPr>
      <w:r>
        <w:rPr>
          <w:rFonts w:hint="eastAsia" w:ascii="宋体" w:hAnsi="宋体" w:eastAsia="宋体" w:cs="宋体"/>
          <w:sz w:val="24"/>
        </w:rPr>
        <w:t>实现内容：MySQL 用户信息和历史记录、本地 CSV/JSON 元数据、PDB/CIF/图片结构资源、Django migrations、外部公共数据库接口。数据层负责向业务层和模型层提供结构查询、推荐排序、用户管理和结果持久化所需的数据。</w:t>
      </w:r>
    </w:p>
    <w:p>
      <w:pPr>
        <w:rPr>
          <w:rFonts w:hint="eastAsia" w:ascii="宋体" w:hAnsi="宋体" w:eastAsia="宋体" w:cs="宋体"/>
        </w:rPr>
      </w:pPr>
      <w:r>
        <w:rPr>
          <w:rFonts w:hint="eastAsia" w:ascii="宋体" w:hAnsi="宋体" w:eastAsia="宋体" w:cs="宋体"/>
          <w:sz w:val="24"/>
        </w:rPr>
        <w:t>设计要点：</w:t>
      </w:r>
    </w:p>
    <w:p>
      <w:pPr>
        <w:pStyle w:val="14"/>
        <w:rPr>
          <w:rFonts w:hint="eastAsia" w:ascii="宋体" w:hAnsi="宋体" w:eastAsia="宋体" w:cs="宋体"/>
        </w:rPr>
      </w:pPr>
      <w:r>
        <w:rPr>
          <w:rFonts w:hint="eastAsia" w:ascii="宋体" w:hAnsi="宋体" w:eastAsia="宋体" w:cs="宋体"/>
          <w:sz w:val="24"/>
        </w:rPr>
        <w:t>MySQL 主要保存用户信息、会话相关数据、历史记录和业务数据。</w:t>
      </w:r>
    </w:p>
    <w:p>
      <w:pPr>
        <w:pStyle w:val="14"/>
        <w:rPr>
          <w:rFonts w:hint="eastAsia" w:ascii="宋体" w:hAnsi="宋体" w:eastAsia="宋体" w:cs="宋体"/>
        </w:rPr>
      </w:pPr>
      <w:r>
        <w:rPr>
          <w:rFonts w:hint="eastAsia" w:ascii="宋体" w:hAnsi="宋体" w:eastAsia="宋体" w:cs="宋体"/>
          <w:sz w:val="24"/>
        </w:rPr>
        <w:t>本地 CSV 和 JSON 文件用于药物结构映射、蛋白结构映射、复</w:t>
      </w:r>
      <w:bookmarkStart w:id="0" w:name="_GoBack"/>
      <w:bookmarkEnd w:id="0"/>
      <w:r>
        <w:rPr>
          <w:rFonts w:hint="eastAsia" w:ascii="宋体" w:hAnsi="宋体" w:eastAsia="宋体" w:cs="宋体"/>
          <w:sz w:val="24"/>
        </w:rPr>
        <w:t>合物映射、疾病标签、过敏标签和药物个性化元数据。</w:t>
      </w:r>
    </w:p>
    <w:p>
      <w:pPr>
        <w:pStyle w:val="14"/>
        <w:rPr>
          <w:rFonts w:hint="eastAsia" w:ascii="宋体" w:hAnsi="宋体" w:eastAsia="宋体" w:cs="宋体"/>
        </w:rPr>
      </w:pPr>
      <w:r>
        <w:rPr>
          <w:rFonts w:hint="eastAsia" w:ascii="宋体" w:hAnsi="宋体" w:eastAsia="宋体" w:cs="宋体"/>
          <w:sz w:val="24"/>
        </w:rPr>
        <w:t>外部接口用于补充 PubChem、PDB、UniProt、DrugBank 等公共数据资源。</w:t>
      </w:r>
    </w:p>
    <w:p>
      <w:pPr>
        <w:pStyle w:val="14"/>
        <w:rPr>
          <w:rFonts w:hint="eastAsia" w:ascii="宋体" w:hAnsi="宋体" w:eastAsia="宋体" w:cs="宋体"/>
        </w:rPr>
      </w:pPr>
      <w:r>
        <w:rPr>
          <w:rFonts w:hint="eastAsia" w:ascii="宋体" w:hAnsi="宋体" w:eastAsia="宋体" w:cs="宋体"/>
          <w:sz w:val="24"/>
        </w:rPr>
        <w:t>数据浏览页面应展示数据来源和字段用途，帮助用户理解系统数据支撑。</w:t>
      </w:r>
    </w:p>
    <w:p>
      <w:pPr>
        <w:pStyle w:val="14"/>
        <w:rPr>
          <w:rFonts w:hint="eastAsia" w:ascii="宋体" w:hAnsi="宋体" w:eastAsia="宋体" w:cs="宋体"/>
        </w:rPr>
      </w:pPr>
      <w:r>
        <w:rPr>
          <w:rFonts w:hint="eastAsia" w:ascii="宋体" w:hAnsi="宋体" w:eastAsia="宋体" w:cs="宋体"/>
          <w:sz w:val="24"/>
        </w:rPr>
        <w:t>数据库密码、API Key、Token 等敏感信息不得直接写入公开仓库。</w:t>
      </w:r>
    </w:p>
    <w:p>
      <w:pPr>
        <w:pStyle w:val="4"/>
        <w:rPr>
          <w:rFonts w:hint="eastAsia" w:ascii="宋体" w:hAnsi="宋体" w:eastAsia="宋体" w:cs="宋体"/>
        </w:rPr>
      </w:pPr>
      <w:r>
        <w:rPr>
          <w:rFonts w:hint="eastAsia" w:ascii="宋体" w:hAnsi="宋体" w:eastAsia="宋体" w:cs="宋体"/>
        </w:rPr>
        <w:t>3.4 小结</w:t>
      </w:r>
    </w:p>
    <w:p>
      <w:pPr>
        <w:rPr>
          <w:rFonts w:hint="eastAsia" w:ascii="宋体" w:hAnsi="宋体" w:eastAsia="宋体" w:cs="宋体"/>
        </w:rPr>
      </w:pPr>
      <w:r>
        <w:rPr>
          <w:rFonts w:hint="eastAsia" w:ascii="宋体" w:hAnsi="宋体" w:eastAsia="宋体" w:cs="宋体"/>
          <w:sz w:val="24"/>
        </w:rPr>
        <w:t>本章从时序交互、操作契约、包结构和逻辑分层四个角度描述了 iDrug 平台的系统设计。系统整体采用前端页面、Django 后端服务、多模型推理环境、MySQL 数据库、本地知识库和外部数据接口协同工作的方式，能够支撑多场景 DTI 预测、个性化药物推荐、结构查询、数据展示和用户结果管理等核心功能。该设计将算法模型能力封装到可交互的 Web 平台中，为后续详细设计、系统实现和功能测试提供了结构基础。</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hMDA3MjlhZGEyOWM4ZWNiMDA3M2I0ZjNjMDM0NmIifQ=="/>
  </w:docVars>
  <w:rsids>
    <w:rsidRoot w:val="00B47730"/>
    <w:rsid w:val="00034616"/>
    <w:rsid w:val="0006063C"/>
    <w:rsid w:val="0015074B"/>
    <w:rsid w:val="0029639D"/>
    <w:rsid w:val="00326F90"/>
    <w:rsid w:val="00AA1D8D"/>
    <w:rsid w:val="00B47730"/>
    <w:rsid w:val="00CB0664"/>
    <w:rsid w:val="00FC693F"/>
    <w:rsid w:val="37BF4F82"/>
    <w:rsid w:val="38AF2F46"/>
    <w:rsid w:val="3A56389A"/>
    <w:rsid w:val="793C76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440" w:lineRule="exact"/>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line="560" w:lineRule="exact"/>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line="560" w:lineRule="exac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line="560" w:lineRule="exact"/>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WPS_1698678571</cp:lastModifiedBy>
  <dcterms:modified xsi:type="dcterms:W3CDTF">2026-06-09T13:19:26Z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7628909880182866176-data_volume/files/所有对话/主对话/三、系统设计.docx","ReservedCode1":"","ContentPropagator":"001191110102MACQD9K64028705","PropagateID":"4214900336915976#1781009241534","ReservedCode2":""}</vt:lpwstr>
  </property>
  <property fmtid="{D5CDD505-2E9C-101B-9397-08002B2CF9AE}" pid="3" name="KSOProductBuildVer">
    <vt:lpwstr>2052-11.1.0.14252</vt:lpwstr>
  </property>
  <property fmtid="{D5CDD505-2E9C-101B-9397-08002B2CF9AE}" pid="4" name="ICV">
    <vt:lpwstr>C01841DCA4EC4110A065835CE17DD29F_13</vt:lpwstr>
  </property>
</Properties>
</file>