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550A09" w14:textId="77777777" w:rsidR="00C45CFE" w:rsidRDefault="00000000">
      <w:pPr>
        <w:pStyle w:val="Title"/>
        <w:jc w:val="center"/>
      </w:pPr>
      <w:r>
        <w:rPr>
          <w:color w:val="124538"/>
        </w:rPr>
        <w:t>Google Ads CPC Parity: Findings and Action Plan</w:t>
      </w:r>
    </w:p>
    <w:p w14:paraId="036EC215" w14:textId="77777777" w:rsidR="00C45CFE" w:rsidRDefault="00000000">
      <w:pPr>
        <w:jc w:val="center"/>
      </w:pPr>
      <w:r>
        <w:rPr>
          <w:b/>
          <w:sz w:val="24"/>
        </w:rPr>
        <w:t>IDLookup.ai inmate-search acquisition versus legacy campaigns</w:t>
      </w:r>
    </w:p>
    <w:p w14:paraId="4B1845B1" w14:textId="4D08EE64" w:rsidR="00C45CFE" w:rsidRDefault="00000000">
      <w:pPr>
        <w:jc w:val="center"/>
      </w:pPr>
      <w:r>
        <w:rPr>
          <w:i/>
          <w:color w:val="646464"/>
          <w:sz w:val="19"/>
        </w:rPr>
        <w:t xml:space="preserve">Prepared for </w:t>
      </w:r>
      <w:r w:rsidR="00C640E1">
        <w:rPr>
          <w:i/>
          <w:color w:val="646464"/>
          <w:sz w:val="19"/>
        </w:rPr>
        <w:t>Team</w:t>
      </w:r>
      <w:r>
        <w:rPr>
          <w:i/>
          <w:color w:val="646464"/>
          <w:sz w:val="19"/>
        </w:rPr>
        <w:t xml:space="preserve"> Discussion</w:t>
      </w:r>
    </w:p>
    <w:tbl>
      <w:tblPr>
        <w:tblW w:w="0" w:type="auto"/>
        <w:jc w:val="center"/>
        <w:tblLook w:val="04A0" w:firstRow="1" w:lastRow="0" w:firstColumn="1" w:lastColumn="0" w:noHBand="0" w:noVBand="1"/>
      </w:tblPr>
      <w:tblGrid>
        <w:gridCol w:w="10224"/>
      </w:tblGrid>
      <w:tr w:rsidR="00C45CFE" w14:paraId="4378DED5" w14:textId="77777777">
        <w:trPr>
          <w:cantSplit/>
          <w:jc w:val="center"/>
        </w:trPr>
        <w:tc>
          <w:tcPr>
            <w:tcW w:w="10224" w:type="dxa"/>
            <w:shd w:val="clear" w:color="auto" w:fill="EAF3EF"/>
            <w:tcMar>
              <w:top w:w="120" w:type="dxa"/>
              <w:left w:w="150" w:type="dxa"/>
              <w:bottom w:w="120" w:type="dxa"/>
              <w:right w:w="150" w:type="dxa"/>
            </w:tcMar>
          </w:tcPr>
          <w:p w14:paraId="7D367BA0" w14:textId="77777777" w:rsidR="00C45CFE" w:rsidRDefault="00000000">
            <w:r>
              <w:rPr>
                <w:b/>
                <w:color w:val="124538"/>
                <w:sz w:val="23"/>
              </w:rPr>
              <w:t>Executive conclusion</w:t>
            </w:r>
          </w:p>
          <w:p w14:paraId="2E31B1A5" w14:textId="77777777" w:rsidR="00C45CFE" w:rsidRDefault="00000000">
            <w:r>
              <w:t>The early CPC gap does not appear to be an inherent economic disadvantage of the IDLookup.ai brand or domain. The strongest evidence points to campaign configuration and learning behavior: IDL was running unconstrained Maximize Conversions, was still in learning, and directed approximately 69% of spend to Broad Match traffic costing about $2.07 per click. Comparable literal searches also cost IDL more than Legacy, but the gap is materially amplified by the current bidding and traffic mix. A $20 target CPA has now been restored, and one Broad Match term responsible for more than 10% of spend has been identified and addressed.</w:t>
            </w:r>
          </w:p>
        </w:tc>
      </w:tr>
    </w:tbl>
    <w:p w14:paraId="0F096DB2" w14:textId="77777777" w:rsidR="00C45CFE" w:rsidRDefault="00000000">
      <w:pPr>
        <w:pStyle w:val="Heading1"/>
      </w:pPr>
      <w:r>
        <w:t>1. Current Economic Comparison</w:t>
      </w:r>
    </w:p>
    <w:tbl>
      <w:tblPr>
        <w:tblStyle w:val="TableGrid"/>
        <w:tblW w:w="0" w:type="auto"/>
        <w:jc w:val="center"/>
        <w:tblLook w:val="04A0" w:firstRow="1" w:lastRow="0" w:firstColumn="1" w:lastColumn="0" w:noHBand="0" w:noVBand="1"/>
      </w:tblPr>
      <w:tblGrid>
        <w:gridCol w:w="2556"/>
        <w:gridCol w:w="2556"/>
        <w:gridCol w:w="2556"/>
        <w:gridCol w:w="2556"/>
      </w:tblGrid>
      <w:tr w:rsidR="00C45CFE" w14:paraId="210FF7C3" w14:textId="77777777">
        <w:trPr>
          <w:cantSplit/>
          <w:jc w:val="center"/>
        </w:trPr>
        <w:tc>
          <w:tcPr>
            <w:tcW w:w="2556" w:type="dxa"/>
            <w:shd w:val="clear" w:color="auto" w:fill="174A3B"/>
          </w:tcPr>
          <w:p w14:paraId="77C1F0BF" w14:textId="77777777" w:rsidR="00C45CFE" w:rsidRDefault="00000000">
            <w:r>
              <w:rPr>
                <w:b/>
                <w:color w:val="FFFFFF"/>
                <w:sz w:val="18"/>
              </w:rPr>
              <w:t>Metric</w:t>
            </w:r>
          </w:p>
        </w:tc>
        <w:tc>
          <w:tcPr>
            <w:tcW w:w="2556" w:type="dxa"/>
            <w:shd w:val="clear" w:color="auto" w:fill="174A3B"/>
          </w:tcPr>
          <w:p w14:paraId="663DBA3C" w14:textId="77777777" w:rsidR="00C45CFE" w:rsidRDefault="00000000">
            <w:r>
              <w:rPr>
                <w:b/>
                <w:color w:val="FFFFFF"/>
                <w:sz w:val="18"/>
              </w:rPr>
              <w:t>Legacy</w:t>
            </w:r>
          </w:p>
        </w:tc>
        <w:tc>
          <w:tcPr>
            <w:tcW w:w="2556" w:type="dxa"/>
            <w:shd w:val="clear" w:color="auto" w:fill="174A3B"/>
          </w:tcPr>
          <w:p w14:paraId="691E6A62" w14:textId="77777777" w:rsidR="00C45CFE" w:rsidRDefault="00000000">
            <w:r>
              <w:rPr>
                <w:b/>
                <w:color w:val="FFFFFF"/>
                <w:sz w:val="18"/>
              </w:rPr>
              <w:t>IDL (initial)</w:t>
            </w:r>
          </w:p>
        </w:tc>
        <w:tc>
          <w:tcPr>
            <w:tcW w:w="2556" w:type="dxa"/>
            <w:shd w:val="clear" w:color="auto" w:fill="174A3B"/>
          </w:tcPr>
          <w:p w14:paraId="4EE42298" w14:textId="77777777" w:rsidR="00C45CFE" w:rsidRDefault="00000000">
            <w:r>
              <w:rPr>
                <w:b/>
                <w:color w:val="FFFFFF"/>
                <w:sz w:val="18"/>
              </w:rPr>
              <w:t>Implication</w:t>
            </w:r>
          </w:p>
        </w:tc>
      </w:tr>
      <w:tr w:rsidR="00C45CFE" w14:paraId="256B4FE7" w14:textId="77777777">
        <w:trPr>
          <w:cantSplit/>
          <w:jc w:val="center"/>
        </w:trPr>
        <w:tc>
          <w:tcPr>
            <w:tcW w:w="2556" w:type="dxa"/>
            <w:tcMar>
              <w:top w:w="80" w:type="dxa"/>
              <w:left w:w="100" w:type="dxa"/>
              <w:bottom w:w="80" w:type="dxa"/>
              <w:right w:w="100" w:type="dxa"/>
            </w:tcMar>
          </w:tcPr>
          <w:p w14:paraId="7CA0C5CF" w14:textId="77777777" w:rsidR="00C45CFE" w:rsidRDefault="00000000">
            <w:r>
              <w:rPr>
                <w:sz w:val="17"/>
              </w:rPr>
              <w:t>CTR</w:t>
            </w:r>
          </w:p>
        </w:tc>
        <w:tc>
          <w:tcPr>
            <w:tcW w:w="2556" w:type="dxa"/>
            <w:tcMar>
              <w:top w:w="80" w:type="dxa"/>
              <w:left w:w="100" w:type="dxa"/>
              <w:bottom w:w="80" w:type="dxa"/>
              <w:right w:w="100" w:type="dxa"/>
            </w:tcMar>
          </w:tcPr>
          <w:p w14:paraId="3ED18B76" w14:textId="77777777" w:rsidR="00C45CFE" w:rsidRDefault="00000000">
            <w:r>
              <w:rPr>
                <w:sz w:val="17"/>
              </w:rPr>
              <w:t>11.5%</w:t>
            </w:r>
          </w:p>
        </w:tc>
        <w:tc>
          <w:tcPr>
            <w:tcW w:w="2556" w:type="dxa"/>
            <w:tcMar>
              <w:top w:w="80" w:type="dxa"/>
              <w:left w:w="100" w:type="dxa"/>
              <w:bottom w:w="80" w:type="dxa"/>
              <w:right w:w="100" w:type="dxa"/>
            </w:tcMar>
          </w:tcPr>
          <w:p w14:paraId="07E0120D" w14:textId="77777777" w:rsidR="00C45CFE" w:rsidRDefault="00000000">
            <w:r>
              <w:rPr>
                <w:sz w:val="17"/>
              </w:rPr>
              <w:t>12.25%</w:t>
            </w:r>
          </w:p>
        </w:tc>
        <w:tc>
          <w:tcPr>
            <w:tcW w:w="2556" w:type="dxa"/>
            <w:tcMar>
              <w:top w:w="80" w:type="dxa"/>
              <w:left w:w="100" w:type="dxa"/>
              <w:bottom w:w="80" w:type="dxa"/>
              <w:right w:w="100" w:type="dxa"/>
            </w:tcMar>
          </w:tcPr>
          <w:p w14:paraId="3A212A94" w14:textId="77777777" w:rsidR="00C45CFE" w:rsidRDefault="00000000">
            <w:r>
              <w:rPr>
                <w:sz w:val="17"/>
              </w:rPr>
              <w:t>Ad relevance and user interest are comparable.</w:t>
            </w:r>
          </w:p>
        </w:tc>
      </w:tr>
      <w:tr w:rsidR="00C45CFE" w14:paraId="6FA4E1A4" w14:textId="77777777">
        <w:trPr>
          <w:cantSplit/>
          <w:jc w:val="center"/>
        </w:trPr>
        <w:tc>
          <w:tcPr>
            <w:tcW w:w="2556" w:type="dxa"/>
            <w:tcMar>
              <w:top w:w="80" w:type="dxa"/>
              <w:left w:w="100" w:type="dxa"/>
              <w:bottom w:w="80" w:type="dxa"/>
              <w:right w:w="100" w:type="dxa"/>
            </w:tcMar>
          </w:tcPr>
          <w:p w14:paraId="20E5061F" w14:textId="77777777" w:rsidR="00C45CFE" w:rsidRDefault="00000000">
            <w:r>
              <w:rPr>
                <w:sz w:val="17"/>
              </w:rPr>
              <w:t>Average CPC</w:t>
            </w:r>
          </w:p>
        </w:tc>
        <w:tc>
          <w:tcPr>
            <w:tcW w:w="2556" w:type="dxa"/>
            <w:tcMar>
              <w:top w:w="80" w:type="dxa"/>
              <w:left w:w="100" w:type="dxa"/>
              <w:bottom w:w="80" w:type="dxa"/>
              <w:right w:w="100" w:type="dxa"/>
            </w:tcMar>
          </w:tcPr>
          <w:p w14:paraId="0D288564" w14:textId="77777777" w:rsidR="00C45CFE" w:rsidRDefault="00000000">
            <w:r>
              <w:rPr>
                <w:sz w:val="17"/>
              </w:rPr>
              <w:t>$0.73</w:t>
            </w:r>
          </w:p>
        </w:tc>
        <w:tc>
          <w:tcPr>
            <w:tcW w:w="2556" w:type="dxa"/>
            <w:tcMar>
              <w:top w:w="80" w:type="dxa"/>
              <w:left w:w="100" w:type="dxa"/>
              <w:bottom w:w="80" w:type="dxa"/>
              <w:right w:w="100" w:type="dxa"/>
            </w:tcMar>
          </w:tcPr>
          <w:p w14:paraId="669214A8" w14:textId="77777777" w:rsidR="00C45CFE" w:rsidRDefault="00000000">
            <w:r>
              <w:rPr>
                <w:sz w:val="17"/>
              </w:rPr>
              <w:t>$1.98 initially; later reporting ~$1.33-$1.48</w:t>
            </w:r>
          </w:p>
        </w:tc>
        <w:tc>
          <w:tcPr>
            <w:tcW w:w="2556" w:type="dxa"/>
            <w:tcMar>
              <w:top w:w="80" w:type="dxa"/>
              <w:left w:w="100" w:type="dxa"/>
              <w:bottom w:w="80" w:type="dxa"/>
              <w:right w:w="100" w:type="dxa"/>
            </w:tcMar>
          </w:tcPr>
          <w:p w14:paraId="0D2F6E3D" w14:textId="77777777" w:rsidR="00C45CFE" w:rsidRDefault="00000000">
            <w:r>
              <w:rPr>
                <w:sz w:val="17"/>
              </w:rPr>
              <w:t>Primary source of the profitability gap.</w:t>
            </w:r>
          </w:p>
        </w:tc>
      </w:tr>
      <w:tr w:rsidR="00C45CFE" w14:paraId="6DB02121" w14:textId="77777777">
        <w:trPr>
          <w:cantSplit/>
          <w:jc w:val="center"/>
        </w:trPr>
        <w:tc>
          <w:tcPr>
            <w:tcW w:w="2556" w:type="dxa"/>
            <w:tcMar>
              <w:top w:w="80" w:type="dxa"/>
              <w:left w:w="100" w:type="dxa"/>
              <w:bottom w:w="80" w:type="dxa"/>
              <w:right w:w="100" w:type="dxa"/>
            </w:tcMar>
          </w:tcPr>
          <w:p w14:paraId="2371355C" w14:textId="77777777" w:rsidR="00C45CFE" w:rsidRDefault="00000000">
            <w:r>
              <w:rPr>
                <w:sz w:val="17"/>
              </w:rPr>
              <w:t>Conversion rate</w:t>
            </w:r>
          </w:p>
        </w:tc>
        <w:tc>
          <w:tcPr>
            <w:tcW w:w="2556" w:type="dxa"/>
            <w:tcMar>
              <w:top w:w="80" w:type="dxa"/>
              <w:left w:w="100" w:type="dxa"/>
              <w:bottom w:w="80" w:type="dxa"/>
              <w:right w:w="100" w:type="dxa"/>
            </w:tcMar>
          </w:tcPr>
          <w:p w14:paraId="4918C9BC" w14:textId="77777777" w:rsidR="00C45CFE" w:rsidRDefault="00000000">
            <w:r>
              <w:rPr>
                <w:sz w:val="17"/>
              </w:rPr>
              <w:t>4.69%</w:t>
            </w:r>
          </w:p>
        </w:tc>
        <w:tc>
          <w:tcPr>
            <w:tcW w:w="2556" w:type="dxa"/>
            <w:tcMar>
              <w:top w:w="80" w:type="dxa"/>
              <w:left w:w="100" w:type="dxa"/>
              <w:bottom w:w="80" w:type="dxa"/>
              <w:right w:w="100" w:type="dxa"/>
            </w:tcMar>
          </w:tcPr>
          <w:p w14:paraId="57001DCB" w14:textId="77777777" w:rsidR="00C45CFE" w:rsidRDefault="00000000">
            <w:r>
              <w:rPr>
                <w:sz w:val="17"/>
              </w:rPr>
              <w:t>5.77% in initial comparison</w:t>
            </w:r>
          </w:p>
        </w:tc>
        <w:tc>
          <w:tcPr>
            <w:tcW w:w="2556" w:type="dxa"/>
            <w:tcMar>
              <w:top w:w="80" w:type="dxa"/>
              <w:left w:w="100" w:type="dxa"/>
              <w:bottom w:w="80" w:type="dxa"/>
              <w:right w:w="100" w:type="dxa"/>
            </w:tcMar>
          </w:tcPr>
          <w:p w14:paraId="3A83CF2F" w14:textId="77777777" w:rsidR="00C45CFE" w:rsidRDefault="00000000">
            <w:r>
              <w:rPr>
                <w:sz w:val="17"/>
              </w:rPr>
              <w:t>IDL site performance is already competitive or better.</w:t>
            </w:r>
          </w:p>
        </w:tc>
      </w:tr>
      <w:tr w:rsidR="00C45CFE" w14:paraId="326C6655" w14:textId="77777777">
        <w:trPr>
          <w:cantSplit/>
          <w:jc w:val="center"/>
        </w:trPr>
        <w:tc>
          <w:tcPr>
            <w:tcW w:w="2556" w:type="dxa"/>
            <w:tcMar>
              <w:top w:w="80" w:type="dxa"/>
              <w:left w:w="100" w:type="dxa"/>
              <w:bottom w:w="80" w:type="dxa"/>
              <w:right w:w="100" w:type="dxa"/>
            </w:tcMar>
          </w:tcPr>
          <w:p w14:paraId="18F3CDC6" w14:textId="77777777" w:rsidR="00C45CFE" w:rsidRDefault="00000000">
            <w:r>
              <w:rPr>
                <w:sz w:val="17"/>
              </w:rPr>
              <w:t>Estimated CPA</w:t>
            </w:r>
          </w:p>
        </w:tc>
        <w:tc>
          <w:tcPr>
            <w:tcW w:w="2556" w:type="dxa"/>
            <w:tcMar>
              <w:top w:w="80" w:type="dxa"/>
              <w:left w:w="100" w:type="dxa"/>
              <w:bottom w:w="80" w:type="dxa"/>
              <w:right w:w="100" w:type="dxa"/>
            </w:tcMar>
          </w:tcPr>
          <w:p w14:paraId="5C29F63A" w14:textId="77777777" w:rsidR="00C45CFE" w:rsidRDefault="00000000">
            <w:r>
              <w:rPr>
                <w:sz w:val="17"/>
              </w:rPr>
              <w:t>$15.57</w:t>
            </w:r>
          </w:p>
        </w:tc>
        <w:tc>
          <w:tcPr>
            <w:tcW w:w="2556" w:type="dxa"/>
            <w:tcMar>
              <w:top w:w="80" w:type="dxa"/>
              <w:left w:w="100" w:type="dxa"/>
              <w:bottom w:w="80" w:type="dxa"/>
              <w:right w:w="100" w:type="dxa"/>
            </w:tcMar>
          </w:tcPr>
          <w:p w14:paraId="50D7EBFB" w14:textId="77777777" w:rsidR="00C45CFE" w:rsidRDefault="00000000">
            <w:r>
              <w:rPr>
                <w:sz w:val="17"/>
              </w:rPr>
              <w:t>$34.32 at $1.98 CPC</w:t>
            </w:r>
          </w:p>
        </w:tc>
        <w:tc>
          <w:tcPr>
            <w:tcW w:w="2556" w:type="dxa"/>
            <w:tcMar>
              <w:top w:w="80" w:type="dxa"/>
              <w:left w:w="100" w:type="dxa"/>
              <w:bottom w:w="80" w:type="dxa"/>
              <w:right w:w="100" w:type="dxa"/>
            </w:tcMar>
          </w:tcPr>
          <w:p w14:paraId="0684DF05" w14:textId="77777777" w:rsidR="00C45CFE" w:rsidRDefault="00000000">
            <w:r>
              <w:rPr>
                <w:sz w:val="17"/>
              </w:rPr>
              <w:t>CPC, not site CVR, is the main near-term constraint.</w:t>
            </w:r>
          </w:p>
        </w:tc>
      </w:tr>
    </w:tbl>
    <w:p w14:paraId="039EA878" w14:textId="77777777" w:rsidR="00C45CFE" w:rsidRDefault="00000000">
      <w:pPr>
        <w:pStyle w:val="Heading1"/>
      </w:pPr>
      <w:r>
        <w:t>2. Principal Findings</w:t>
      </w:r>
    </w:p>
    <w:p w14:paraId="78B1B20C" w14:textId="77777777" w:rsidR="00C45CFE" w:rsidRDefault="00000000">
      <w:pPr>
        <w:ind w:left="173"/>
      </w:pPr>
      <w:r>
        <w:rPr>
          <w:b/>
        </w:rPr>
        <w:t xml:space="preserve">Unconstrained Smart Bidding was the clearest controllable issue: </w:t>
      </w:r>
      <w:r>
        <w:t>IDL was using Maximize Conversions without a target CPA and remained in a learning state. The account had recently removed a $12 tCPA, increased budget, and overhauled negative keywords. This gave Google broad latitude to pay more for auctions it predicted might convert, without an explicit efficiency constraint.</w:t>
      </w:r>
    </w:p>
    <w:p w14:paraId="540867E0" w14:textId="77777777" w:rsidR="00C45CFE" w:rsidRDefault="00000000">
      <w:pPr>
        <w:ind w:left="173"/>
      </w:pPr>
      <w:r>
        <w:rPr>
          <w:b/>
        </w:rPr>
        <w:t xml:space="preserve">Broad Match absorbed most IDL spend at the highest CPC: </w:t>
      </w:r>
      <w:r>
        <w:t>Approximately 69% of reported IDL spend was Broad Match at an average CPC of about $2.07. Exact Match represented only about 14% of spend at roughly $1.32 CPC. One Broad Match term alone accounted for more than 10% of total spend and was identified as a major source of waste.</w:t>
      </w:r>
    </w:p>
    <w:p w14:paraId="6185DD68" w14:textId="77777777" w:rsidR="00C45CFE" w:rsidRDefault="00000000">
      <w:pPr>
        <w:ind w:left="173"/>
      </w:pPr>
      <w:r>
        <w:rPr>
          <w:b/>
        </w:rPr>
        <w:t xml:space="preserve">IDL also paid a real premium on matched literal searches: </w:t>
      </w:r>
      <w:r>
        <w:t>On clean mobile Google Search comparisons, IDL paid materially more for the same queries: “inmate search” $1.42 versus $0.79; “inmate lookup” $1.29 versus $0.68; and “inmate locator” $1.07 versus $0.85. For the three largest comparable exact-search terms, IDL paid roughly 63% more in aggregate.</w:t>
      </w:r>
    </w:p>
    <w:p w14:paraId="678BC13C" w14:textId="77777777" w:rsidR="00C45CFE" w:rsidRDefault="00000000">
      <w:pPr>
        <w:ind w:left="173"/>
      </w:pPr>
      <w:r>
        <w:rPr>
          <w:b/>
        </w:rPr>
        <w:t xml:space="preserve">Search Partners and device mix are not the primary explanation: </w:t>
      </w:r>
      <w:r>
        <w:t>Both accounts use Search Partners, but that inventory represents a very small share of Legacy spend. Both accounts are heavily mobile. The CPC difference persists within mobile Google Search traffic, so neither network mix nor device mix explains the majority of the gap.</w:t>
      </w:r>
    </w:p>
    <w:p w14:paraId="77810E8F" w14:textId="77777777" w:rsidR="00C45CFE" w:rsidRDefault="00000000">
      <w:pPr>
        <w:ind w:left="173"/>
      </w:pPr>
      <w:r>
        <w:rPr>
          <w:b/>
        </w:rPr>
        <w:t xml:space="preserve">Legacy efficiency reflects mature optimization, not simply different keywords: </w:t>
      </w:r>
      <w:r>
        <w:t>Legacy campaigns use target CPA constraints of approximately $8-$15, have stable historical conversion signals, and purchase Broad, Phrase, and Exact traffic near $0.73-$0.74 CPC. IDL is a new account with limited data and recently changed bidding conditions.</w:t>
      </w:r>
    </w:p>
    <w:p w14:paraId="2D187624" w14:textId="77777777" w:rsidR="00C45CFE" w:rsidRDefault="00000000">
      <w:pPr>
        <w:pStyle w:val="Heading1"/>
      </w:pPr>
      <w:r>
        <w:lastRenderedPageBreak/>
        <w:t>3. Corrective Actions Already Taken</w:t>
      </w:r>
    </w:p>
    <w:p w14:paraId="1E791607" w14:textId="77777777" w:rsidR="00C45CFE" w:rsidRDefault="00000000">
      <w:pPr>
        <w:pStyle w:val="ListBullet"/>
      </w:pPr>
      <w:r>
        <w:t>Restored an economic constraint by setting the IDL campaign target CPA to $20.</w:t>
      </w:r>
    </w:p>
    <w:p w14:paraId="264EC0F1" w14:textId="77777777" w:rsidR="00C45CFE" w:rsidRDefault="00000000">
      <w:pPr>
        <w:pStyle w:val="ListBullet"/>
      </w:pPr>
      <w:r>
        <w:t>Identified a Broad Match term responsible for more than 10% of spend and removed or constrained the source of waste.</w:t>
      </w:r>
    </w:p>
    <w:p w14:paraId="364CB272" w14:textId="77777777" w:rsidR="00C45CFE" w:rsidRDefault="00000000">
      <w:pPr>
        <w:pStyle w:val="ListBullet"/>
      </w:pPr>
      <w:r>
        <w:t>Shifted the operating focus from aggregate CTR/CVR to matched-query CPC, match-type allocation, and acquisition cost.</w:t>
      </w:r>
    </w:p>
    <w:p w14:paraId="37669189" w14:textId="77777777" w:rsidR="00C45CFE" w:rsidRDefault="00000000">
      <w:pPr>
        <w:pStyle w:val="Heading1"/>
      </w:pPr>
      <w:r>
        <w:t>4. Recommended High-Level Action Plan</w:t>
      </w:r>
    </w:p>
    <w:p w14:paraId="74EA119A" w14:textId="77777777" w:rsidR="00C45CFE" w:rsidRDefault="00000000">
      <w:pPr>
        <w:ind w:left="72"/>
      </w:pPr>
      <w:r>
        <w:rPr>
          <w:b/>
          <w:color w:val="6A4618"/>
        </w:rPr>
        <w:t>1. Stabilize the current campaign</w:t>
      </w:r>
      <w:r>
        <w:t xml:space="preserve"> — Hold the $20 tCPA and avoid additional major bid, budget, conversion, or keyword changes for a short observation window. Repeated simultaneous changes would restart learning and make the outcome difficult to interpret.</w:t>
      </w:r>
    </w:p>
    <w:p w14:paraId="52B2432B" w14:textId="77777777" w:rsidR="00C45CFE" w:rsidRDefault="00000000">
      <w:pPr>
        <w:ind w:left="72"/>
      </w:pPr>
      <w:r>
        <w:rPr>
          <w:b/>
          <w:color w:val="6A4618"/>
        </w:rPr>
        <w:t>2. Eliminate concentrated Broad Match waste</w:t>
      </w:r>
      <w:r>
        <w:t xml:space="preserve"> — Review Broad Match search terms by cost, beginning with every term responsible for at least 2%-3% of spend. Negative or isolate terms that are general background-check, criminal-record, “free,” or otherwise outside core inmate intent unless they demonstrate acceptable CPA.</w:t>
      </w:r>
    </w:p>
    <w:p w14:paraId="1BC7BCFD" w14:textId="77777777" w:rsidR="00C45CFE" w:rsidRDefault="00000000">
      <w:pPr>
        <w:ind w:left="72"/>
      </w:pPr>
      <w:r>
        <w:rPr>
          <w:b/>
          <w:color w:val="6A4618"/>
        </w:rPr>
        <w:t>3. Create a controlled Exact Match parity cohort</w:t>
      </w:r>
      <w:r>
        <w:t xml:space="preserve"> — Route a small set of high-intent terms—such as inmate search, inmate lookup, inmate locator, find an inmate, who is in jail, and mugshot lookup—into a dedicated exact-match campaign with controlled CPC bids. This will test whether IDL can acquire comparable inventory around $0.90-$1.15 CPC without disrupting the main campaign.</w:t>
      </w:r>
    </w:p>
    <w:p w14:paraId="58A9ECC2" w14:textId="77777777" w:rsidR="00C45CFE" w:rsidRDefault="00000000">
      <w:pPr>
        <w:ind w:left="72"/>
      </w:pPr>
      <w:r>
        <w:rPr>
          <w:b/>
          <w:color w:val="6A4618"/>
        </w:rPr>
        <w:t>4. Reallocate budget toward proven intent</w:t>
      </w:r>
      <w:r>
        <w:t xml:space="preserve"> — As the exact cohort demonstrates acceptable CPC and CVR, progressively shift spend from expensive Broad exploration toward proven exact queries. Retain Broad Match only as a controlled discovery channel rather than the dominant budget destination.</w:t>
      </w:r>
    </w:p>
    <w:p w14:paraId="09ECA6D2" w14:textId="77777777" w:rsidR="00C45CFE" w:rsidRDefault="00000000">
      <w:pPr>
        <w:ind w:left="72"/>
      </w:pPr>
      <w:r>
        <w:rPr>
          <w:b/>
          <w:color w:val="6A4618"/>
        </w:rPr>
        <w:t>5. Measure against economic milestones</w:t>
      </w:r>
      <w:r>
        <w:t xml:space="preserve"> — Track CPC, CVR, CPA, search-term quality, and conversion volume daily, but make directional decisions using complete multi-day windows. The immediate objective is to move IDL CPA below $22, followed by convergence toward the Legacy range as campaign history develops and the improved incarceration-result experience raises CVR.</w:t>
      </w:r>
    </w:p>
    <w:p w14:paraId="56C87FAF" w14:textId="77777777" w:rsidR="00C45CFE" w:rsidRDefault="00000000">
      <w:pPr>
        <w:pStyle w:val="Heading1"/>
      </w:pPr>
      <w:r>
        <w:t>5. Near-Term Success Criteria</w:t>
      </w:r>
    </w:p>
    <w:tbl>
      <w:tblPr>
        <w:tblStyle w:val="TableGrid"/>
        <w:tblW w:w="0" w:type="auto"/>
        <w:jc w:val="center"/>
        <w:tblLook w:val="04A0" w:firstRow="1" w:lastRow="0" w:firstColumn="1" w:lastColumn="0" w:noHBand="0" w:noVBand="1"/>
      </w:tblPr>
      <w:tblGrid>
        <w:gridCol w:w="3408"/>
        <w:gridCol w:w="3408"/>
        <w:gridCol w:w="3408"/>
      </w:tblGrid>
      <w:tr w:rsidR="00C45CFE" w14:paraId="292009DE" w14:textId="77777777">
        <w:trPr>
          <w:cantSplit/>
          <w:jc w:val="center"/>
        </w:trPr>
        <w:tc>
          <w:tcPr>
            <w:tcW w:w="3408" w:type="dxa"/>
            <w:shd w:val="clear" w:color="auto" w:fill="174A3B"/>
          </w:tcPr>
          <w:p w14:paraId="64D73BA8" w14:textId="77777777" w:rsidR="00C45CFE" w:rsidRDefault="00000000">
            <w:r>
              <w:rPr>
                <w:b/>
                <w:color w:val="FFFFFF"/>
                <w:sz w:val="18"/>
              </w:rPr>
              <w:t>Metric</w:t>
            </w:r>
          </w:p>
        </w:tc>
        <w:tc>
          <w:tcPr>
            <w:tcW w:w="3408" w:type="dxa"/>
            <w:shd w:val="clear" w:color="auto" w:fill="174A3B"/>
          </w:tcPr>
          <w:p w14:paraId="30188921" w14:textId="77777777" w:rsidR="00C45CFE" w:rsidRDefault="00000000">
            <w:r>
              <w:rPr>
                <w:b/>
                <w:color w:val="FFFFFF"/>
                <w:sz w:val="18"/>
              </w:rPr>
              <w:t>Near-term target</w:t>
            </w:r>
          </w:p>
        </w:tc>
        <w:tc>
          <w:tcPr>
            <w:tcW w:w="3408" w:type="dxa"/>
            <w:shd w:val="clear" w:color="auto" w:fill="174A3B"/>
          </w:tcPr>
          <w:p w14:paraId="38517C73" w14:textId="77777777" w:rsidR="00C45CFE" w:rsidRDefault="00000000">
            <w:r>
              <w:rPr>
                <w:b/>
                <w:color w:val="FFFFFF"/>
                <w:sz w:val="18"/>
              </w:rPr>
              <w:t>Why it matters</w:t>
            </w:r>
          </w:p>
        </w:tc>
      </w:tr>
      <w:tr w:rsidR="00C45CFE" w14:paraId="3EABA2CB" w14:textId="77777777">
        <w:trPr>
          <w:cantSplit/>
          <w:jc w:val="center"/>
        </w:trPr>
        <w:tc>
          <w:tcPr>
            <w:tcW w:w="3408" w:type="dxa"/>
            <w:tcMar>
              <w:top w:w="80" w:type="dxa"/>
              <w:left w:w="100" w:type="dxa"/>
              <w:bottom w:w="80" w:type="dxa"/>
              <w:right w:w="100" w:type="dxa"/>
            </w:tcMar>
          </w:tcPr>
          <w:p w14:paraId="4D274511" w14:textId="77777777" w:rsidR="00C45CFE" w:rsidRDefault="00000000">
            <w:r>
              <w:rPr>
                <w:sz w:val="17"/>
              </w:rPr>
              <w:t>Blended CPC</w:t>
            </w:r>
          </w:p>
        </w:tc>
        <w:tc>
          <w:tcPr>
            <w:tcW w:w="3408" w:type="dxa"/>
            <w:tcMar>
              <w:top w:w="80" w:type="dxa"/>
              <w:left w:w="100" w:type="dxa"/>
              <w:bottom w:w="80" w:type="dxa"/>
              <w:right w:w="100" w:type="dxa"/>
            </w:tcMar>
          </w:tcPr>
          <w:p w14:paraId="76917896" w14:textId="77777777" w:rsidR="00C45CFE" w:rsidRDefault="00000000">
            <w:r>
              <w:rPr>
                <w:sz w:val="17"/>
              </w:rPr>
              <w:t>$1.15-$1.40 initially, then lower</w:t>
            </w:r>
          </w:p>
        </w:tc>
        <w:tc>
          <w:tcPr>
            <w:tcW w:w="3408" w:type="dxa"/>
            <w:tcMar>
              <w:top w:w="80" w:type="dxa"/>
              <w:left w:w="100" w:type="dxa"/>
              <w:bottom w:w="80" w:type="dxa"/>
              <w:right w:w="100" w:type="dxa"/>
            </w:tcMar>
          </w:tcPr>
          <w:p w14:paraId="45CC0369" w14:textId="77777777" w:rsidR="00C45CFE" w:rsidRDefault="00000000">
            <w:r>
              <w:rPr>
                <w:sz w:val="17"/>
              </w:rPr>
              <w:t>Would remove a large portion of the current economic gap.</w:t>
            </w:r>
          </w:p>
        </w:tc>
      </w:tr>
      <w:tr w:rsidR="00C45CFE" w14:paraId="15238240" w14:textId="77777777">
        <w:trPr>
          <w:cantSplit/>
          <w:jc w:val="center"/>
        </w:trPr>
        <w:tc>
          <w:tcPr>
            <w:tcW w:w="3408" w:type="dxa"/>
            <w:tcMar>
              <w:top w:w="80" w:type="dxa"/>
              <w:left w:w="100" w:type="dxa"/>
              <w:bottom w:w="80" w:type="dxa"/>
              <w:right w:w="100" w:type="dxa"/>
            </w:tcMar>
          </w:tcPr>
          <w:p w14:paraId="599122CE" w14:textId="77777777" w:rsidR="00C45CFE" w:rsidRDefault="00000000">
            <w:r>
              <w:rPr>
                <w:sz w:val="17"/>
              </w:rPr>
              <w:t>Exact parity-test CPC</w:t>
            </w:r>
          </w:p>
        </w:tc>
        <w:tc>
          <w:tcPr>
            <w:tcW w:w="3408" w:type="dxa"/>
            <w:tcMar>
              <w:top w:w="80" w:type="dxa"/>
              <w:left w:w="100" w:type="dxa"/>
              <w:bottom w:w="80" w:type="dxa"/>
              <w:right w:w="100" w:type="dxa"/>
            </w:tcMar>
          </w:tcPr>
          <w:p w14:paraId="2FF1299B" w14:textId="77777777" w:rsidR="00C45CFE" w:rsidRDefault="00000000">
            <w:r>
              <w:rPr>
                <w:sz w:val="17"/>
              </w:rPr>
              <w:t>$0.90-$1.15</w:t>
            </w:r>
          </w:p>
        </w:tc>
        <w:tc>
          <w:tcPr>
            <w:tcW w:w="3408" w:type="dxa"/>
            <w:tcMar>
              <w:top w:w="80" w:type="dxa"/>
              <w:left w:w="100" w:type="dxa"/>
              <w:bottom w:w="80" w:type="dxa"/>
              <w:right w:w="100" w:type="dxa"/>
            </w:tcMar>
          </w:tcPr>
          <w:p w14:paraId="51D5E0F2" w14:textId="77777777" w:rsidR="00C45CFE" w:rsidRDefault="00000000">
            <w:r>
              <w:rPr>
                <w:sz w:val="17"/>
              </w:rPr>
              <w:t>Tests whether the domain/account can access viable core-query inventory.</w:t>
            </w:r>
          </w:p>
        </w:tc>
      </w:tr>
      <w:tr w:rsidR="00C45CFE" w14:paraId="68391A67" w14:textId="77777777">
        <w:trPr>
          <w:cantSplit/>
          <w:jc w:val="center"/>
        </w:trPr>
        <w:tc>
          <w:tcPr>
            <w:tcW w:w="3408" w:type="dxa"/>
            <w:tcMar>
              <w:top w:w="80" w:type="dxa"/>
              <w:left w:w="100" w:type="dxa"/>
              <w:bottom w:w="80" w:type="dxa"/>
              <w:right w:w="100" w:type="dxa"/>
            </w:tcMar>
          </w:tcPr>
          <w:p w14:paraId="0E489F07" w14:textId="77777777" w:rsidR="00C45CFE" w:rsidRDefault="00000000">
            <w:r>
              <w:rPr>
                <w:sz w:val="17"/>
              </w:rPr>
              <w:t>Conversion rate</w:t>
            </w:r>
          </w:p>
        </w:tc>
        <w:tc>
          <w:tcPr>
            <w:tcW w:w="3408" w:type="dxa"/>
            <w:tcMar>
              <w:top w:w="80" w:type="dxa"/>
              <w:left w:w="100" w:type="dxa"/>
              <w:bottom w:w="80" w:type="dxa"/>
              <w:right w:w="100" w:type="dxa"/>
            </w:tcMar>
          </w:tcPr>
          <w:p w14:paraId="130997DA" w14:textId="77777777" w:rsidR="00C45CFE" w:rsidRDefault="00000000">
            <w:r>
              <w:rPr>
                <w:sz w:val="17"/>
              </w:rPr>
              <w:t>At least 5%; target improvement from new state/mugshot teasers</w:t>
            </w:r>
          </w:p>
        </w:tc>
        <w:tc>
          <w:tcPr>
            <w:tcW w:w="3408" w:type="dxa"/>
            <w:tcMar>
              <w:top w:w="80" w:type="dxa"/>
              <w:left w:w="100" w:type="dxa"/>
              <w:bottom w:w="80" w:type="dxa"/>
              <w:right w:w="100" w:type="dxa"/>
            </w:tcMar>
          </w:tcPr>
          <w:p w14:paraId="72134488" w14:textId="77777777" w:rsidR="00C45CFE" w:rsidRDefault="00000000">
            <w:r>
              <w:rPr>
                <w:sz w:val="17"/>
              </w:rPr>
              <w:t>IDL is already near or above Legacy site conversion.</w:t>
            </w:r>
          </w:p>
        </w:tc>
      </w:tr>
      <w:tr w:rsidR="00C45CFE" w14:paraId="7BA2DEDF" w14:textId="77777777">
        <w:trPr>
          <w:cantSplit/>
          <w:jc w:val="center"/>
        </w:trPr>
        <w:tc>
          <w:tcPr>
            <w:tcW w:w="3408" w:type="dxa"/>
            <w:tcMar>
              <w:top w:w="80" w:type="dxa"/>
              <w:left w:w="100" w:type="dxa"/>
              <w:bottom w:w="80" w:type="dxa"/>
              <w:right w:w="100" w:type="dxa"/>
            </w:tcMar>
          </w:tcPr>
          <w:p w14:paraId="71B6CB24" w14:textId="77777777" w:rsidR="00C45CFE" w:rsidRDefault="00000000">
            <w:r>
              <w:rPr>
                <w:sz w:val="17"/>
              </w:rPr>
              <w:t>CPA</w:t>
            </w:r>
          </w:p>
        </w:tc>
        <w:tc>
          <w:tcPr>
            <w:tcW w:w="3408" w:type="dxa"/>
            <w:tcMar>
              <w:top w:w="80" w:type="dxa"/>
              <w:left w:w="100" w:type="dxa"/>
              <w:bottom w:w="80" w:type="dxa"/>
              <w:right w:w="100" w:type="dxa"/>
            </w:tcMar>
          </w:tcPr>
          <w:p w14:paraId="0C9C093C" w14:textId="77777777" w:rsidR="00C45CFE" w:rsidRDefault="00000000">
            <w:r>
              <w:rPr>
                <w:sz w:val="17"/>
              </w:rPr>
              <w:t>Below $22 initially; path toward ~$16</w:t>
            </w:r>
          </w:p>
        </w:tc>
        <w:tc>
          <w:tcPr>
            <w:tcW w:w="3408" w:type="dxa"/>
            <w:tcMar>
              <w:top w:w="80" w:type="dxa"/>
              <w:left w:w="100" w:type="dxa"/>
              <w:bottom w:w="80" w:type="dxa"/>
              <w:right w:w="100" w:type="dxa"/>
            </w:tcMar>
          </w:tcPr>
          <w:p w14:paraId="591AFE83" w14:textId="77777777" w:rsidR="00C45CFE" w:rsidRDefault="00000000">
            <w:r>
              <w:rPr>
                <w:sz w:val="17"/>
              </w:rPr>
              <w:t>Provides an investor-relevant convergence milestone.</w:t>
            </w:r>
          </w:p>
        </w:tc>
      </w:tr>
      <w:tr w:rsidR="00C45CFE" w14:paraId="5BF88568" w14:textId="77777777">
        <w:trPr>
          <w:cantSplit/>
          <w:jc w:val="center"/>
        </w:trPr>
        <w:tc>
          <w:tcPr>
            <w:tcW w:w="3408" w:type="dxa"/>
            <w:tcMar>
              <w:top w:w="80" w:type="dxa"/>
              <w:left w:w="100" w:type="dxa"/>
              <w:bottom w:w="80" w:type="dxa"/>
              <w:right w:w="100" w:type="dxa"/>
            </w:tcMar>
          </w:tcPr>
          <w:p w14:paraId="324D17CF" w14:textId="77777777" w:rsidR="00C45CFE" w:rsidRDefault="00000000">
            <w:r>
              <w:rPr>
                <w:sz w:val="17"/>
              </w:rPr>
              <w:t>Broad Match share</w:t>
            </w:r>
          </w:p>
        </w:tc>
        <w:tc>
          <w:tcPr>
            <w:tcW w:w="3408" w:type="dxa"/>
            <w:tcMar>
              <w:top w:w="80" w:type="dxa"/>
              <w:left w:w="100" w:type="dxa"/>
              <w:bottom w:w="80" w:type="dxa"/>
              <w:right w:w="100" w:type="dxa"/>
            </w:tcMar>
          </w:tcPr>
          <w:p w14:paraId="52973159" w14:textId="77777777" w:rsidR="00C45CFE" w:rsidRDefault="00000000">
            <w:r>
              <w:rPr>
                <w:sz w:val="17"/>
              </w:rPr>
              <w:t>Reduce from ~69% to a controlled minority of spend</w:t>
            </w:r>
          </w:p>
        </w:tc>
        <w:tc>
          <w:tcPr>
            <w:tcW w:w="3408" w:type="dxa"/>
            <w:tcMar>
              <w:top w:w="80" w:type="dxa"/>
              <w:left w:w="100" w:type="dxa"/>
              <w:bottom w:w="80" w:type="dxa"/>
              <w:right w:w="100" w:type="dxa"/>
            </w:tcMar>
          </w:tcPr>
          <w:p w14:paraId="0D4CF24F" w14:textId="77777777" w:rsidR="00C45CFE" w:rsidRDefault="00000000">
            <w:r>
              <w:rPr>
                <w:sz w:val="17"/>
              </w:rPr>
              <w:t>Prevents expensive exploration from determining blended economics.</w:t>
            </w:r>
          </w:p>
        </w:tc>
      </w:tr>
    </w:tbl>
    <w:p w14:paraId="6822D646" w14:textId="77777777" w:rsidR="00C45CFE" w:rsidRDefault="00000000">
      <w:pPr>
        <w:pStyle w:val="Heading1"/>
      </w:pPr>
      <w:r>
        <w:lastRenderedPageBreak/>
        <w:t>6. Board-Level Interpretation</w:t>
      </w:r>
    </w:p>
    <w:tbl>
      <w:tblPr>
        <w:tblW w:w="0" w:type="auto"/>
        <w:jc w:val="center"/>
        <w:tblLook w:val="04A0" w:firstRow="1" w:lastRow="0" w:firstColumn="1" w:lastColumn="0" w:noHBand="0" w:noVBand="1"/>
      </w:tblPr>
      <w:tblGrid>
        <w:gridCol w:w="10224"/>
      </w:tblGrid>
      <w:tr w:rsidR="00C45CFE" w14:paraId="758AC14D" w14:textId="77777777">
        <w:trPr>
          <w:cantSplit/>
          <w:jc w:val="center"/>
        </w:trPr>
        <w:tc>
          <w:tcPr>
            <w:tcW w:w="10224" w:type="dxa"/>
            <w:shd w:val="clear" w:color="auto" w:fill="FFF3DF"/>
            <w:tcMar>
              <w:top w:w="130" w:type="dxa"/>
              <w:left w:w="160" w:type="dxa"/>
              <w:bottom w:w="130" w:type="dxa"/>
              <w:right w:w="160" w:type="dxa"/>
            </w:tcMar>
          </w:tcPr>
          <w:p w14:paraId="1B832010" w14:textId="77777777" w:rsidR="00C45CFE" w:rsidRDefault="00000000">
            <w:r>
              <w:rPr>
                <w:b/>
                <w:color w:val="6A4618"/>
                <w:sz w:val="22"/>
              </w:rPr>
              <w:t>Recommended framing for the meeting</w:t>
            </w:r>
          </w:p>
          <w:p w14:paraId="1071B71E" w14:textId="77777777" w:rsidR="00C45CFE" w:rsidRDefault="00000000">
            <w:r>
              <w:t>IDL has already demonstrated competitive user response: CTR is equivalent and conversion rate is at least comparable to Legacy. The early profitability shortfall is concentrated in paid-media execution rather than product demand. Specifically, a new and recently modified account was allowed to optimize without a target CPA while allocating most spend to costly Broad Match traffic. We have now restored a $20 tCPA and removed a major Broad Match cost driver. The next phase is a short stabilization period and a controlled exact-match parity test designed to establish whether core inmate-search traffic can be purchased near viable CPC and CPA levels.</w:t>
            </w:r>
          </w:p>
        </w:tc>
      </w:tr>
    </w:tbl>
    <w:p w14:paraId="6726AB25" w14:textId="77777777" w:rsidR="00C45CFE" w:rsidRDefault="00000000">
      <w:pPr>
        <w:jc w:val="center"/>
      </w:pPr>
      <w:r>
        <w:rPr>
          <w:b/>
          <w:color w:val="124538"/>
          <w:sz w:val="22"/>
        </w:rPr>
        <w:t>Overall assessment: Correctable campaign-optimization problem; parity is not yet proven, but the evidence supports a credible and measurable path to it.</w:t>
      </w:r>
    </w:p>
    <w:sectPr w:rsidR="00C45CFE" w:rsidSect="00034616">
      <w:headerReference w:type="default" r:id="rId8"/>
      <w:footerReference w:type="default" r:id="rId9"/>
      <w:pgSz w:w="12240" w:h="15840"/>
      <w:pgMar w:top="835" w:right="1008" w:bottom="835"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86DE68" w14:textId="77777777" w:rsidR="00EE43CB" w:rsidRDefault="00EE43CB">
      <w:pPr>
        <w:spacing w:after="0" w:line="240" w:lineRule="auto"/>
      </w:pPr>
      <w:r>
        <w:separator/>
      </w:r>
    </w:p>
  </w:endnote>
  <w:endnote w:type="continuationSeparator" w:id="0">
    <w:p w14:paraId="7D2DE3EB" w14:textId="77777777" w:rsidR="00EE43CB" w:rsidRDefault="00EE4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3BE12C" w14:textId="77777777" w:rsidR="00C45CFE" w:rsidRDefault="00000000">
    <w:pPr>
      <w:pStyle w:val="Footer"/>
      <w:jc w:val="center"/>
    </w:pPr>
    <w:r>
      <w:rPr>
        <w:color w:val="696969"/>
        <w:sz w:val="16"/>
      </w:rPr>
      <w:t>Board Discussion Brief |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AEFF54" w14:textId="77777777" w:rsidR="00EE43CB" w:rsidRDefault="00EE43CB">
      <w:pPr>
        <w:spacing w:after="0" w:line="240" w:lineRule="auto"/>
      </w:pPr>
      <w:r>
        <w:separator/>
      </w:r>
    </w:p>
  </w:footnote>
  <w:footnote w:type="continuationSeparator" w:id="0">
    <w:p w14:paraId="41DE9291" w14:textId="77777777" w:rsidR="00EE43CB" w:rsidRDefault="00EE4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7D7FC" w14:textId="77777777" w:rsidR="00C45CFE" w:rsidRDefault="00000000">
    <w:pPr>
      <w:pStyle w:val="Header"/>
      <w:jc w:val="right"/>
    </w:pPr>
    <w:r>
      <w:rPr>
        <w:color w:val="5F5F5F"/>
        <w:sz w:val="16"/>
      </w:rPr>
      <w:t>IDLOOKUP.AI | GOOGLE ADS CPC PARITY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477741">
    <w:abstractNumId w:val="8"/>
  </w:num>
  <w:num w:numId="2" w16cid:durableId="1504205790">
    <w:abstractNumId w:val="6"/>
  </w:num>
  <w:num w:numId="3" w16cid:durableId="1509324997">
    <w:abstractNumId w:val="5"/>
  </w:num>
  <w:num w:numId="4" w16cid:durableId="1805539738">
    <w:abstractNumId w:val="4"/>
  </w:num>
  <w:num w:numId="5" w16cid:durableId="1191914847">
    <w:abstractNumId w:val="7"/>
  </w:num>
  <w:num w:numId="6" w16cid:durableId="418143488">
    <w:abstractNumId w:val="3"/>
  </w:num>
  <w:num w:numId="7" w16cid:durableId="898322104">
    <w:abstractNumId w:val="2"/>
  </w:num>
  <w:num w:numId="8" w16cid:durableId="1104418059">
    <w:abstractNumId w:val="1"/>
  </w:num>
  <w:num w:numId="9" w16cid:durableId="2413790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796"/>
    <w:rsid w:val="00AA1D8D"/>
    <w:rsid w:val="00B47730"/>
    <w:rsid w:val="00C45CFE"/>
    <w:rsid w:val="00C640E1"/>
    <w:rsid w:val="00CB0664"/>
    <w:rsid w:val="00EE43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D7857"/>
  <w14:defaultImageDpi w14:val="300"/>
  <w15:docId w15:val="{DB46044C-9546-B544-B1C6-E2C52599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24538"/>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6A461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970</Words>
  <Characters>5560</Characters>
  <Application>Microsoft Office Word</Application>
  <DocSecurity>0</DocSecurity>
  <Lines>115</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IDL Google Ads CPC Parity Board Brief</dc:title>
  <dc:subject>Findings and recommended actions for IDLookup.ai paid search economics</dc:subject>
  <dc:creator>People Data Systems</dc:creator>
  <cp:keywords/>
  <dc:description>generated by python-docx</dc:description>
  <cp:lastModifiedBy>David Wolfe</cp:lastModifiedBy>
  <cp:revision>2</cp:revision>
  <dcterms:created xsi:type="dcterms:W3CDTF">2013-12-23T23:15:00Z</dcterms:created>
  <dcterms:modified xsi:type="dcterms:W3CDTF">2026-07-21T01:17:00Z</dcterms:modified>
  <cp:category/>
</cp:coreProperties>
</file>