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IDLookup.ai Visual Design Audit</w:t>
      </w:r>
    </w:p>
    <w:p>
      <w:pPr>
        <w:jc w:val="center"/>
      </w:pPr>
      <w:r>
        <w:rPr>
          <w:color w:val="4B5563"/>
          <w:sz w:val="26"/>
        </w:rPr>
        <w:t>Search result detail + signup form experience</w:t>
      </w:r>
    </w:p>
    <w:p>
      <w:pPr>
        <w:jc w:val="center"/>
      </w:pPr>
      <w:r>
        <w:rPr>
          <w:color w:val="6B7280"/>
          <w:sz w:val="21"/>
        </w:rPr>
        <w:t>First-pass assessment focused on color, backgrounds, borders, hierarchy, and conversion trust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5322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654354-BE35-4FCF-A087-19F87C0661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532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Mobile/narrow viewport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246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EF7C2-F6E1-4C4A-B594-1C5126FFC5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2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Desktop screenshot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Executive Summary</w:t>
      </w:r>
    </w:p>
    <w:p>
      <w:r>
        <w:rPr>
          <w:b/>
        </w:rPr>
        <w:t xml:space="preserve">The page has a solid foundation: it feels credible, clean, and relatively trustworthy. </w:t>
      </w:r>
      <w:r>
        <w:t>The core issue is not layout or typography; it is the visual system. The current design relies too heavily on pale mint backgrounds, low-contrast borders, and similarly light surfaces. As a result, key information feels washed out and the eye does not naturally know where to go next.</w:t>
      </w:r>
    </w:p>
    <w:p>
      <w:r>
        <w:rPr>
          <w:b/>
        </w:rPr>
        <w:t xml:space="preserve">Primary recommendation: </w:t>
      </w:r>
      <w:r>
        <w:t>keep the structure, but rebuild the surface system around neutral page backgrounds, white cards, stronger elevation, fewer borders, and more selective use of green. Use green for verified/secure/success states, not for broad layout containers. Preserve orange as the action color, but tune the sticky CTA so it supports rather than competes with the primary form CTA.</w:t>
      </w:r>
    </w:p>
    <w:p>
      <w:pPr>
        <w:pStyle w:val="Heading2"/>
      </w:pPr>
      <w:r>
        <w:rPr>
          <w:rFonts w:ascii="Arial" w:hAnsi="Arial"/>
          <w:color w:val="111827"/>
        </w:rPr>
        <w:t>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5E7EB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56"/>
            <w:shd w:fill="E5E7EB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56"/>
            <w:shd w:fill="E5E7EB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3456"/>
          </w:tcPr>
          <w:p>
            <w:r>
              <w:t>Overall visual design</w:t>
            </w:r>
          </w:p>
        </w:tc>
        <w:tc>
          <w:tcPr>
            <w:tcW w:type="dxa" w:w="3456"/>
          </w:tcPr>
          <w:p>
            <w:r>
              <w:t>7.3 / 10</w:t>
            </w:r>
          </w:p>
        </w:tc>
        <w:tc>
          <w:tcPr>
            <w:tcW w:type="dxa" w:w="3456"/>
          </w:tcPr>
          <w:p>
            <w:r>
              <w:t>Good base, but color and surface hierarchy weaken perception.</w:t>
            </w:r>
          </w:p>
        </w:tc>
      </w:tr>
      <w:tr>
        <w:tc>
          <w:tcPr>
            <w:tcW w:type="dxa" w:w="3456"/>
          </w:tcPr>
          <w:p>
            <w:r>
              <w:t>Trustworthiness</w:t>
            </w:r>
          </w:p>
        </w:tc>
        <w:tc>
          <w:tcPr>
            <w:tcW w:type="dxa" w:w="3456"/>
          </w:tcPr>
          <w:p>
            <w:r>
              <w:t>8.5 / 10</w:t>
            </w:r>
          </w:p>
        </w:tc>
        <w:tc>
          <w:tcPr>
            <w:tcW w:type="dxa" w:w="3456"/>
          </w:tcPr>
          <w:p>
            <w:r>
              <w:t>Clean and safe; could feel more premium with stronger hierarchy.</w:t>
            </w:r>
          </w:p>
        </w:tc>
      </w:tr>
      <w:tr>
        <w:tc>
          <w:tcPr>
            <w:tcW w:type="dxa" w:w="3456"/>
          </w:tcPr>
          <w:p>
            <w:r>
              <w:t>Typography</w:t>
            </w:r>
          </w:p>
        </w:tc>
        <w:tc>
          <w:tcPr>
            <w:tcW w:type="dxa" w:w="3456"/>
          </w:tcPr>
          <w:p>
            <w:r>
              <w:t>8.4 / 10</w:t>
            </w:r>
          </w:p>
        </w:tc>
        <w:tc>
          <w:tcPr>
            <w:tcW w:type="dxa" w:w="3456"/>
          </w:tcPr>
          <w:p>
            <w:r>
              <w:t>Mostly strong; refine emphasis around name/age and secondary text.</w:t>
            </w:r>
          </w:p>
        </w:tc>
      </w:tr>
      <w:tr>
        <w:tc>
          <w:tcPr>
            <w:tcW w:type="dxa" w:w="3456"/>
          </w:tcPr>
          <w:p>
            <w:r>
              <w:t>Color system</w:t>
            </w:r>
          </w:p>
        </w:tc>
        <w:tc>
          <w:tcPr>
            <w:tcW w:type="dxa" w:w="3456"/>
          </w:tcPr>
          <w:p>
            <w:r>
              <w:t>5.8 / 10</w:t>
            </w:r>
          </w:p>
        </w:tc>
        <w:tc>
          <w:tcPr>
            <w:tcW w:type="dxa" w:w="3456"/>
          </w:tcPr>
          <w:p>
            <w:r>
              <w:t>Too many pale green surfaces; insufficient contrast between zones.</w:t>
            </w:r>
          </w:p>
        </w:tc>
      </w:tr>
      <w:tr>
        <w:tc>
          <w:tcPr>
            <w:tcW w:type="dxa" w:w="3456"/>
          </w:tcPr>
          <w:p>
            <w:r>
              <w:t>Information hierarchy</w:t>
            </w:r>
          </w:p>
        </w:tc>
        <w:tc>
          <w:tcPr>
            <w:tcW w:type="dxa" w:w="3456"/>
          </w:tcPr>
          <w:p>
            <w:r>
              <w:t>6.2 / 10</w:t>
            </w:r>
          </w:p>
        </w:tc>
        <w:tc>
          <w:tcPr>
            <w:tcW w:type="dxa" w:w="3456"/>
          </w:tcPr>
          <w:p>
            <w:r>
              <w:t>Important sections have similar visual weight.</w:t>
            </w:r>
          </w:p>
        </w:tc>
      </w:tr>
      <w:tr>
        <w:tc>
          <w:tcPr>
            <w:tcW w:type="dxa" w:w="3456"/>
          </w:tcPr>
          <w:p>
            <w:r>
              <w:t>CTA prominence</w:t>
            </w:r>
          </w:p>
        </w:tc>
        <w:tc>
          <w:tcPr>
            <w:tcW w:type="dxa" w:w="3456"/>
          </w:tcPr>
          <w:p>
            <w:r>
              <w:t>7.5 / 10</w:t>
            </w:r>
          </w:p>
        </w:tc>
        <w:tc>
          <w:tcPr>
            <w:tcW w:type="dxa" w:w="3456"/>
          </w:tcPr>
          <w:p>
            <w:r>
              <w:t>Orange CTA is visible, but sticky bar is too dominant.</w:t>
            </w:r>
          </w:p>
        </w:tc>
      </w:tr>
      <w:tr>
        <w:tc>
          <w:tcPr>
            <w:tcW w:type="dxa" w:w="3456"/>
          </w:tcPr>
          <w:p>
            <w:r>
              <w:t>Consumer conversion</w:t>
            </w:r>
          </w:p>
        </w:tc>
        <w:tc>
          <w:tcPr>
            <w:tcW w:type="dxa" w:w="3456"/>
          </w:tcPr>
          <w:p>
            <w:r>
              <w:t>7.1 / 10</w:t>
            </w:r>
          </w:p>
        </w:tc>
        <w:tc>
          <w:tcPr>
            <w:tcW w:type="dxa" w:w="3456"/>
          </w:tcPr>
          <w:p>
            <w:r>
              <w:t>Could improve perceived value before signup with stronger result signals.</w:t>
            </w:r>
          </w:p>
        </w:tc>
      </w:tr>
    </w:tbl>
    <w:p>
      <w:pPr>
        <w:pStyle w:val="Heading1"/>
      </w:pPr>
      <w:r>
        <w:rPr>
          <w:rFonts w:ascii="Arial" w:hAnsi="Arial"/>
          <w:color w:val="111827"/>
        </w:rPr>
        <w:t>Main Diagnosis: The Page Is Too Light</w:t>
      </w:r>
    </w:p>
    <w:p>
      <w:r>
        <w:t>The current page uses many surfaces with nearly the same luminance: white, off-white, mint, lighter mint, pale gray borders, gray text, and soft shadows. This produces a calm experience, but it also flattens hierarchy. When squinting at the page, the profile card, category cards, signup area, and sticky CTA compete rather than cascade.</w:t>
      </w:r>
    </w:p>
    <w:p>
      <w:pPr>
        <w:pStyle w:val="Heading1"/>
      </w:pPr>
      <w:r>
        <w:rPr>
          <w:rFonts w:ascii="Arial" w:hAnsi="Arial"/>
          <w:color w:val="111827"/>
        </w:rPr>
        <w:t>Recommended Visual System</w:t>
      </w:r>
    </w:p>
    <w:p>
      <w:pPr>
        <w:pStyle w:val="Heading2"/>
      </w:pPr>
      <w:r>
        <w:rPr>
          <w:rFonts w:ascii="Arial" w:hAnsi="Arial"/>
          <w:color w:val="111827"/>
        </w:rPr>
        <w:t>1. Replace broad mint surfaces with neutral backgrounds</w:t>
      </w:r>
    </w:p>
    <w:p>
      <w:pPr>
        <w:pStyle w:val="ListBullet"/>
        <w:spacing w:after="80"/>
      </w:pPr>
      <w:r>
        <w:t>Use a very light neutral gray for the page background so white cards have clear separation.</w:t>
      </w:r>
    </w:p>
    <w:p>
      <w:pPr>
        <w:pStyle w:val="ListBullet"/>
        <w:spacing w:after="80"/>
      </w:pPr>
      <w:r>
        <w:t>Reserve mint/green only for verified, secure, success, and database-confirmation states.</w:t>
      </w:r>
    </w:p>
    <w:p>
      <w:pPr>
        <w:pStyle w:val="ListBullet"/>
        <w:spacing w:after="80"/>
      </w:pPr>
      <w:r>
        <w:t>Avoid placing green panels inside green-tinted regions; it reduces contrast and makes the signup form feel washed out.</w:t>
      </w:r>
    </w:p>
    <w:p>
      <w:pPr>
        <w:pStyle w:val="Heading2"/>
      </w:pPr>
      <w:r>
        <w:rPr>
          <w:rFonts w:ascii="Arial" w:hAnsi="Arial"/>
          <w:color w:val="111827"/>
        </w:rPr>
        <w:t>Suggested 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5E7EB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456"/>
            <w:shd w:fill="E5E7EB"/>
          </w:tcPr>
          <w:p>
            <w:r>
              <w:rPr>
                <w:b/>
              </w:rPr>
              <w:t>Recommended Value</w:t>
            </w:r>
          </w:p>
        </w:tc>
        <w:tc>
          <w:tcPr>
            <w:tcW w:type="dxa" w:w="3456"/>
            <w:shd w:fill="E5E7EB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56"/>
          </w:tcPr>
          <w:p>
            <w:r>
              <w:t>Page Background</w:t>
            </w:r>
          </w:p>
        </w:tc>
        <w:tc>
          <w:tcPr>
            <w:tcW w:type="dxa" w:w="3456"/>
            <w:shd w:fill="F5F7FA"/>
          </w:tcPr>
          <w:p>
            <w:r>
              <w:t>#F5F7FA</w:t>
            </w:r>
          </w:p>
        </w:tc>
        <w:tc>
          <w:tcPr>
            <w:tcW w:type="dxa" w:w="3456"/>
          </w:tcPr>
          <w:p>
            <w:r>
              <w:t>Overall page canvas</w:t>
            </w:r>
          </w:p>
        </w:tc>
      </w:tr>
      <w:tr>
        <w:tc>
          <w:tcPr>
            <w:tcW w:type="dxa" w:w="3456"/>
          </w:tcPr>
          <w:p>
            <w:r>
              <w:t>Surface / Card</w:t>
            </w:r>
          </w:p>
        </w:tc>
        <w:tc>
          <w:tcPr>
            <w:tcW w:type="dxa" w:w="3456"/>
            <w:shd w:fill="FFFFFF"/>
          </w:tcPr>
          <w:p>
            <w:r>
              <w:t>#FFFFFF</w:t>
            </w:r>
          </w:p>
        </w:tc>
        <w:tc>
          <w:tcPr>
            <w:tcW w:type="dxa" w:w="3456"/>
          </w:tcPr>
          <w:p>
            <w:r>
              <w:t>Profile card, category cards, form card</w:t>
            </w:r>
          </w:p>
        </w:tc>
      </w:tr>
      <w:tr>
        <w:tc>
          <w:tcPr>
            <w:tcW w:type="dxa" w:w="3456"/>
          </w:tcPr>
          <w:p>
            <w:r>
              <w:t>Secondary Surface</w:t>
            </w:r>
          </w:p>
        </w:tc>
        <w:tc>
          <w:tcPr>
            <w:tcW w:type="dxa" w:w="3456"/>
            <w:shd w:fill="FAFBFC"/>
          </w:tcPr>
          <w:p>
            <w:r>
              <w:t>#FAFBFC</w:t>
            </w:r>
          </w:p>
        </w:tc>
        <w:tc>
          <w:tcPr>
            <w:tcW w:type="dxa" w:w="3456"/>
          </w:tcPr>
          <w:p>
            <w:r>
              <w:t>Subtle nested areas only when needed</w:t>
            </w:r>
          </w:p>
        </w:tc>
      </w:tr>
      <w:tr>
        <w:tc>
          <w:tcPr>
            <w:tcW w:type="dxa" w:w="3456"/>
          </w:tcPr>
          <w:p>
            <w:r>
              <w:t>Primary Text</w:t>
            </w:r>
          </w:p>
        </w:tc>
        <w:tc>
          <w:tcPr>
            <w:tcW w:type="dxa" w:w="3456"/>
            <w:shd w:fill="111827"/>
          </w:tcPr>
          <w:p>
            <w:r>
              <w:t>#111827</w:t>
            </w:r>
          </w:p>
        </w:tc>
        <w:tc>
          <w:tcPr>
            <w:tcW w:type="dxa" w:w="3456"/>
          </w:tcPr>
          <w:p>
            <w:r>
              <w:t>Names, headings, CTA text</w:t>
            </w:r>
          </w:p>
        </w:tc>
      </w:tr>
      <w:tr>
        <w:tc>
          <w:tcPr>
            <w:tcW w:type="dxa" w:w="3456"/>
          </w:tcPr>
          <w:p>
            <w:r>
              <w:t>Secondary Text</w:t>
            </w:r>
          </w:p>
        </w:tc>
        <w:tc>
          <w:tcPr>
            <w:tcW w:type="dxa" w:w="3456"/>
            <w:shd w:fill="6B7280"/>
          </w:tcPr>
          <w:p>
            <w:r>
              <w:t>#6B7280</w:t>
            </w:r>
          </w:p>
        </w:tc>
        <w:tc>
          <w:tcPr>
            <w:tcW w:type="dxa" w:w="3456"/>
          </w:tcPr>
          <w:p>
            <w:r>
              <w:t>Aliases, descriptions, support copy</w:t>
            </w:r>
          </w:p>
        </w:tc>
      </w:tr>
      <w:tr>
        <w:tc>
          <w:tcPr>
            <w:tcW w:type="dxa" w:w="3456"/>
          </w:tcPr>
          <w:p>
            <w:r>
              <w:t>Accent Green</w:t>
            </w:r>
          </w:p>
        </w:tc>
        <w:tc>
          <w:tcPr>
            <w:tcW w:type="dxa" w:w="3456"/>
            <w:shd w:fill="15803D"/>
          </w:tcPr>
          <w:p>
            <w:r>
              <w:t>#15803D</w:t>
            </w:r>
          </w:p>
        </w:tc>
        <w:tc>
          <w:tcPr>
            <w:tcW w:type="dxa" w:w="3456"/>
          </w:tcPr>
          <w:p>
            <w:r>
              <w:t>Verified, checks, secure states</w:t>
            </w:r>
          </w:p>
        </w:tc>
      </w:tr>
      <w:tr>
        <w:tc>
          <w:tcPr>
            <w:tcW w:type="dxa" w:w="3456"/>
          </w:tcPr>
          <w:p>
            <w:r>
              <w:t>Success Tint</w:t>
            </w:r>
          </w:p>
        </w:tc>
        <w:tc>
          <w:tcPr>
            <w:tcW w:type="dxa" w:w="3456"/>
            <w:shd w:fill="ECFDF3"/>
          </w:tcPr>
          <w:p>
            <w:r>
              <w:t>#ECFDF3</w:t>
            </w:r>
          </w:p>
        </w:tc>
        <w:tc>
          <w:tcPr>
            <w:tcW w:type="dxa" w:w="3456"/>
          </w:tcPr>
          <w:p>
            <w:r>
              <w:t>Small verification/success badges</w:t>
            </w:r>
          </w:p>
        </w:tc>
      </w:tr>
      <w:tr>
        <w:tc>
          <w:tcPr>
            <w:tcW w:type="dxa" w:w="3456"/>
          </w:tcPr>
          <w:p>
            <w:r>
              <w:t>Action Orange</w:t>
            </w:r>
          </w:p>
        </w:tc>
        <w:tc>
          <w:tcPr>
            <w:tcW w:type="dxa" w:w="3456"/>
            <w:shd w:fill="F59E0B"/>
          </w:tcPr>
          <w:p>
            <w:r>
              <w:t>#F59E0B</w:t>
            </w:r>
          </w:p>
        </w:tc>
        <w:tc>
          <w:tcPr>
            <w:tcW w:type="dxa" w:w="3456"/>
          </w:tcPr>
          <w:p>
            <w:r>
              <w:t>Primary CTA only</w:t>
            </w:r>
          </w:p>
        </w:tc>
      </w:tr>
      <w:tr>
        <w:tc>
          <w:tcPr>
            <w:tcW w:type="dxa" w:w="3456"/>
          </w:tcPr>
          <w:p>
            <w:r>
              <w:t>Border</w:t>
            </w:r>
          </w:p>
        </w:tc>
        <w:tc>
          <w:tcPr>
            <w:tcW w:type="dxa" w:w="3456"/>
            <w:shd w:fill="E5E7EB at 50-70% opacity"/>
          </w:tcPr>
          <w:p>
            <w:r>
              <w:t>#E5E7EB at 50-70% opacity</w:t>
            </w:r>
          </w:p>
        </w:tc>
        <w:tc>
          <w:tcPr>
            <w:tcW w:type="dxa" w:w="3456"/>
          </w:tcPr>
          <w:p>
            <w:r>
              <w:t>Minimal separators</w:t>
            </w:r>
          </w:p>
        </w:tc>
      </w:tr>
    </w:tbl>
    <w:p>
      <w:pPr>
        <w:pStyle w:val="Heading2"/>
      </w:pPr>
      <w:r>
        <w:rPr>
          <w:rFonts w:ascii="Arial" w:hAnsi="Arial"/>
          <w:color w:val="111827"/>
        </w:rPr>
        <w:t>2. Reduce borders and rely more on elevation</w:t>
      </w:r>
    </w:p>
    <w:p>
      <w:pPr>
        <w:pStyle w:val="ListBullet"/>
        <w:spacing w:after="80"/>
      </w:pPr>
      <w:r>
        <w:t>Remove most visible 1px card borders. Use either a soft shadow or a very low-opacity border, not both everywhere.</w:t>
      </w:r>
    </w:p>
    <w:p>
      <w:pPr>
        <w:pStyle w:val="ListBullet"/>
        <w:spacing w:after="80"/>
      </w:pPr>
      <w:r>
        <w:t>For primary cards, use white surface + subtle shadow + no border, or border at rgba(17,24,39,0.06).</w:t>
      </w:r>
    </w:p>
    <w:p>
      <w:pPr>
        <w:pStyle w:val="ListBullet"/>
        <w:spacing w:after="80"/>
      </w:pPr>
      <w:r>
        <w:t>Avoid repeated nested card treatments: border + rounded corner + shadow + tinted background on every module.</w:t>
      </w:r>
    </w:p>
    <w:p>
      <w:pPr>
        <w:pStyle w:val="Heading2"/>
      </w:pPr>
      <w:r>
        <w:rPr>
          <w:rFonts w:ascii="Arial" w:hAnsi="Arial"/>
          <w:color w:val="111827"/>
        </w:rPr>
        <w:t>3. Rebalance green usage</w:t>
      </w:r>
    </w:p>
    <w:p>
      <w:pPr>
        <w:pStyle w:val="ListBullet"/>
        <w:spacing w:after="80"/>
      </w:pPr>
      <w:r>
        <w:t>Current green appears in the hero, verification badge, signup panel, checkmarks, logo, and security affordances. This makes green stop carrying meaning.</w:t>
      </w:r>
    </w:p>
    <w:p>
      <w:pPr>
        <w:pStyle w:val="ListBullet"/>
        <w:spacing w:after="80"/>
      </w:pPr>
      <w:r>
        <w:t>Use green primarily for trust: profile verified, checkmarks, secure/SSL language, and confirmation states.</w:t>
      </w:r>
    </w:p>
    <w:p>
      <w:pPr>
        <w:pStyle w:val="ListBullet"/>
        <w:spacing w:after="80"/>
      </w:pPr>
      <w:r>
        <w:t>Do not use mint as the default section background. A neutral background will make the verification elements feel more intentional.</w:t>
      </w:r>
    </w:p>
    <w:p>
      <w:pPr>
        <w:pStyle w:val="Heading1"/>
      </w:pPr>
      <w:r>
        <w:rPr>
          <w:rFonts w:ascii="Arial" w:hAnsi="Arial"/>
          <w:color w:val="111827"/>
        </w:rPr>
        <w:t>Section-by-Section Recommendations</w:t>
      </w:r>
    </w:p>
    <w:p>
      <w:pPr>
        <w:pStyle w:val="Heading2"/>
      </w:pPr>
      <w:r>
        <w:rPr>
          <w:rFonts w:ascii="Arial" w:hAnsi="Arial"/>
          <w:color w:val="111827"/>
        </w:rPr>
        <w:t>Header / “Get Instant Information” band</w:t>
      </w:r>
    </w:p>
    <w:p>
      <w:pPr>
        <w:pStyle w:val="ListBullet"/>
        <w:spacing w:after="80"/>
      </w:pPr>
      <w:r>
        <w:t>Reduce the green wash behind the headline or convert it to a neutral/white strip with a small verified/check accent.</w:t>
      </w:r>
    </w:p>
    <w:p>
      <w:pPr>
        <w:pStyle w:val="ListBullet"/>
        <w:spacing w:after="80"/>
      </w:pPr>
      <w:r>
        <w:t>The headline is clear, but the mint band makes the whole top section feel like a success alert. Consider making this an informational header instead of a large green state.</w:t>
      </w:r>
    </w:p>
    <w:p>
      <w:pPr>
        <w:pStyle w:val="Heading2"/>
      </w:pPr>
      <w:r>
        <w:rPr>
          <w:rFonts w:ascii="Arial" w:hAnsi="Arial"/>
          <w:color w:val="111827"/>
        </w:rPr>
        <w:t>Profile card</w:t>
      </w:r>
    </w:p>
    <w:p>
      <w:pPr>
        <w:pStyle w:val="ListBullet"/>
        <w:spacing w:after="80"/>
      </w:pPr>
      <w:r>
        <w:t>Keep the profile card as the dominant content object. It should be pure white on a light neutral page background.</w:t>
      </w:r>
    </w:p>
    <w:p>
      <w:pPr>
        <w:pStyle w:val="ListBullet"/>
        <w:spacing w:after="80"/>
      </w:pPr>
      <w:r>
        <w:t>Increase internal padding to 28-32px and make the card feel premium through spacing and shadow rather than border treatment.</w:t>
      </w:r>
    </w:p>
    <w:p>
      <w:pPr>
        <w:pStyle w:val="ListBullet"/>
        <w:spacing w:after="80"/>
      </w:pPr>
      <w:r>
        <w:t>Use the empty desktop space to reinforce value: “27 records found,” “6 phone numbers,” “18 address records,” or “updated recently.”</w:t>
      </w:r>
    </w:p>
    <w:p>
      <w:pPr>
        <w:pStyle w:val="ListBullet"/>
        <w:spacing w:after="80"/>
      </w:pPr>
      <w:r>
        <w:t>Make “Age 54” visually secondary to the name. It currently competes with the name because both share similar weight and scale.</w:t>
      </w:r>
    </w:p>
    <w:p>
      <w:pPr>
        <w:pStyle w:val="Heading2"/>
      </w:pPr>
      <w:r>
        <w:rPr>
          <w:rFonts w:ascii="Arial" w:hAnsi="Arial"/>
          <w:color w:val="111827"/>
        </w:rPr>
        <w:t>Verification badge</w:t>
      </w:r>
    </w:p>
    <w:p>
      <w:pPr>
        <w:pStyle w:val="ListBullet"/>
        <w:spacing w:after="80"/>
      </w:pPr>
      <w:r>
        <w:t>The current pill is too visually strong and looks somewhat interactive. Make it smaller and more informational.</w:t>
      </w:r>
    </w:p>
    <w:p>
      <w:pPr>
        <w:pStyle w:val="ListBullet"/>
        <w:spacing w:after="80"/>
      </w:pPr>
      <w:r>
        <w:t>Recommended treatment: light success tint (#ECFDF3), 1px green border at low opacity, compact shield/check icon, medium-weight text.</w:t>
      </w:r>
    </w:p>
    <w:p>
      <w:pPr>
        <w:pStyle w:val="Heading2"/>
      </w:pPr>
      <w:r>
        <w:rPr>
          <w:rFonts w:ascii="Arial" w:hAnsi="Arial"/>
          <w:color w:val="111827"/>
        </w:rPr>
        <w:t>Category cards</w:t>
      </w:r>
    </w:p>
    <w:p>
      <w:pPr>
        <w:pStyle w:val="ListBullet"/>
        <w:spacing w:after="80"/>
      </w:pPr>
      <w:r>
        <w:t>The four category cards almost disappear because the borders are weak and the background is too close to the surrounding surface.</w:t>
      </w:r>
    </w:p>
    <w:p>
      <w:pPr>
        <w:pStyle w:val="ListBullet"/>
        <w:spacing w:after="80"/>
      </w:pPr>
      <w:r>
        <w:t>Use pure white cards, subtle shadow, slightly stronger titles, and a small left-side accent line or icon container.</w:t>
      </w:r>
    </w:p>
    <w:p>
      <w:pPr>
        <w:pStyle w:val="ListBullet"/>
        <w:spacing w:after="80"/>
      </w:pPr>
      <w:r>
        <w:t>Consider hover states on desktop: slight lift, border-color change, or icon color shift.</w:t>
      </w:r>
    </w:p>
    <w:p>
      <w:pPr>
        <w:pStyle w:val="Heading2"/>
      </w:pPr>
      <w:r>
        <w:rPr>
          <w:rFonts w:ascii="Arial" w:hAnsi="Arial"/>
          <w:color w:val="111827"/>
        </w:rPr>
        <w:t>Signup / unlock panel</w:t>
      </w:r>
    </w:p>
    <w:p>
      <w:pPr>
        <w:pStyle w:val="ListBullet"/>
        <w:spacing w:after="80"/>
      </w:pPr>
      <w:r>
        <w:t>This is the weakest section visually. The pale green panel is large and reduces contrast around the fields and CTA.</w:t>
      </w:r>
    </w:p>
    <w:p>
      <w:pPr>
        <w:pStyle w:val="ListBullet"/>
        <w:spacing w:after="80"/>
      </w:pPr>
      <w:r>
        <w:t>Recommended: place the form in a white card, on the same neutral page background. Use a small lock icon and trust text for green/security cues instead of making the entire container green.</w:t>
      </w:r>
    </w:p>
    <w:p>
      <w:pPr>
        <w:pStyle w:val="ListBullet"/>
        <w:spacing w:after="80"/>
      </w:pPr>
      <w:r>
        <w:t>The orange button should remain the strongest action element. Add a subtle shadow and darker hover state.</w:t>
      </w:r>
    </w:p>
    <w:p>
      <w:pPr>
        <w:pStyle w:val="Heading2"/>
      </w:pPr>
      <w:r>
        <w:rPr>
          <w:rFonts w:ascii="Arial" w:hAnsi="Arial"/>
          <w:color w:val="111827"/>
        </w:rPr>
        <w:t>Sticky bottom CTA</w:t>
      </w:r>
    </w:p>
    <w:p>
      <w:pPr>
        <w:pStyle w:val="ListBullet"/>
        <w:spacing w:after="80"/>
      </w:pPr>
      <w:r>
        <w:t>The sticky orange bar is too heavy and competes with the main CTA inside the form.</w:t>
      </w:r>
    </w:p>
    <w:p>
      <w:pPr>
        <w:pStyle w:val="ListBullet"/>
        <w:spacing w:after="80"/>
      </w:pPr>
      <w:r>
        <w:t>Recommended: reduce height by 20%, or switch to a white sticky footer with an orange button inside it.</w:t>
      </w:r>
    </w:p>
    <w:p>
      <w:pPr>
        <w:pStyle w:val="ListBullet"/>
        <w:spacing w:after="80"/>
      </w:pPr>
      <w:r>
        <w:t>Make it a reinforcement mechanism, not the primary visual object on the page.</w:t>
      </w:r>
    </w:p>
    <w:p>
      <w:pPr>
        <w:pStyle w:val="Heading1"/>
      </w:pPr>
      <w:r>
        <w:rPr>
          <w:rFonts w:ascii="Arial" w:hAnsi="Arial"/>
          <w:color w:val="111827"/>
        </w:rPr>
        <w:t>Implementation Brief for Codex / Claude</w:t>
      </w:r>
    </w:p>
    <w:p>
      <w:r>
        <w:t>Use this as a concise engineering/design prompt:</w:t>
      </w:r>
    </w:p>
    <w:p>
      <w:pPr>
        <w:spacing w:before="120" w:after="160"/>
        <w:ind w:left="360" w:right="360"/>
      </w:pPr>
      <w:r>
        <w:rPr>
          <w:i/>
        </w:rPr>
        <w:t>Refactor the IDLookup search-result detail/signup page visual system without changing the core layout. Replace broad mint backgrounds with a neutral page canvas (#F5F7FA). Make primary content cards white (#FFFFFF) with subtle shadow and minimal borders. Reserve green for verified/secure/success states only. Strengthen hierarchy by making the profile card the dominant object, category cards secondary, and signup form a clean white conversion card. Keep orange (#F59E0B) as the primary action color, but reduce the visual weight of the sticky bottom CTA. Standardize spacing to an 8-point grid and use design tokens for background, surface, text, border, green, success tint, and action orange.</w:t>
      </w:r>
    </w:p>
    <w:p>
      <w:pPr>
        <w:pStyle w:val="Heading2"/>
      </w:pPr>
      <w:r>
        <w:rPr>
          <w:rFonts w:ascii="Arial" w:hAnsi="Arial"/>
          <w:color w:val="111827"/>
        </w:rPr>
        <w:t>Concrete CSS Token Starting Point</w:t>
      </w:r>
    </w:p>
    <w:p>
      <w:r>
        <w:rPr>
          <w:rFonts w:ascii="Courier New" w:hAnsi="Courier New"/>
          <w:color w:val="1F2937"/>
          <w:sz w:val="18"/>
        </w:rPr>
        <w:t>--color-page-bg: #F5F7FA;</w:t>
        <w:br/>
        <w:t>--color-surface: #FFFFFF;</w:t>
        <w:br/>
        <w:t>--color-surface-muted: #FAFBFC;</w:t>
        <w:br/>
        <w:t>--color-text-primary: #111827;</w:t>
        <w:br/>
        <w:t>--color-text-secondary: #6B7280;</w:t>
        <w:br/>
        <w:t>--color-border-subtle: rgba(17, 24, 39, 0.08);</w:t>
        <w:br/>
        <w:t>--color-green: #15803D;</w:t>
        <w:br/>
        <w:t>--color-green-tint: #ECFDF3;</w:t>
        <w:br/>
        <w:t>--color-orange: #F59E0B;</w:t>
        <w:br/>
        <w:t>--shadow-card: 0 8px 24px rgba(17, 24, 39, 0.08);</w:t>
        <w:br/>
        <w:t>--radius-card: 18px;</w:t>
        <w:br/>
        <w:t>--space-1: 8px;</w:t>
        <w:br/>
        <w:t>--space-2: 16px;</w:t>
        <w:br/>
        <w:t>--space-3: 24px;</w:t>
        <w:br/>
        <w:t>--space-4: 32px;</w:t>
        <w:br/>
        <w:t>--space-6: 48px;</w:t>
      </w:r>
    </w:p>
    <w:p>
      <w:pPr>
        <w:pStyle w:val="Heading1"/>
      </w:pPr>
      <w:r>
        <w:rPr>
          <w:rFonts w:ascii="Arial" w:hAnsi="Arial"/>
          <w:color w:val="111827"/>
        </w:rPr>
        <w:t>Priority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5E7EB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84"/>
            <w:shd w:fill="E5E7EB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184"/>
          </w:tcPr>
          <w:p>
            <w:r>
              <w:t>P0</w:t>
            </w:r>
          </w:p>
        </w:tc>
        <w:tc>
          <w:tcPr>
            <w:tcW w:type="dxa" w:w="5184"/>
          </w:tcPr>
          <w:p>
            <w:r>
              <w:t>Change page background to neutral gray and convert main cards to white surfaces.</w:t>
            </w:r>
          </w:p>
        </w:tc>
      </w:tr>
      <w:tr>
        <w:tc>
          <w:tcPr>
            <w:tcW w:type="dxa" w:w="5184"/>
          </w:tcPr>
          <w:p>
            <w:r>
              <w:t>P0</w:t>
            </w:r>
          </w:p>
        </w:tc>
        <w:tc>
          <w:tcPr>
            <w:tcW w:type="dxa" w:w="5184"/>
          </w:tcPr>
          <w:p>
            <w:r>
              <w:t>Remove broad mint backgrounds except verification/success states.</w:t>
            </w:r>
          </w:p>
        </w:tc>
      </w:tr>
      <w:tr>
        <w:tc>
          <w:tcPr>
            <w:tcW w:type="dxa" w:w="5184"/>
          </w:tcPr>
          <w:p>
            <w:r>
              <w:t>P0</w:t>
            </w:r>
          </w:p>
        </w:tc>
        <w:tc>
          <w:tcPr>
            <w:tcW w:type="dxa" w:w="5184"/>
          </w:tcPr>
          <w:p>
            <w:r>
              <w:t>Reduce visible card borders; use subtle shadow and low-opacity borders.</w:t>
            </w:r>
          </w:p>
        </w:tc>
      </w:tr>
      <w:tr>
        <w:tc>
          <w:tcPr>
            <w:tcW w:type="dxa" w:w="5184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Redesign signup panel as a white conversion card with orange CTA.</w:t>
            </w:r>
          </w:p>
        </w:tc>
      </w:tr>
      <w:tr>
        <w:tc>
          <w:tcPr>
            <w:tcW w:type="dxa" w:w="5184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Reduce sticky CTA dominance.</w:t>
            </w:r>
          </w:p>
        </w:tc>
      </w:tr>
      <w:tr>
        <w:tc>
          <w:tcPr>
            <w:tcW w:type="dxa" w:w="5184"/>
          </w:tcPr>
          <w:p>
            <w:r>
              <w:t>P1</w:t>
            </w:r>
          </w:p>
        </w:tc>
        <w:tc>
          <w:tcPr>
            <w:tcW w:type="dxa" w:w="5184"/>
          </w:tcPr>
          <w:p>
            <w:r>
              <w:t>Add stronger value signals inside the profile card.</w:t>
            </w:r>
          </w:p>
        </w:tc>
      </w:tr>
      <w:tr>
        <w:tc>
          <w:tcPr>
            <w:tcW w:type="dxa" w:w="5184"/>
          </w:tcPr>
          <w:p>
            <w:r>
              <w:t>P2</w:t>
            </w:r>
          </w:p>
        </w:tc>
        <w:tc>
          <w:tcPr>
            <w:tcW w:type="dxa" w:w="5184"/>
          </w:tcPr>
          <w:p>
            <w:r>
              <w:t>Refine category card treatments with accent lines, icon containers, and hover states.</w:t>
            </w:r>
          </w:p>
        </w:tc>
      </w:tr>
      <w:tr>
        <w:tc>
          <w:tcPr>
            <w:tcW w:type="dxa" w:w="5184"/>
          </w:tcPr>
          <w:p>
            <w:r>
              <w:t>P2</w:t>
            </w:r>
          </w:p>
        </w:tc>
        <w:tc>
          <w:tcPr>
            <w:tcW w:type="dxa" w:w="5184"/>
          </w:tcPr>
          <w:p>
            <w:r>
              <w:t>Normalize spacing to an 8-point grid.</w:t>
            </w:r>
          </w:p>
        </w:tc>
      </w:tr>
    </w:tbl>
    <w:p>
      <w:pPr>
        <w:pStyle w:val="Heading1"/>
      </w:pPr>
      <w:r>
        <w:rPr>
          <w:rFonts w:ascii="Arial" w:hAnsi="Arial"/>
          <w:color w:val="111827"/>
        </w:rPr>
        <w:t>Bottom Line</w:t>
      </w:r>
    </w:p>
    <w:p>
      <w:r>
        <w:rPr>
          <w:b/>
        </w:rPr>
        <w:t xml:space="preserve">Do not redesign the whole flow yet. </w:t>
      </w:r>
      <w:r>
        <w:t>The fastest improvement is a surface-system pass: neutral background, white cards, fewer borders, less mint, stronger elevation, and clearer CTA hierarchy. This should make the page feel more premium, less washed out, and more conversion-oriented without requiring major product or layout changes.</w:t>
      </w:r>
    </w:p>
    <w:sectPr w:rsidR="00FC693F" w:rsidRPr="0006063C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IDLookup.ai visual design audit - first pass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