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lifecycle-demo-app-refined-specification"/>
    <w:p>
      <w:pPr>
        <w:pStyle w:val="Heading1"/>
      </w:pPr>
      <w:r>
        <w:t xml:space="preserve">Lifecycle Demo App — Refined Specification</w:t>
      </w:r>
    </w:p>
    <w:bookmarkStart w:id="33" w:name="purpose"/>
    <w:p>
      <w:pPr>
        <w:pStyle w:val="Heading2"/>
      </w:pPr>
      <w:r>
        <w:t xml:space="preserve">Purpose</w:t>
      </w:r>
    </w:p>
    <w:p>
      <w:pPr>
        <w:pStyle w:val="FirstParagraph"/>
      </w:pPr>
      <w:r>
        <w:t xml:space="preserve">This document outlines the improvements to the existing</w:t>
      </w:r>
      <w:r>
        <w:t xml:space="preserve"> </w:t>
      </w:r>
      <w:r>
        <w:rPr>
          <w:b/>
          <w:bCs/>
        </w:rPr>
        <w:t xml:space="preserve">Lifecycle Revenue Engine</w:t>
      </w:r>
      <w:r>
        <w:t xml:space="preserve"> </w:t>
      </w:r>
      <w:r>
        <w:t xml:space="preserve">demo. The goal is to transform the demo from a simple proof‑of‑concept into a credible, SaaS‑like application that clearly illustrates how real‑world events can drive personalised outreach and revenue. The recommendations draw on UX research and industry guidance about dashboard design</w:t>
      </w:r>
      <w:hyperlink r:id="rId21">
        <w:r>
          <w:rPr>
            <w:rStyle w:val="Hyperlink"/>
          </w:rPr>
          <w:t xml:space="preserve">[1]</w:t>
        </w:r>
      </w:hyperlink>
      <w:r>
        <w:t xml:space="preserve">, weighted scoring interfaces</w:t>
      </w:r>
      <w:hyperlink r:id="rId22">
        <w:r>
          <w:rPr>
            <w:rStyle w:val="Hyperlink"/>
          </w:rPr>
          <w:t xml:space="preserve">[2]</w:t>
        </w:r>
      </w:hyperlink>
      <w:hyperlink r:id="rId23">
        <w:r>
          <w:rPr>
            <w:rStyle w:val="Hyperlink"/>
          </w:rPr>
          <w:t xml:space="preserve">[3]</w:t>
        </w:r>
      </w:hyperlink>
      <w:r>
        <w:t xml:space="preserve">, and data‑visualisation best practices</w:t>
      </w:r>
      <w:hyperlink r:id="rId24">
        <w:r>
          <w:rPr>
            <w:rStyle w:val="Hyperlink"/>
          </w:rPr>
          <w:t xml:space="preserve">[4]</w:t>
        </w:r>
      </w:hyperlink>
      <w:r>
        <w:t xml:space="preserve">. Each section below lists the reasoning and desired outcome for Codex to implement.</w:t>
      </w:r>
    </w:p>
    <w:bookmarkStart w:id="25" w:name="data-relationship-flow-visualisations"/>
    <w:p>
      <w:pPr>
        <w:pStyle w:val="Heading3"/>
      </w:pPr>
      <w:r>
        <w:t xml:space="preserve">1. Data Relationship &amp; Flow Visualisations</w:t>
      </w:r>
    </w:p>
    <w:p>
      <w:pPr>
        <w:numPr>
          <w:ilvl w:val="0"/>
          <w:numId w:val="1001"/>
        </w:numPr>
      </w:pPr>
      <w:r>
        <w:rPr>
          <w:b/>
          <w:bCs/>
        </w:rPr>
        <w:t xml:space="preserve">Pipeline Diagram:</w:t>
      </w:r>
      <w:r>
        <w:t xml:space="preserve"> </w:t>
      </w:r>
      <w:r>
        <w:t xml:space="preserve">Replace the simple list of engine components with a visual flow that traces a signal’s journey from</w:t>
      </w:r>
      <w:r>
        <w:t xml:space="preserve"> </w:t>
      </w:r>
      <w:r>
        <w:rPr>
          <w:i/>
          <w:iCs/>
        </w:rPr>
        <w:t xml:space="preserve">Entity Deltas</w:t>
      </w:r>
      <w:r>
        <w:t xml:space="preserve"> </w:t>
      </w:r>
      <w:r>
        <w:t xml:space="preserve">→</w:t>
      </w:r>
      <w:r>
        <w:t xml:space="preserve"> </w:t>
      </w:r>
      <w:r>
        <w:rPr>
          <w:i/>
          <w:iCs/>
        </w:rPr>
        <w:t xml:space="preserve">Campaign Candidates</w:t>
      </w:r>
      <w:r>
        <w:t xml:space="preserve"> </w:t>
      </w:r>
      <w:r>
        <w:t xml:space="preserve">→</w:t>
      </w:r>
      <w:r>
        <w:t xml:space="preserve"> </w:t>
      </w:r>
      <w:r>
        <w:rPr>
          <w:i/>
          <w:iCs/>
        </w:rPr>
        <w:t xml:space="preserve">Generated Messages</w:t>
      </w:r>
      <w:r>
        <w:t xml:space="preserve"> </w:t>
      </w:r>
      <w:r>
        <w:t xml:space="preserve">→</w:t>
      </w:r>
      <w:r>
        <w:t xml:space="preserve"> </w:t>
      </w:r>
      <w:r>
        <w:rPr>
          <w:i/>
          <w:iCs/>
        </w:rPr>
        <w:t xml:space="preserve">Projected Outcomes</w:t>
      </w:r>
      <w:r>
        <w:t xml:space="preserve">. Use a Sankey or process diagram to show counts at each stage. This high‑level view helps users perceive the relationships between parts and emphasises how data flows through the system</w:t>
      </w:r>
      <w:hyperlink r:id="rId21">
        <w:r>
          <w:rPr>
            <w:rStyle w:val="Hyperlink"/>
          </w:rPr>
          <w:t xml:space="preserve">[1]</w:t>
        </w:r>
      </w:hyperlink>
      <w:r>
        <w:t xml:space="preserve">. Provide an alternative textual description for accessibility.</w:t>
      </w:r>
    </w:p>
    <w:p>
      <w:pPr>
        <w:numPr>
          <w:ilvl w:val="0"/>
          <w:numId w:val="1001"/>
        </w:numPr>
      </w:pPr>
      <w:r>
        <w:rPr>
          <w:b/>
          <w:bCs/>
        </w:rPr>
        <w:t xml:space="preserve">Interest Graph Visualisation:</w:t>
      </w:r>
      <w:r>
        <w:t xml:space="preserve"> </w:t>
      </w:r>
      <w:r>
        <w:t xml:space="preserve">Add an optional force‑directed graph or chord diagram to show how users connect to entities based on the interest graph. Colour‑code nodes (users, entities, interest types) and allow hover interactions to reveal details. Keep the chart uncluttered by limiting the number of visible nodes and providing filters.</w:t>
      </w:r>
    </w:p>
    <w:p>
      <w:pPr>
        <w:numPr>
          <w:ilvl w:val="0"/>
          <w:numId w:val="1001"/>
        </w:numPr>
      </w:pPr>
      <w:r>
        <w:rPr>
          <w:b/>
          <w:bCs/>
        </w:rPr>
        <w:t xml:space="preserve">Dictionary/Data Dictionary Panel:</w:t>
      </w:r>
      <w:r>
        <w:t xml:space="preserve"> </w:t>
      </w:r>
      <w:r>
        <w:t xml:space="preserve">Include a panel that lists and defines key fields like</w:t>
      </w:r>
      <w:r>
        <w:t xml:space="preserve"> </w:t>
      </w:r>
      <w:r>
        <w:rPr>
          <w:rStyle w:val="VerbatimChar"/>
        </w:rPr>
        <w:t xml:space="preserve">entity_type</w:t>
      </w:r>
      <w:r>
        <w:t xml:space="preserve">,</w:t>
      </w:r>
      <w:r>
        <w:t xml:space="preserve"> </w:t>
      </w:r>
      <w:r>
        <w:rPr>
          <w:rStyle w:val="VerbatimChar"/>
        </w:rPr>
        <w:t xml:space="preserve">delta_type</w:t>
      </w:r>
      <w:r>
        <w:t xml:space="preserve">,</w:t>
      </w:r>
      <w:r>
        <w:t xml:space="preserve"> </w:t>
      </w:r>
      <w:r>
        <w:rPr>
          <w:rStyle w:val="VerbatimChar"/>
        </w:rPr>
        <w:t xml:space="preserve">segment</w:t>
      </w:r>
      <w:r>
        <w:t xml:space="preserve">,</w:t>
      </w:r>
      <w:r>
        <w:t xml:space="preserve"> </w:t>
      </w:r>
      <w:r>
        <w:rPr>
          <w:rStyle w:val="VerbatimChar"/>
        </w:rPr>
        <w:t xml:space="preserve">priorityScore</w:t>
      </w:r>
      <w:r>
        <w:t xml:space="preserve">, etc. This ties directly into the</w:t>
      </w:r>
      <w:r>
        <w:t xml:space="preserve"> </w:t>
      </w:r>
      <w:r>
        <w:rPr>
          <w:i/>
          <w:iCs/>
        </w:rPr>
        <w:t xml:space="preserve">Variable Definitions</w:t>
      </w:r>
      <w:r>
        <w:t xml:space="preserve"> </w:t>
      </w:r>
      <w:r>
        <w:t xml:space="preserve">component below.</w:t>
      </w:r>
    </w:p>
    <w:bookmarkEnd w:id="25"/>
    <w:bookmarkStart w:id="26" w:name="variable-definitions-context-ui"/>
    <w:p>
      <w:pPr>
        <w:pStyle w:val="Heading3"/>
      </w:pPr>
      <w:r>
        <w:t xml:space="preserve">2. Variable Definitions &amp; Context UI</w:t>
      </w:r>
    </w:p>
    <w:p>
      <w:pPr>
        <w:pStyle w:val="FirstParagraph"/>
      </w:pPr>
      <w:r>
        <w:t xml:space="preserve">The current demo includes a free‑form “Input guide” and long lists of sample users and entities. Instead, build a</w:t>
      </w:r>
      <w:r>
        <w:t xml:space="preserve"> </w:t>
      </w:r>
      <w:r>
        <w:rPr>
          <w:i/>
          <w:iCs/>
        </w:rPr>
        <w:t xml:space="preserve">Variable Definitions</w:t>
      </w:r>
      <w:r>
        <w:t xml:space="preserve"> </w:t>
      </w:r>
      <w:r>
        <w:t xml:space="preserve">panel that systematically lists every input and output used by the system: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Variable</w:t>
            </w:r>
          </w:p>
        </w:tc>
        <w:tc>
          <w:tcPr/>
          <w:p>
            <w:pPr>
              <w:pStyle w:val="Compact"/>
            </w:pPr>
            <w:r>
              <w:t xml:space="preserve">Type</w:t>
            </w:r>
          </w:p>
        </w:tc>
        <w:tc>
          <w:tcPr/>
          <w:p>
            <w:pPr>
              <w:pStyle w:val="Compact"/>
            </w:pPr>
            <w:r>
              <w:t xml:space="preserve">Description</w:t>
            </w:r>
          </w:p>
        </w:tc>
        <w:tc>
          <w:tcPr/>
          <w:p>
            <w:pPr>
              <w:pStyle w:val="Compact"/>
            </w:pPr>
            <w:r>
              <w:t xml:space="preserve">Range/Example</w:t>
            </w:r>
          </w:p>
        </w:tc>
      </w:tr>
      <w:tr>
        <w:tc>
          <w:tcPr/>
          <w:p>
            <w:pPr>
              <w:pStyle w:val="Compact"/>
            </w:pPr>
            <w:r>
              <w:rPr>
                <w:b/>
                <w:bCs/>
              </w:rPr>
              <w:t xml:space="preserve">Inputs / Scoring</w:t>
            </w:r>
          </w:p>
        </w:tc>
        <w:tc>
          <w:tcPr/>
          <w:p>
            <w:pPr>
              <w:pStyle w:val="Compact"/>
            </w:pPr>
            <w:r>
              <w:rPr>
                <w:rStyle w:val="VerbatimChar"/>
              </w:rPr>
              <w:t xml:space="preserve">interest_weight</w:t>
            </w:r>
          </w:p>
        </w:tc>
        <w:tc>
          <w:tcPr/>
          <w:p>
            <w:pPr>
              <w:pStyle w:val="Compact"/>
            </w:pPr>
            <w:r>
              <w:t xml:space="preserve">float</w:t>
            </w:r>
          </w:p>
        </w:tc>
        <w:tc>
          <w:tcPr/>
          <w:p>
            <w:pPr>
              <w:pStyle w:val="Compact"/>
            </w:pPr>
            <w:r>
              <w:t xml:space="preserve">Weight for interest score (0‑1)</w:t>
            </w:r>
          </w:p>
        </w:tc>
        <w:tc>
          <w:tcPr/>
          <w:p>
            <w:pPr>
              <w:pStyle w:val="Compact"/>
            </w:pPr>
            <w:r>
              <w:t xml:space="preserve">0–1</w:t>
            </w:r>
          </w:p>
        </w:tc>
      </w:tr>
      <w:tr>
        <w:tc>
          <w:tcPr/>
          <w:p>
            <w:pPr>
              <w:pStyle w:val="Compact"/>
            </w:pPr>
          </w:p>
        </w:tc>
        <w:tc>
          <w:tcPr/>
          <w:p>
            <w:pPr>
              <w:pStyle w:val="Compact"/>
            </w:pPr>
            <w:r>
              <w:rPr>
                <w:rStyle w:val="VerbatimChar"/>
              </w:rPr>
              <w:t xml:space="preserve">value_weight</w:t>
            </w:r>
          </w:p>
        </w:tc>
        <w:tc>
          <w:tcPr/>
          <w:p>
            <w:pPr>
              <w:pStyle w:val="Compact"/>
            </w:pPr>
            <w:r>
              <w:t xml:space="preserve">float</w:t>
            </w:r>
          </w:p>
        </w:tc>
        <w:tc>
          <w:tcPr/>
          <w:p>
            <w:pPr>
              <w:pStyle w:val="Compact"/>
            </w:pPr>
            <w:r>
              <w:t xml:space="preserve">Weight for segment value</w:t>
            </w:r>
          </w:p>
        </w:tc>
        <w:tc>
          <w:tcPr/>
          <w:p>
            <w:pPr>
              <w:pStyle w:val="Compact"/>
            </w:pPr>
            <w:r>
              <w:t xml:space="preserve">0–1</w:t>
            </w:r>
          </w:p>
        </w:tc>
      </w:tr>
      <w:tr>
        <w:tc>
          <w:tcPr/>
          <w:p>
            <w:pPr>
              <w:pStyle w:val="Compact"/>
            </w:pPr>
          </w:p>
        </w:tc>
        <w:tc>
          <w:tcPr/>
          <w:p>
            <w:pPr>
              <w:pStyle w:val="Compact"/>
            </w:pPr>
            <w:r>
              <w:rPr>
                <w:rStyle w:val="VerbatimChar"/>
              </w:rPr>
              <w:t xml:space="preserve">recency_weight</w:t>
            </w:r>
          </w:p>
        </w:tc>
        <w:tc>
          <w:tcPr/>
          <w:p>
            <w:pPr>
              <w:pStyle w:val="Compact"/>
            </w:pPr>
            <w:r>
              <w:t xml:space="preserve">float</w:t>
            </w:r>
          </w:p>
        </w:tc>
        <w:tc>
          <w:tcPr/>
          <w:p>
            <w:pPr>
              <w:pStyle w:val="Compact"/>
            </w:pPr>
            <w:r>
              <w:t xml:space="preserve">Weight for recency of change</w:t>
            </w:r>
          </w:p>
        </w:tc>
        <w:tc>
          <w:tcPr/>
          <w:p>
            <w:pPr>
              <w:pStyle w:val="Compact"/>
            </w:pPr>
            <w:r>
              <w:t xml:space="preserve">0–1</w:t>
            </w:r>
          </w:p>
        </w:tc>
      </w:tr>
      <w:tr>
        <w:tc>
          <w:tcPr/>
          <w:p>
            <w:pPr>
              <w:pStyle w:val="Compact"/>
            </w:pPr>
          </w:p>
        </w:tc>
        <w:tc>
          <w:tcPr/>
          <w:p>
            <w:pPr>
              <w:pStyle w:val="Compact"/>
            </w:pPr>
            <w:r>
              <w:rPr>
                <w:rStyle w:val="VerbatimChar"/>
              </w:rPr>
              <w:t xml:space="preserve">engagement_weight</w:t>
            </w:r>
          </w:p>
        </w:tc>
        <w:tc>
          <w:tcPr/>
          <w:p>
            <w:pPr>
              <w:pStyle w:val="Compact"/>
            </w:pPr>
            <w:r>
              <w:t xml:space="preserve">float</w:t>
            </w:r>
          </w:p>
        </w:tc>
        <w:tc>
          <w:tcPr/>
          <w:p>
            <w:pPr>
              <w:pStyle w:val="Compact"/>
            </w:pPr>
            <w:r>
              <w:t xml:space="preserve">Weight for prior engagement</w:t>
            </w:r>
          </w:p>
        </w:tc>
        <w:tc>
          <w:tcPr/>
          <w:p>
            <w:pPr>
              <w:pStyle w:val="Compact"/>
            </w:pPr>
            <w:r>
              <w:t xml:space="preserve">0–1</w:t>
            </w:r>
          </w:p>
        </w:tc>
      </w:tr>
      <w:tr>
        <w:tc>
          <w:tcPr/>
          <w:p>
            <w:pPr>
              <w:pStyle w:val="Compact"/>
            </w:pPr>
            <w:r>
              <w:rPr>
                <w:b/>
                <w:bCs/>
              </w:rPr>
              <w:t xml:space="preserve">Assumptions</w:t>
            </w:r>
          </w:p>
        </w:tc>
        <w:tc>
          <w:tcPr/>
          <w:p>
            <w:pPr>
              <w:pStyle w:val="Compact"/>
            </w:pPr>
            <w:r>
              <w:rPr>
                <w:rStyle w:val="VerbatimChar"/>
              </w:rPr>
              <w:t xml:space="preserve">open_rate</w:t>
            </w:r>
          </w:p>
        </w:tc>
        <w:tc>
          <w:tcPr/>
          <w:p>
            <w:pPr>
              <w:pStyle w:val="Compact"/>
            </w:pPr>
            <w:r>
              <w:t xml:space="preserve">float</w:t>
            </w:r>
          </w:p>
        </w:tc>
        <w:tc>
          <w:tcPr/>
          <w:p>
            <w:pPr>
              <w:pStyle w:val="Compact"/>
            </w:pPr>
            <w:r>
              <w:t xml:space="preserve">Expected open rate of campaign</w:t>
            </w:r>
          </w:p>
        </w:tc>
        <w:tc>
          <w:tcPr/>
          <w:p>
            <w:pPr>
              <w:pStyle w:val="Compact"/>
            </w:pPr>
            <w:r>
              <w:t xml:space="preserve">0–1</w:t>
            </w:r>
          </w:p>
        </w:tc>
      </w:tr>
      <w:tr>
        <w:tc>
          <w:tcPr/>
          <w:p>
            <w:pPr>
              <w:pStyle w:val="Compact"/>
            </w:pPr>
          </w:p>
        </w:tc>
        <w:tc>
          <w:tcPr/>
          <w:p>
            <w:pPr>
              <w:pStyle w:val="Compact"/>
            </w:pPr>
            <w:r>
              <w:rPr>
                <w:rStyle w:val="VerbatimChar"/>
              </w:rPr>
              <w:t xml:space="preserve">click_rate</w:t>
            </w:r>
          </w:p>
        </w:tc>
        <w:tc>
          <w:tcPr/>
          <w:p>
            <w:pPr>
              <w:pStyle w:val="Compact"/>
            </w:pPr>
            <w:r>
              <w:t xml:space="preserve">float</w:t>
            </w:r>
          </w:p>
        </w:tc>
        <w:tc>
          <w:tcPr/>
          <w:p>
            <w:pPr>
              <w:pStyle w:val="Compact"/>
            </w:pPr>
            <w:r>
              <w:t xml:space="preserve">Expected click‑through rate</w:t>
            </w:r>
          </w:p>
        </w:tc>
        <w:tc>
          <w:tcPr/>
          <w:p>
            <w:pPr>
              <w:pStyle w:val="Compact"/>
            </w:pPr>
            <w:r>
              <w:t xml:space="preserve">0–1</w:t>
            </w:r>
          </w:p>
        </w:tc>
      </w:tr>
      <w:tr>
        <w:tc>
          <w:tcPr/>
          <w:p>
            <w:pPr>
              <w:pStyle w:val="Compact"/>
            </w:pPr>
          </w:p>
        </w:tc>
        <w:tc>
          <w:tcPr/>
          <w:p>
            <w:pPr>
              <w:pStyle w:val="Compact"/>
            </w:pPr>
            <w:r>
              <w:rPr>
                <w:rStyle w:val="VerbatimChar"/>
              </w:rPr>
              <w:t xml:space="preserve">purchase_rate</w:t>
            </w:r>
          </w:p>
        </w:tc>
        <w:tc>
          <w:tcPr/>
          <w:p>
            <w:pPr>
              <w:pStyle w:val="Compact"/>
            </w:pPr>
            <w:r>
              <w:t xml:space="preserve">float</w:t>
            </w:r>
          </w:p>
        </w:tc>
        <w:tc>
          <w:tcPr/>
          <w:p>
            <w:pPr>
              <w:pStyle w:val="Compact"/>
            </w:pPr>
            <w:r>
              <w:t xml:space="preserve">Expected purchase rate</w:t>
            </w:r>
          </w:p>
        </w:tc>
        <w:tc>
          <w:tcPr/>
          <w:p>
            <w:pPr>
              <w:pStyle w:val="Compact"/>
            </w:pPr>
            <w:r>
              <w:t xml:space="preserve">0–1</w:t>
            </w:r>
          </w:p>
        </w:tc>
      </w:tr>
      <w:tr>
        <w:tc>
          <w:tcPr/>
          <w:p>
            <w:pPr>
              <w:pStyle w:val="Compact"/>
            </w:pPr>
          </w:p>
        </w:tc>
        <w:tc>
          <w:tcPr/>
          <w:p>
            <w:pPr>
              <w:pStyle w:val="Compact"/>
            </w:pPr>
            <w:r>
              <w:rPr>
                <w:rStyle w:val="VerbatimChar"/>
              </w:rPr>
              <w:t xml:space="preserve">revenue_per_event</w:t>
            </w:r>
          </w:p>
        </w:tc>
        <w:tc>
          <w:tcPr/>
          <w:p>
            <w:pPr>
              <w:pStyle w:val="Compact"/>
            </w:pPr>
            <w:r>
              <w:t xml:space="preserve">float</w:t>
            </w:r>
          </w:p>
        </w:tc>
        <w:tc>
          <w:tcPr/>
          <w:p>
            <w:pPr>
              <w:pStyle w:val="Compact"/>
            </w:pPr>
            <w:r>
              <w:t xml:space="preserve">Average revenue per purchase</w:t>
            </w:r>
          </w:p>
        </w:tc>
        <w:tc>
          <w:tcPr/>
          <w:p>
            <w:pPr>
              <w:pStyle w:val="Compact"/>
            </w:pPr>
            <w:r>
              <w:t xml:space="preserve">$</w:t>
            </w:r>
          </w:p>
        </w:tc>
      </w:tr>
      <w:tr>
        <w:tc>
          <w:tcPr/>
          <w:p>
            <w:pPr>
              <w:pStyle w:val="Compact"/>
            </w:pPr>
            <w:r>
              <w:rPr>
                <w:b/>
                <w:bCs/>
              </w:rPr>
              <w:t xml:space="preserve">Outputs</w:t>
            </w:r>
          </w:p>
        </w:tc>
        <w:tc>
          <w:tcPr/>
          <w:p>
            <w:pPr>
              <w:pStyle w:val="Compact"/>
            </w:pPr>
            <w:r>
              <w:rPr>
                <w:rStyle w:val="VerbatimChar"/>
              </w:rPr>
              <w:t xml:space="preserve">entityDeltas</w:t>
            </w:r>
          </w:p>
        </w:tc>
        <w:tc>
          <w:tcPr/>
          <w:p>
            <w:pPr>
              <w:pStyle w:val="Compact"/>
            </w:pPr>
            <w:r>
              <w:t xml:space="preserve">int</w:t>
            </w:r>
          </w:p>
        </w:tc>
        <w:tc>
          <w:tcPr/>
          <w:p>
            <w:pPr>
              <w:pStyle w:val="Compact"/>
            </w:pPr>
            <w:r>
              <w:t xml:space="preserve">Number of detected changes</w:t>
            </w:r>
          </w:p>
        </w:tc>
        <w:tc>
          <w:tcPr/>
          <w:p>
            <w:pPr>
              <w:pStyle w:val="Compact"/>
            </w:pPr>
            <w:r>
              <w:t xml:space="preserve">–</w:t>
            </w:r>
          </w:p>
        </w:tc>
      </w:tr>
      <w:tr>
        <w:tc>
          <w:tcPr/>
          <w:p>
            <w:pPr>
              <w:pStyle w:val="Compact"/>
            </w:pPr>
          </w:p>
        </w:tc>
        <w:tc>
          <w:tcPr/>
          <w:p>
            <w:pPr>
              <w:pStyle w:val="Compact"/>
            </w:pPr>
            <w:r>
              <w:rPr>
                <w:rStyle w:val="VerbatimChar"/>
              </w:rPr>
              <w:t xml:space="preserve">campaignCandidates</w:t>
            </w:r>
          </w:p>
        </w:tc>
        <w:tc>
          <w:tcPr/>
          <w:p>
            <w:pPr>
              <w:pStyle w:val="Compact"/>
            </w:pPr>
            <w:r>
              <w:t xml:space="preserve">int</w:t>
            </w:r>
          </w:p>
        </w:tc>
        <w:tc>
          <w:tcPr/>
          <w:p>
            <w:pPr>
              <w:pStyle w:val="Compact"/>
            </w:pPr>
            <w:r>
              <w:t xml:space="preserve">Number of candidates after scoring</w:t>
            </w:r>
          </w:p>
        </w:tc>
        <w:tc>
          <w:tcPr/>
          <w:p>
            <w:pPr>
              <w:pStyle w:val="Compact"/>
            </w:pPr>
            <w:r>
              <w:t xml:space="preserve">–</w:t>
            </w:r>
          </w:p>
        </w:tc>
      </w:tr>
      <w:tr>
        <w:tc>
          <w:tcPr/>
          <w:p>
            <w:pPr>
              <w:pStyle w:val="Compact"/>
            </w:pPr>
          </w:p>
        </w:tc>
        <w:tc>
          <w:tcPr/>
          <w:p>
            <w:pPr>
              <w:pStyle w:val="Compact"/>
            </w:pPr>
            <w:r>
              <w:rPr>
                <w:rStyle w:val="VerbatimChar"/>
              </w:rPr>
              <w:t xml:space="preserve">generatedMessages</w:t>
            </w:r>
          </w:p>
        </w:tc>
        <w:tc>
          <w:tcPr/>
          <w:p>
            <w:pPr>
              <w:pStyle w:val="Compact"/>
            </w:pPr>
            <w:r>
              <w:t xml:space="preserve">int</w:t>
            </w:r>
          </w:p>
        </w:tc>
        <w:tc>
          <w:tcPr/>
          <w:p>
            <w:pPr>
              <w:pStyle w:val="Compact"/>
            </w:pPr>
            <w:r>
              <w:t xml:space="preserve">Number of personalised messages</w:t>
            </w:r>
          </w:p>
        </w:tc>
        <w:tc>
          <w:tcPr/>
          <w:p>
            <w:pPr>
              <w:pStyle w:val="Compact"/>
            </w:pPr>
            <w:r>
              <w:t xml:space="preserve">–</w:t>
            </w:r>
          </w:p>
        </w:tc>
      </w:tr>
      <w:tr>
        <w:tc>
          <w:tcPr/>
          <w:p>
            <w:pPr>
              <w:pStyle w:val="Compact"/>
            </w:pPr>
          </w:p>
        </w:tc>
        <w:tc>
          <w:tcPr/>
          <w:p>
            <w:pPr>
              <w:pStyle w:val="Compact"/>
            </w:pPr>
            <w:r>
              <w:rPr>
                <w:rStyle w:val="VerbatimChar"/>
              </w:rPr>
              <w:t xml:space="preserve">projectedRevenue</w:t>
            </w:r>
          </w:p>
        </w:tc>
        <w:tc>
          <w:tcPr/>
          <w:p>
            <w:pPr>
              <w:pStyle w:val="Compact"/>
            </w:pPr>
            <w:r>
              <w:t xml:space="preserve">float</w:t>
            </w:r>
          </w:p>
        </w:tc>
        <w:tc>
          <w:tcPr/>
          <w:p>
            <w:pPr>
              <w:pStyle w:val="Compact"/>
            </w:pPr>
            <w:r>
              <w:t xml:space="preserve">Projected revenue for run</w:t>
            </w:r>
          </w:p>
        </w:tc>
        <w:tc>
          <w:tcPr/>
          <w:p>
            <w:pPr>
              <w:pStyle w:val="Compact"/>
            </w:pPr>
            <w:r>
              <w:t xml:space="preserve">$</w:t>
            </w:r>
          </w:p>
        </w:tc>
      </w:tr>
    </w:tbl>
    <w:p>
      <w:pPr>
        <w:pStyle w:val="BodyText"/>
      </w:pPr>
      <w:r>
        <w:t xml:space="preserve">The panel should live under a new</w:t>
      </w:r>
      <w:r>
        <w:t xml:space="preserve"> </w:t>
      </w:r>
      <w:r>
        <w:rPr>
          <w:b/>
          <w:bCs/>
        </w:rPr>
        <w:t xml:space="preserve">Documentation</w:t>
      </w:r>
      <w:r>
        <w:t xml:space="preserve"> </w:t>
      </w:r>
      <w:r>
        <w:t xml:space="preserve">tab in the demo and support toggling between “Inputs”, “Outputs”, “Scoring Weights” and “Assumptions”. This ensures users always understand the variables they are manipulating.</w:t>
      </w:r>
    </w:p>
    <w:bookmarkEnd w:id="26"/>
    <w:bookmarkStart w:id="27" w:name="scoring-weight-controls"/>
    <w:p>
      <w:pPr>
        <w:pStyle w:val="Heading3"/>
      </w:pPr>
      <w:r>
        <w:t xml:space="preserve">3. Scoring Weight Controls</w:t>
      </w:r>
    </w:p>
    <w:p>
      <w:pPr>
        <w:pStyle w:val="FirstParagraph"/>
      </w:pPr>
      <w:r>
        <w:t xml:space="preserve">Provide an interactive control to adjust the four scoring weights (</w:t>
      </w:r>
      <w:r>
        <w:rPr>
          <w:rStyle w:val="VerbatimChar"/>
        </w:rPr>
        <w:t xml:space="preserve">interest_weight</w:t>
      </w:r>
      <w:r>
        <w:t xml:space="preserve">,</w:t>
      </w:r>
      <w:r>
        <w:t xml:space="preserve"> </w:t>
      </w:r>
      <w:r>
        <w:rPr>
          <w:rStyle w:val="VerbatimChar"/>
        </w:rPr>
        <w:t xml:space="preserve">value_weight</w:t>
      </w:r>
      <w:r>
        <w:t xml:space="preserve">,</w:t>
      </w:r>
      <w:r>
        <w:t xml:space="preserve"> </w:t>
      </w:r>
      <w:r>
        <w:rPr>
          <w:rStyle w:val="VerbatimChar"/>
        </w:rPr>
        <w:t xml:space="preserve">recency_weight</w:t>
      </w:r>
      <w:r>
        <w:t xml:space="preserve">,</w:t>
      </w:r>
      <w:r>
        <w:t xml:space="preserve"> </w:t>
      </w:r>
      <w:r>
        <w:rPr>
          <w:rStyle w:val="VerbatimChar"/>
        </w:rPr>
        <w:t xml:space="preserve">engagement_weight</w:t>
      </w:r>
      <w:r>
        <w:t xml:space="preserve">) with sliders or numeric inputs. As one weight is increased, the others adjust proportionally to keep the total equal to 1 by default</w:t>
      </w:r>
      <w:hyperlink r:id="rId22">
        <w:r>
          <w:rPr>
            <w:rStyle w:val="Hyperlink"/>
          </w:rPr>
          <w:t xml:space="preserve">[2]</w:t>
        </w:r>
      </w:hyperlink>
      <w:r>
        <w:t xml:space="preserve">. Include optional</w:t>
      </w:r>
      <w:r>
        <w:t xml:space="preserve"> </w:t>
      </w:r>
      <w:r>
        <w:rPr>
          <w:b/>
          <w:bCs/>
        </w:rPr>
        <w:t xml:space="preserve">lock</w:t>
      </w:r>
      <w:r>
        <w:t xml:space="preserve"> </w:t>
      </w:r>
      <w:r>
        <w:t xml:space="preserve">toggles so users can fix certain weights while adjusting others</w:t>
      </w:r>
      <w:hyperlink r:id="rId23">
        <w:r>
          <w:rPr>
            <w:rStyle w:val="Hyperlink"/>
          </w:rPr>
          <w:t xml:space="preserve">[3]</w:t>
        </w:r>
      </w:hyperlink>
      <w:r>
        <w:t xml:space="preserve">. Display the formula</w:t>
      </w:r>
    </w:p>
    <w:p>
      <w:pPr>
        <w:pStyle w:val="SourceCode"/>
      </w:pPr>
      <w:r>
        <w:rPr>
          <w:rStyle w:val="VerbatimChar"/>
        </w:rPr>
        <w:t xml:space="preserve">priorityScore = interestScore * interest_weight</w:t>
      </w:r>
      <w:r>
        <w:br/>
      </w:r>
      <w:r>
        <w:rPr>
          <w:rStyle w:val="VerbatimChar"/>
        </w:rPr>
        <w:t xml:space="preserve">              + recencyScore  * recency_weight</w:t>
      </w:r>
      <w:r>
        <w:br/>
      </w:r>
      <w:r>
        <w:rPr>
          <w:rStyle w:val="VerbatimChar"/>
        </w:rPr>
        <w:t xml:space="preserve">              + segmentScore  * value_weight</w:t>
      </w:r>
      <w:r>
        <w:br/>
      </w:r>
      <w:r>
        <w:rPr>
          <w:rStyle w:val="VerbatimChar"/>
        </w:rPr>
        <w:t xml:space="preserve">              + engagementScore * engagement_weight</w:t>
      </w:r>
    </w:p>
    <w:p>
      <w:pPr>
        <w:pStyle w:val="FirstParagraph"/>
      </w:pPr>
      <w:r>
        <w:t xml:space="preserve">directly above or below the controls so that modifications are transparent. Immediately update downstream charts (see below) when weights change.</w:t>
      </w:r>
    </w:p>
    <w:bookmarkEnd w:id="27"/>
    <w:bookmarkStart w:id="28" w:name="assumption-controls-scenario-lab"/>
    <w:p>
      <w:pPr>
        <w:pStyle w:val="Heading3"/>
      </w:pPr>
      <w:r>
        <w:t xml:space="preserve">4. Assumption Controls &amp; Scenario Lab</w:t>
      </w:r>
    </w:p>
    <w:p>
      <w:pPr>
        <w:pStyle w:val="FirstParagraph"/>
      </w:pPr>
      <w:r>
        <w:t xml:space="preserve">Create a dedicated</w:t>
      </w:r>
      <w:r>
        <w:t xml:space="preserve"> </w:t>
      </w:r>
      <w:r>
        <w:rPr>
          <w:i/>
          <w:iCs/>
        </w:rPr>
        <w:t xml:space="preserve">Assumption Controls</w:t>
      </w:r>
      <w:r>
        <w:t xml:space="preserve"> </w:t>
      </w:r>
      <w:r>
        <w:t xml:space="preserve">component with sliders for</w:t>
      </w:r>
      <w:r>
        <w:t xml:space="preserve"> </w:t>
      </w:r>
      <w:r>
        <w:rPr>
          <w:rStyle w:val="VerbatimChar"/>
        </w:rPr>
        <w:t xml:space="preserve">open_rate</w:t>
      </w:r>
      <w:r>
        <w:t xml:space="preserve">,</w:t>
      </w:r>
      <w:r>
        <w:t xml:space="preserve"> </w:t>
      </w:r>
      <w:r>
        <w:rPr>
          <w:rStyle w:val="VerbatimChar"/>
        </w:rPr>
        <w:t xml:space="preserve">click_rate</w:t>
      </w:r>
      <w:r>
        <w:t xml:space="preserve">,</w:t>
      </w:r>
      <w:r>
        <w:t xml:space="preserve"> </w:t>
      </w:r>
      <w:r>
        <w:rPr>
          <w:rStyle w:val="VerbatimChar"/>
        </w:rPr>
        <w:t xml:space="preserve">purchase_rate</w:t>
      </w:r>
      <w:r>
        <w:t xml:space="preserve">, and</w:t>
      </w:r>
      <w:r>
        <w:t xml:space="preserve"> </w:t>
      </w:r>
      <w:r>
        <w:rPr>
          <w:rStyle w:val="VerbatimChar"/>
        </w:rPr>
        <w:t xml:space="preserve">revenue_per_event</w:t>
      </w:r>
      <w:r>
        <w:t xml:space="preserve">. Reflect the simulation assumptions visually using charts and cards. When the user adjusts these sliders:</w:t>
      </w:r>
    </w:p>
    <w:p>
      <w:pPr>
        <w:pStyle w:val="Compact"/>
        <w:numPr>
          <w:ilvl w:val="0"/>
          <w:numId w:val="1002"/>
        </w:numPr>
      </w:pPr>
      <w:r>
        <w:t xml:space="preserve">Immediately recompute the modelled funnel (counts of messages delivered, opened, clicked, purchased) and update charts.</w:t>
      </w:r>
    </w:p>
    <w:p>
      <w:pPr>
        <w:pStyle w:val="Compact"/>
        <w:numPr>
          <w:ilvl w:val="0"/>
          <w:numId w:val="1002"/>
        </w:numPr>
      </w:pPr>
      <w:r>
        <w:t xml:space="preserve">Show summary cards for</w:t>
      </w:r>
      <w:r>
        <w:t xml:space="preserve"> </w:t>
      </w:r>
      <w:r>
        <w:rPr>
          <w:b/>
          <w:bCs/>
        </w:rPr>
        <w:t xml:space="preserve">Entity Deltas</w:t>
      </w:r>
      <w:r>
        <w:t xml:space="preserve">,</w:t>
      </w:r>
      <w:r>
        <w:t xml:space="preserve"> </w:t>
      </w:r>
      <w:r>
        <w:rPr>
          <w:b/>
          <w:bCs/>
        </w:rPr>
        <w:t xml:space="preserve">Candidates</w:t>
      </w:r>
      <w:r>
        <w:t xml:space="preserve">,</w:t>
      </w:r>
      <w:r>
        <w:t xml:space="preserve"> </w:t>
      </w:r>
      <w:r>
        <w:rPr>
          <w:b/>
          <w:bCs/>
        </w:rPr>
        <w:t xml:space="preserve">Messages</w:t>
      </w:r>
      <w:r>
        <w:t xml:space="preserve">,</w:t>
      </w:r>
      <w:r>
        <w:t xml:space="preserve"> </w:t>
      </w:r>
      <w:r>
        <w:rPr>
          <w:b/>
          <w:bCs/>
        </w:rPr>
        <w:t xml:space="preserve">Projected Revenue</w:t>
      </w:r>
      <w:r>
        <w:t xml:space="preserve">, and</w:t>
      </w:r>
      <w:r>
        <w:t xml:space="preserve"> </w:t>
      </w:r>
      <w:r>
        <w:rPr>
          <w:b/>
          <w:bCs/>
        </w:rPr>
        <w:t xml:space="preserve">Revenue per Event</w:t>
      </w:r>
      <w:r>
        <w:t xml:space="preserve">.</w:t>
      </w:r>
    </w:p>
    <w:p>
      <w:pPr>
        <w:pStyle w:val="Compact"/>
        <w:numPr>
          <w:ilvl w:val="0"/>
          <w:numId w:val="1002"/>
        </w:numPr>
      </w:pPr>
      <w:r>
        <w:t xml:space="preserve">Render simple bar charts or line charts to illustrate conversion by segment or over time. Use a clean design (minimal colours, no extraneous grid lines) to reduce cognitive load</w:t>
      </w:r>
      <w:hyperlink r:id="rId24">
        <w:r>
          <w:rPr>
            <w:rStyle w:val="Hyperlink"/>
          </w:rPr>
          <w:t xml:space="preserve">[4]</w:t>
        </w:r>
      </w:hyperlink>
      <w:r>
        <w:t xml:space="preserve">.</w:t>
      </w:r>
    </w:p>
    <w:p>
      <w:pPr>
        <w:pStyle w:val="FirstParagraph"/>
      </w:pPr>
      <w:r>
        <w:t xml:space="preserve">The Scenario Lab should also offer a “Monte Carlo” option to run multiple simulations with random variation around the assumptions. Display the distribution of projected revenue via histogram or box plot and highlight median results.</w:t>
      </w:r>
    </w:p>
    <w:bookmarkEnd w:id="28"/>
    <w:bookmarkStart w:id="29" w:name="simulation-outputs-pages"/>
    <w:p>
      <w:pPr>
        <w:pStyle w:val="Heading3"/>
      </w:pPr>
      <w:r>
        <w:t xml:space="preserve">5. Simulation &amp; Outputs Pages</w:t>
      </w:r>
    </w:p>
    <w:p>
      <w:pPr>
        <w:pStyle w:val="FirstParagraph"/>
      </w:pPr>
      <w:r>
        <w:t xml:space="preserve">Rework the</w:t>
      </w:r>
      <w:r>
        <w:t xml:space="preserve"> </w:t>
      </w:r>
      <w:r>
        <w:rPr>
          <w:b/>
          <w:bCs/>
        </w:rPr>
        <w:t xml:space="preserve">Simulations</w:t>
      </w:r>
      <w:r>
        <w:t xml:space="preserve"> </w:t>
      </w:r>
      <w:r>
        <w:t xml:space="preserve">and</w:t>
      </w:r>
      <w:r>
        <w:t xml:space="preserve"> </w:t>
      </w:r>
      <w:r>
        <w:rPr>
          <w:b/>
          <w:bCs/>
        </w:rPr>
        <w:t xml:space="preserve">Outputs</w:t>
      </w:r>
      <w:r>
        <w:t xml:space="preserve"> </w:t>
      </w:r>
      <w:r>
        <w:t xml:space="preserve">tabs to provide a cohesive story:</w:t>
      </w:r>
    </w:p>
    <w:p>
      <w:pPr>
        <w:numPr>
          <w:ilvl w:val="0"/>
          <w:numId w:val="1003"/>
        </w:numPr>
      </w:pPr>
      <w:r>
        <w:rPr>
          <w:b/>
          <w:bCs/>
        </w:rPr>
        <w:t xml:space="preserve">Simulation</w:t>
      </w:r>
      <w:r>
        <w:t xml:space="preserve">: Present the Scenario Lab controls and results in the top half. In the bottom half, include a timeline or event log showing the sequence of generation steps: “45 changes detected → 20 candidates filtered → 5 messages generated → $480 projected revenue”. Provide the ability to export or save the results for future review.</w:t>
      </w:r>
    </w:p>
    <w:p>
      <w:pPr>
        <w:numPr>
          <w:ilvl w:val="0"/>
          <w:numId w:val="1003"/>
        </w:numPr>
      </w:pPr>
      <w:r>
        <w:rPr>
          <w:b/>
          <w:bCs/>
        </w:rPr>
        <w:t xml:space="preserve">Outputs</w:t>
      </w:r>
      <w:r>
        <w:t xml:space="preserve">: Organise outputs into tables and charts. A summary table should list all campaigns run, with key metrics (run name, date, number of deltas, candidates, messages, revenue). A detail view (previously</w:t>
      </w:r>
      <w:r>
        <w:t xml:space="preserve"> </w:t>
      </w:r>
      <w:r>
        <w:rPr>
          <w:rStyle w:val="VerbatimChar"/>
        </w:rPr>
        <w:t xml:space="preserve">/demo/campaigns/[id]</w:t>
      </w:r>
      <w:r>
        <w:t xml:space="preserve">) should embed the funnel chart and assumptions used, and include the generated copy for each message, along with user and entity details.</w:t>
      </w:r>
    </w:p>
    <w:bookmarkEnd w:id="29"/>
    <w:bookmarkStart w:id="30" w:name="navigation-project-structure"/>
    <w:p>
      <w:pPr>
        <w:pStyle w:val="Heading3"/>
      </w:pPr>
      <w:r>
        <w:t xml:space="preserve">6. Navigation &amp; Project Structure</w:t>
      </w:r>
    </w:p>
    <w:p>
      <w:pPr>
        <w:pStyle w:val="Compact"/>
        <w:numPr>
          <w:ilvl w:val="0"/>
          <w:numId w:val="1004"/>
        </w:numPr>
      </w:pPr>
      <w:r>
        <w:t xml:space="preserve">In the top navigation bar (already updated in previous assets), ensure the</w:t>
      </w:r>
      <w:r>
        <w:t xml:space="preserve"> </w:t>
      </w:r>
      <w:r>
        <w:rPr>
          <w:b/>
          <w:bCs/>
        </w:rPr>
        <w:t xml:space="preserve">Lifecycle Demo</w:t>
      </w:r>
      <w:r>
        <w:t xml:space="preserve"> </w:t>
      </w:r>
      <w:r>
        <w:t xml:space="preserve">is accessible from the Projects menu. The link should read “Lifecycle Engine Demo”.</w:t>
      </w:r>
    </w:p>
    <w:p>
      <w:pPr>
        <w:pStyle w:val="Compact"/>
        <w:numPr>
          <w:ilvl w:val="0"/>
          <w:numId w:val="1004"/>
        </w:numPr>
      </w:pPr>
      <w:r>
        <w:t xml:space="preserve">Within the demo, maintain a secondary navigation (tabs) for</w:t>
      </w:r>
      <w:r>
        <w:t xml:space="preserve"> </w:t>
      </w:r>
      <w:r>
        <w:rPr>
          <w:b/>
          <w:bCs/>
        </w:rPr>
        <w:t xml:space="preserve">Overview</w:t>
      </w:r>
      <w:r>
        <w:t xml:space="preserve">,</w:t>
      </w:r>
      <w:r>
        <w:t xml:space="preserve"> </w:t>
      </w:r>
      <w:r>
        <w:rPr>
          <w:b/>
          <w:bCs/>
        </w:rPr>
        <w:t xml:space="preserve">Inputs</w:t>
      </w:r>
      <w:r>
        <w:t xml:space="preserve">,</w:t>
      </w:r>
      <w:r>
        <w:t xml:space="preserve"> </w:t>
      </w:r>
      <w:r>
        <w:rPr>
          <w:b/>
          <w:bCs/>
        </w:rPr>
        <w:t xml:space="preserve">Simulations</w:t>
      </w:r>
      <w:r>
        <w:t xml:space="preserve">,</w:t>
      </w:r>
      <w:r>
        <w:t xml:space="preserve"> </w:t>
      </w:r>
      <w:r>
        <w:rPr>
          <w:b/>
          <w:bCs/>
        </w:rPr>
        <w:t xml:space="preserve">Outputs</w:t>
      </w:r>
      <w:r>
        <w:t xml:space="preserve">, and</w:t>
      </w:r>
      <w:r>
        <w:t xml:space="preserve"> </w:t>
      </w:r>
      <w:r>
        <w:rPr>
          <w:b/>
          <w:bCs/>
        </w:rPr>
        <w:t xml:space="preserve">Documentation</w:t>
      </w:r>
      <w:r>
        <w:t xml:space="preserve">. Use consistent styling and positioning across tabs to reduce cognitive load.</w:t>
      </w:r>
    </w:p>
    <w:bookmarkEnd w:id="30"/>
    <w:bookmarkStart w:id="31" w:name="copy-contextual-guidance"/>
    <w:p>
      <w:pPr>
        <w:pStyle w:val="Heading3"/>
      </w:pPr>
      <w:r>
        <w:t xml:space="preserve">7. Copy &amp; Contextual Guidance</w:t>
      </w:r>
    </w:p>
    <w:p>
      <w:pPr>
        <w:pStyle w:val="Compact"/>
        <w:numPr>
          <w:ilvl w:val="0"/>
          <w:numId w:val="1005"/>
        </w:numPr>
      </w:pPr>
      <w:r>
        <w:t xml:space="preserve">Provide a succinct description at the top of each tab explaining its purpose (e.g., “The Inputs tab defines how the engine scores and prioritises opportunities, and sets assumptions for the simulation.”).</w:t>
      </w:r>
    </w:p>
    <w:p>
      <w:pPr>
        <w:pStyle w:val="Compact"/>
        <w:numPr>
          <w:ilvl w:val="0"/>
          <w:numId w:val="1005"/>
        </w:numPr>
      </w:pPr>
      <w:r>
        <w:t xml:space="preserve">Avoid repeating the same explanation across multiple pages. Instead, link to the Documentation tab where variables and concepts are defined.</w:t>
      </w:r>
    </w:p>
    <w:p>
      <w:pPr>
        <w:pStyle w:val="Compact"/>
        <w:numPr>
          <w:ilvl w:val="0"/>
          <w:numId w:val="1005"/>
        </w:numPr>
      </w:pPr>
      <w:r>
        <w:t xml:space="preserve">Use outcome‑oriented language: emphasise how these tools help a business detect, prioritise, and capitalise on real‑world changes.</w:t>
      </w:r>
    </w:p>
    <w:bookmarkEnd w:id="31"/>
    <w:bookmarkStart w:id="32" w:name="X4681ed3b9f76faea1b5451f0f531ae5d363ef50"/>
    <w:p>
      <w:pPr>
        <w:pStyle w:val="Heading3"/>
      </w:pPr>
      <w:r>
        <w:t xml:space="preserve">8. Technical Guidance for Codex Implementation</w:t>
      </w:r>
    </w:p>
    <w:p>
      <w:pPr>
        <w:pStyle w:val="FirstParagraph"/>
      </w:pPr>
      <w:r>
        <w:rPr>
          <w:b/>
          <w:bCs/>
        </w:rPr>
        <w:t xml:space="preserve">Framework &amp; Language:</w:t>
      </w:r>
      <w:r>
        <w:t xml:space="preserve"> </w:t>
      </w:r>
      <w:r>
        <w:t xml:space="preserve">Next.js (App Router) + React, TypeScript, Tailwind CSS. Recharts for charts. Zod for schema validation. Prisma and Neon remain the persistence layer.</w:t>
      </w:r>
    </w:p>
    <w:p>
      <w:pPr>
        <w:pStyle w:val="BodyText"/>
      </w:pPr>
      <w:r>
        <w:rPr>
          <w:b/>
          <w:bCs/>
        </w:rPr>
        <w:t xml:space="preserve">Suggested Components:</w:t>
      </w:r>
    </w:p>
    <w:p>
      <w:pPr>
        <w:pStyle w:val="Compact"/>
        <w:numPr>
          <w:ilvl w:val="0"/>
          <w:numId w:val="1006"/>
        </w:numPr>
      </w:pPr>
      <w:r>
        <w:rPr>
          <w:rStyle w:val="VerbatimChar"/>
        </w:rPr>
        <w:t xml:space="preserve">LifecyclePipelineDiagram.tsx</w:t>
      </w:r>
      <w:r>
        <w:t xml:space="preserve"> </w:t>
      </w:r>
      <w:r>
        <w:t xml:space="preserve">– Renders an image or custom SVG showing the signal pipeline. Accepts counts for each stage as props.</w:t>
      </w:r>
    </w:p>
    <w:p>
      <w:pPr>
        <w:pStyle w:val="Compact"/>
        <w:numPr>
          <w:ilvl w:val="0"/>
          <w:numId w:val="1006"/>
        </w:numPr>
      </w:pPr>
      <w:r>
        <w:rPr>
          <w:rStyle w:val="VerbatimChar"/>
        </w:rPr>
        <w:t xml:space="preserve">VariableDefinitions.tsx</w:t>
      </w:r>
      <w:r>
        <w:t xml:space="preserve"> </w:t>
      </w:r>
      <w:r>
        <w:t xml:space="preserve">– Displays a table of variables (inputs, outputs, weights, assumptions) with descriptions and example ranges. Use react‑table or a simple table component.</w:t>
      </w:r>
    </w:p>
    <w:p>
      <w:pPr>
        <w:pStyle w:val="Compact"/>
        <w:numPr>
          <w:ilvl w:val="0"/>
          <w:numId w:val="1006"/>
        </w:numPr>
      </w:pPr>
      <w:r>
        <w:rPr>
          <w:rStyle w:val="VerbatimChar"/>
        </w:rPr>
        <w:t xml:space="preserve">LifecycleScoringSettings.tsx</w:t>
      </w:r>
      <w:r>
        <w:t xml:space="preserve"> </w:t>
      </w:r>
      <w:r>
        <w:t xml:space="preserve">– Provides interactive weight sliders with lock toggles and displays the current formula.</w:t>
      </w:r>
    </w:p>
    <w:p>
      <w:pPr>
        <w:pStyle w:val="Compact"/>
        <w:numPr>
          <w:ilvl w:val="0"/>
          <w:numId w:val="1006"/>
        </w:numPr>
      </w:pPr>
      <w:r>
        <w:rPr>
          <w:rStyle w:val="VerbatimChar"/>
        </w:rPr>
        <w:t xml:space="preserve">AssumptionControls.tsx</w:t>
      </w:r>
      <w:r>
        <w:t xml:space="preserve"> </w:t>
      </w:r>
      <w:r>
        <w:t xml:space="preserve">– Provides slider controls for simulation assumptions and triggers recalculation on change.</w:t>
      </w:r>
    </w:p>
    <w:p>
      <w:pPr>
        <w:pStyle w:val="Compact"/>
        <w:numPr>
          <w:ilvl w:val="0"/>
          <w:numId w:val="1006"/>
        </w:numPr>
      </w:pPr>
      <w:r>
        <w:rPr>
          <w:rStyle w:val="VerbatimChar"/>
        </w:rPr>
        <w:t xml:space="preserve">FunnelChart.tsx</w:t>
      </w:r>
      <w:r>
        <w:t xml:space="preserve"> </w:t>
      </w:r>
      <w:r>
        <w:t xml:space="preserve">– Shows conversion counts for each step of the lifecycle (deltas, candidates, messages, purchases) using a bar or funnel chart.</w:t>
      </w:r>
    </w:p>
    <w:p>
      <w:pPr>
        <w:pStyle w:val="Compact"/>
        <w:numPr>
          <w:ilvl w:val="0"/>
          <w:numId w:val="1006"/>
        </w:numPr>
      </w:pPr>
      <w:r>
        <w:rPr>
          <w:rStyle w:val="VerbatimChar"/>
        </w:rPr>
        <w:t xml:space="preserve">RevenueDistributionChart.tsx</w:t>
      </w:r>
      <w:r>
        <w:t xml:space="preserve"> </w:t>
      </w:r>
      <w:r>
        <w:t xml:space="preserve">– Displays the distribution of projected revenue across Monte Carlo runs.</w:t>
      </w:r>
    </w:p>
    <w:p>
      <w:pPr>
        <w:pStyle w:val="Compact"/>
        <w:numPr>
          <w:ilvl w:val="0"/>
          <w:numId w:val="1006"/>
        </w:numPr>
      </w:pPr>
      <w:r>
        <w:rPr>
          <w:rStyle w:val="VerbatimChar"/>
        </w:rPr>
        <w:t xml:space="preserve">SimulationTimeline.tsx</w:t>
      </w:r>
      <w:r>
        <w:t xml:space="preserve"> </w:t>
      </w:r>
      <w:r>
        <w:t xml:space="preserve">– Shows a sequential log of actions and outcomes in the simulation.</w:t>
      </w:r>
    </w:p>
    <w:p>
      <w:pPr>
        <w:pStyle w:val="FirstParagraph"/>
      </w:pPr>
      <w:r>
        <w:rPr>
          <w:b/>
          <w:bCs/>
        </w:rPr>
        <w:t xml:space="preserve">Directory Structure:</w:t>
      </w:r>
    </w:p>
    <w:p>
      <w:pPr>
        <w:pStyle w:val="SourceCode"/>
      </w:pPr>
      <w:r>
        <w:rPr>
          <w:rStyle w:val="VerbatimChar"/>
        </w:rPr>
        <w:t xml:space="preserve">codex_assets_lifecycle/</w:t>
      </w:r>
      <w:r>
        <w:br/>
      </w:r>
      <w:r>
        <w:rPr>
          <w:rStyle w:val="VerbatimChar"/>
        </w:rPr>
        <w:t xml:space="preserve">  specs/</w:t>
      </w:r>
      <w:r>
        <w:br/>
      </w:r>
      <w:r>
        <w:rPr>
          <w:rStyle w:val="VerbatimChar"/>
        </w:rPr>
        <w:t xml:space="preserve">    lifecycle_refined_specification.md</w:t>
      </w:r>
      <w:r>
        <w:br/>
      </w:r>
      <w:r>
        <w:rPr>
          <w:rStyle w:val="VerbatimChar"/>
        </w:rPr>
        <w:t xml:space="preserve">  code/</w:t>
      </w:r>
      <w:r>
        <w:br/>
      </w:r>
      <w:r>
        <w:rPr>
          <w:rStyle w:val="VerbatimChar"/>
        </w:rPr>
        <w:t xml:space="preserve">    public/</w:t>
      </w:r>
      <w:r>
        <w:br/>
      </w:r>
      <w:r>
        <w:rPr>
          <w:rStyle w:val="VerbatimChar"/>
        </w:rPr>
        <w:t xml:space="preserve">      images/</w:t>
      </w:r>
      <w:r>
        <w:br/>
      </w:r>
      <w:r>
        <w:rPr>
          <w:rStyle w:val="VerbatimChar"/>
        </w:rPr>
        <w:t xml:space="preserve">        pipeline.png            # reuse existing pipeline diagram</w:t>
      </w:r>
      <w:r>
        <w:br/>
      </w:r>
      <w:r>
        <w:rPr>
          <w:rStyle w:val="VerbatimChar"/>
        </w:rPr>
        <w:t xml:space="preserve">    src/</w:t>
      </w:r>
      <w:r>
        <w:br/>
      </w:r>
      <w:r>
        <w:rPr>
          <w:rStyle w:val="VerbatimChar"/>
        </w:rPr>
        <w:t xml:space="preserve">      components/</w:t>
      </w:r>
      <w:r>
        <w:br/>
      </w:r>
      <w:r>
        <w:rPr>
          <w:rStyle w:val="VerbatimChar"/>
        </w:rPr>
        <w:t xml:space="preserve">        LifecyclePipelineDiagram.tsx</w:t>
      </w:r>
      <w:r>
        <w:br/>
      </w:r>
      <w:r>
        <w:rPr>
          <w:rStyle w:val="VerbatimChar"/>
        </w:rPr>
        <w:t xml:space="preserve">        VariableDefinitions.tsx</w:t>
      </w:r>
      <w:r>
        <w:br/>
      </w:r>
      <w:r>
        <w:rPr>
          <w:rStyle w:val="VerbatimChar"/>
        </w:rPr>
        <w:t xml:space="preserve">        LifecycleScoringSettings.tsx</w:t>
      </w:r>
      <w:r>
        <w:br/>
      </w:r>
      <w:r>
        <w:rPr>
          <w:rStyle w:val="VerbatimChar"/>
        </w:rPr>
        <w:t xml:space="preserve">        AssumptionControls.tsx</w:t>
      </w:r>
      <w:r>
        <w:br/>
      </w:r>
      <w:r>
        <w:rPr>
          <w:rStyle w:val="VerbatimChar"/>
        </w:rPr>
        <w:t xml:space="preserve">        FunnelChart.tsx</w:t>
      </w:r>
      <w:r>
        <w:br/>
      </w:r>
      <w:r>
        <w:rPr>
          <w:rStyle w:val="VerbatimChar"/>
        </w:rPr>
        <w:t xml:space="preserve">        RevenueDistributionChart.tsx</w:t>
      </w:r>
      <w:r>
        <w:br/>
      </w:r>
      <w:r>
        <w:rPr>
          <w:rStyle w:val="VerbatimChar"/>
        </w:rPr>
        <w:t xml:space="preserve">        SimulationTimeline.tsx</w:t>
      </w:r>
      <w:r>
        <w:br/>
      </w:r>
      <w:r>
        <w:rPr>
          <w:rStyle w:val="VerbatimChar"/>
        </w:rPr>
        <w:t xml:space="preserve">      app/</w:t>
      </w:r>
      <w:r>
        <w:br/>
      </w:r>
      <w:r>
        <w:rPr>
          <w:rStyle w:val="VerbatimChar"/>
        </w:rPr>
        <w:t xml:space="preserve">        projects/</w:t>
      </w:r>
      <w:r>
        <w:br/>
      </w:r>
      <w:r>
        <w:rPr>
          <w:rStyle w:val="VerbatimChar"/>
        </w:rPr>
        <w:t xml:space="preserve">          lifecycle-engine/</w:t>
      </w:r>
      <w:r>
        <w:br/>
      </w:r>
      <w:r>
        <w:rPr>
          <w:rStyle w:val="VerbatimChar"/>
        </w:rPr>
        <w:t xml:space="preserve">            page.tsx            # refined project page describing the lifecycle engine</w:t>
      </w:r>
      <w:r>
        <w:br/>
      </w:r>
      <w:r>
        <w:rPr>
          <w:rStyle w:val="VerbatimChar"/>
        </w:rPr>
        <w:t xml:space="preserve">        demo/</w:t>
      </w:r>
      <w:r>
        <w:br/>
      </w:r>
      <w:r>
        <w:rPr>
          <w:rStyle w:val="VerbatimChar"/>
        </w:rPr>
        <w:t xml:space="preserve">          page.tsx              # entry route for the lifecycle demo</w:t>
      </w:r>
      <w:r>
        <w:br/>
      </w:r>
      <w:r>
        <w:rPr>
          <w:rStyle w:val="VerbatimChar"/>
        </w:rPr>
        <w:t xml:space="preserve">          overview/page.tsx</w:t>
      </w:r>
      <w:r>
        <w:br/>
      </w:r>
      <w:r>
        <w:rPr>
          <w:rStyle w:val="VerbatimChar"/>
        </w:rPr>
        <w:t xml:space="preserve">          inputs/page.tsx</w:t>
      </w:r>
      <w:r>
        <w:br/>
      </w:r>
      <w:r>
        <w:rPr>
          <w:rStyle w:val="VerbatimChar"/>
        </w:rPr>
        <w:t xml:space="preserve">          simulations/page.tsx</w:t>
      </w:r>
      <w:r>
        <w:br/>
      </w:r>
      <w:r>
        <w:rPr>
          <w:rStyle w:val="VerbatimChar"/>
        </w:rPr>
        <w:t xml:space="preserve">          outputs/page.tsx</w:t>
      </w:r>
      <w:r>
        <w:br/>
      </w:r>
      <w:r>
        <w:rPr>
          <w:rStyle w:val="VerbatimChar"/>
        </w:rPr>
        <w:t xml:space="preserve">          documentation/page.tsx</w:t>
      </w:r>
    </w:p>
    <w:p>
      <w:pPr>
        <w:pStyle w:val="FirstParagraph"/>
      </w:pPr>
      <w:r>
        <w:rPr>
          <w:b/>
          <w:bCs/>
        </w:rPr>
        <w:t xml:space="preserve">Accessibility &amp; Responsiveness:</w:t>
      </w:r>
      <w:r>
        <w:t xml:space="preserve"> </w:t>
      </w:r>
      <w:r>
        <w:t xml:space="preserve">Use semantic HTML elements and ARIA attributes for interactive components. Ensure charts and sliders are keyboard accessible. Provide fallback text descriptions for charts.</w:t>
      </w:r>
    </w:p>
    <w:p>
      <w:pPr>
        <w:pStyle w:val="BodyText"/>
      </w:pPr>
      <w:r>
        <w:rPr>
          <w:b/>
          <w:bCs/>
        </w:rPr>
        <w:t xml:space="preserve">Citations:</w:t>
      </w:r>
    </w:p>
    <w:p>
      <w:pPr>
        <w:pStyle w:val="Compact"/>
        <w:numPr>
          <w:ilvl w:val="0"/>
          <w:numId w:val="1007"/>
        </w:numPr>
      </w:pPr>
      <w:r>
        <w:t xml:space="preserve">Dashboard design emphasises uniting multiple data sources and providing a global overview</w:t>
      </w:r>
      <w:hyperlink r:id="rId21">
        <w:r>
          <w:rPr>
            <w:rStyle w:val="Hyperlink"/>
          </w:rPr>
          <w:t xml:space="preserve">[1]</w:t>
        </w:r>
      </w:hyperlink>
      <w:r>
        <w:t xml:space="preserve">; apply this by showing the entire engine pipeline.</w:t>
      </w:r>
    </w:p>
    <w:p>
      <w:pPr>
        <w:pStyle w:val="Compact"/>
        <w:numPr>
          <w:ilvl w:val="0"/>
          <w:numId w:val="1007"/>
        </w:numPr>
      </w:pPr>
      <w:r>
        <w:t xml:space="preserve">Weighted scoring UI should allow interactive adjustment with automatic rebalancing and lock toggles</w:t>
      </w:r>
      <w:hyperlink r:id="rId22">
        <w:r>
          <w:rPr>
            <w:rStyle w:val="Hyperlink"/>
          </w:rPr>
          <w:t xml:space="preserve">[2]</w:t>
        </w:r>
      </w:hyperlink>
      <w:hyperlink r:id="rId23">
        <w:r>
          <w:rPr>
            <w:rStyle w:val="Hyperlink"/>
          </w:rPr>
          <w:t xml:space="preserve">[3]</w:t>
        </w:r>
      </w:hyperlink>
      <w:r>
        <w:t xml:space="preserve">.</w:t>
      </w:r>
    </w:p>
    <w:p>
      <w:pPr>
        <w:pStyle w:val="Compact"/>
        <w:numPr>
          <w:ilvl w:val="0"/>
          <w:numId w:val="1007"/>
        </w:numPr>
      </w:pPr>
      <w:r>
        <w:t xml:space="preserve">Simplify data visualisations: reduce background noise, use consistent colours and clear labels</w:t>
      </w:r>
      <w:hyperlink r:id="rId24">
        <w:r>
          <w:rPr>
            <w:rStyle w:val="Hyperlink"/>
          </w:rPr>
          <w:t xml:space="preserve">[4]</w:t>
        </w:r>
      </w:hyperlink>
      <w:r>
        <w:t xml:space="preserve">.</w:t>
      </w:r>
    </w:p>
    <w:bookmarkEnd w:id="32"/>
    <w:bookmarkEnd w:id="33"/>
    <w:bookmarkEnd w:id="34"/>
    <w:bookmarkEnd w:id="35"/>
    <w:p>
      <w:r>
        <w:pict>
          <v:rect style="width:0;height:1.5pt" o:hralign="center" o:hrstd="t" o:hr="t"/>
        </w:pict>
      </w:r>
    </w:p>
    <w:bookmarkStart w:id="39" w:name="citations"/>
    <w:p>
      <w:pPr>
        <w:pStyle w:val="FirstParagraph"/>
      </w:pPr>
      <w:hyperlink r:id="rId21">
        <w:r>
          <w:rPr>
            <w:rStyle w:val="Hyperlink"/>
          </w:rPr>
          <w:t xml:space="preserve">[1]</w:t>
        </w:r>
      </w:hyperlink>
      <w:r>
        <w:t xml:space="preserve"> </w:t>
      </w:r>
      <w:r>
        <w:t xml:space="preserve">Dashboard Design UX Patterns Best Practices - Pencil &amp; Paper</w:t>
      </w:r>
    </w:p>
    <w:p>
      <w:pPr>
        <w:pStyle w:val="BodyText"/>
      </w:pPr>
      <w:hyperlink r:id="rId36">
        <w:r>
          <w:rPr>
            <w:rStyle w:val="Hyperlink"/>
          </w:rPr>
          <w:t xml:space="preserve">https://www.pencilandpaper.io/articles/ux-pattern-analysis-data-dashboards</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forms - How to present weighted values - User Experience Stack Exchange</w:t>
      </w:r>
    </w:p>
    <w:p>
      <w:pPr>
        <w:pStyle w:val="BodyText"/>
      </w:pPr>
      <w:hyperlink r:id="rId37">
        <w:r>
          <w:rPr>
            <w:rStyle w:val="Hyperlink"/>
          </w:rPr>
          <w:t xml:space="preserve">https://ux.stackexchange.com/questions/38434/how-to-present-weighted-values</w:t>
        </w:r>
      </w:hyperlink>
    </w:p>
    <w:p>
      <w:pPr>
        <w:pStyle w:val="BodyText"/>
      </w:pPr>
      <w:hyperlink r:id="rId24">
        <w:r>
          <w:rPr>
            <w:rStyle w:val="Hyperlink"/>
          </w:rPr>
          <w:t xml:space="preserve">[4]</w:t>
        </w:r>
      </w:hyperlink>
      <w:r>
        <w:t xml:space="preserve"> </w:t>
      </w:r>
      <w:r>
        <w:t xml:space="preserve">Simplify UI Data Visualizations – in 7 Simple Steps | Joe Natoli :: UX Consultant, Speaker and Author</w:t>
      </w:r>
    </w:p>
    <w:p>
      <w:pPr>
        <w:pStyle w:val="BodyText"/>
      </w:pPr>
      <w:hyperlink r:id="rId38">
        <w:r>
          <w:rPr>
            <w:rStyle w:val="Hyperlink"/>
          </w:rPr>
          <w:t xml:space="preserve">https://givegoodux.com/simplify-ui-data-visualizations-7-simple-steps/</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givegoodux.com/simplify-ui-data-visualizations-7-simple-steps/" TargetMode="External" /><Relationship Type="http://schemas.openxmlformats.org/officeDocument/2006/relationships/hyperlink" Id="rId24" Target="https://givegoodux.com/simplify-ui-data-visualizations-7-simple-steps/#:~:text=1" TargetMode="External" /><Relationship Type="http://schemas.openxmlformats.org/officeDocument/2006/relationships/hyperlink" Id="rId37" Target="https://ux.stackexchange.com/questions/38434/how-to-present-weighted-values" TargetMode="External" /><Relationship Type="http://schemas.openxmlformats.org/officeDocument/2006/relationships/hyperlink" Id="rId23" Target="https://ux.stackexchange.com/questions/38434/how-to-present-weighted-values#:~:text=2" TargetMode="External" /><Relationship Type="http://schemas.openxmlformats.org/officeDocument/2006/relationships/hyperlink" Id="rId22" Target="https://ux.stackexchange.com/questions/38434/how-to-present-weighted-values#:~:text=Often%2C%20role,points%20between%20the%20different%20skills" TargetMode="External" /><Relationship Type="http://schemas.openxmlformats.org/officeDocument/2006/relationships/hyperlink" Id="rId36" Target="https://www.pencilandpaper.io/articles/ux-pattern-analysis-data-dashboards" TargetMode="External" /><Relationship Type="http://schemas.openxmlformats.org/officeDocument/2006/relationships/hyperlink" Id="rId21" Target="https://www.pencilandpaper.io/articles/ux-pattern-analysis-data-dashboards#:~:text=Why%20are%20dashboards%20relevant%20to,enterprise%20software" TargetMode="External" /></Relationships>
</file>

<file path=word/_rels/footnotes.xml.rels><?xml version="1.0" encoding="UTF-8"?><Relationships xmlns="http://schemas.openxmlformats.org/package/2006/relationships"><Relationship Type="http://schemas.openxmlformats.org/officeDocument/2006/relationships/hyperlink" Id="rId38" Target="https://givegoodux.com/simplify-ui-data-visualizations-7-simple-steps/" TargetMode="External" /><Relationship Type="http://schemas.openxmlformats.org/officeDocument/2006/relationships/hyperlink" Id="rId24" Target="https://givegoodux.com/simplify-ui-data-visualizations-7-simple-steps/#:~:text=1" TargetMode="External" /><Relationship Type="http://schemas.openxmlformats.org/officeDocument/2006/relationships/hyperlink" Id="rId37" Target="https://ux.stackexchange.com/questions/38434/how-to-present-weighted-values" TargetMode="External" /><Relationship Type="http://schemas.openxmlformats.org/officeDocument/2006/relationships/hyperlink" Id="rId23" Target="https://ux.stackexchange.com/questions/38434/how-to-present-weighted-values#:~:text=2" TargetMode="External" /><Relationship Type="http://schemas.openxmlformats.org/officeDocument/2006/relationships/hyperlink" Id="rId22" Target="https://ux.stackexchange.com/questions/38434/how-to-present-weighted-values#:~:text=Often%2C%20role,points%20between%20the%20different%20skills" TargetMode="External" /><Relationship Type="http://schemas.openxmlformats.org/officeDocument/2006/relationships/hyperlink" Id="rId36" Target="https://www.pencilandpaper.io/articles/ux-pattern-analysis-data-dashboards" TargetMode="External" /><Relationship Type="http://schemas.openxmlformats.org/officeDocument/2006/relationships/hyperlink" Id="rId21" Target="https://www.pencilandpaper.io/articles/ux-pattern-analysis-data-dashboards#:~:text=Why%20are%20dashboards%20relevant%20to,enterprise%20softwa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2026-04-24T17:52:57Z</dcterms:created>
  <dcterms:modified xsi:type="dcterms:W3CDTF">2026-04-24T17:52:57Z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