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0891B2"/>
          <w:sz w:val="56"/>
          <w:szCs w:val="56"/>
        </w:rPr>
        <w:t xml:space="preserve">Ironframe GRC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UI/UX &amp; Feature Test Protocol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Version 1.0  |  June 2026  |  Confidential — Internal QA</w:t>
      </w:r>
    </w:p>
    <w:p>
      <w:pPr>
        <w:spacing w:after="120"/>
      </w:pPr>
      <w:r>
        <w:t xml:space="preserve">Document owner: Quality Assurance / Product Engineering</w:t>
      </w:r>
    </w:p>
    <w:p>
      <w:pPr>
        <w:spacing w:after="120"/>
      </w:pPr>
      <w:r>
        <w:t xml:space="preserve">Application: Ironframe Command Center (Next.js 15, Supabase, multi-tenant GRC platform)</w:t>
      </w:r>
    </w:p>
    <w:p>
      <w:pPr>
        <w:spacing w:after="120"/>
      </w:pPr>
      <w:r>
        <w:t xml:space="preserve">Related automation: Playwright E2E (tests/e2e/), npm run test:vercel-smoke, npm run test:vercel-integration:cloud:epic17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Test Objectives</w:t>
      </w:r>
    </w:p>
    <w:p>
      <w:pPr>
        <w:pStyle w:val="Heading2"/>
        <w:spacing w:after="160" w:before="280"/>
      </w:pPr>
      <w:r>
        <w:t xml:space="preserve">1.1 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Command Center UI renders correctly across authenticated sessions and tenant scopes.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 core user journeys: login → tenant selection → dashboard → threat pipeline → Active Risks → sustainability pulse → analyst exports.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tenant-switch resilience: no permanent blank panels, correct tenant-scoped data, scoped SWR/API behavior.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Exercise GRC gates: manual risk registration, assessment drawer, high-value justification when applicable.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 accessibility of primary controls (tenant switcher, navigation, dialogs) and loading/empty states.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Record reproducible pass/fail evidence for GA release and regression cycles.</w:t>
      </w:r>
    </w:p>
    <w:p>
      <w:pPr>
        <w:pStyle w:val="Heading2"/>
        <w:spacing w:after="160" w:before="280"/>
      </w:pPr>
      <w:r>
        <w:t xml:space="preserve">1.2 Scope — In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 UI: Command Center dashboard, Threat Pipeline, Active Risks, Audit Intelligence, Carbon Pulse, /dashboard/exports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 switcher: Global, Medshield, Vaultbank, Gridcore, Defense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 via Supabase 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behavior observable from browser (Network tab): /api/dashboard, /api/sustainability/stats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Staging and production Vercel deployments; local dev (localhost:3000)</w:t>
      </w:r>
    </w:p>
    <w:p>
      <w:pPr>
        <w:pStyle w:val="Heading2"/>
        <w:spacing w:after="160" w:before="280"/>
      </w:pPr>
      <w:r>
        <w:t xml:space="preserve">1.3 Scope —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Third-party Electricity Maps vendor SLA (covered by Ironwatch fallback tests only)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Load/stress testing beyond manual observation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native apps (web responsive only)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Penetration testing (separate security assessment)</w:t>
      </w:r>
    </w:p>
    <w:p>
      <w:pPr>
        <w:pStyle w:val="Heading2"/>
        <w:spacing w:after="160" w:before="280"/>
      </w:pPr>
      <w:r>
        <w:t xml:space="preserve">1.4 Success Criteria (Release Gate)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Zero Critical or High severity open defects for in-scope journeys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100% Pass on Priority P0 test cases in target environment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≥ 95% Pass on Priority P1 test cases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smoke: npm run test:vercel-smoke returns 21/21 with freezeGateGreen: true (production/staging)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Test Environment</w:t>
      </w:r>
    </w:p>
    <w:p>
      <w:pPr>
        <w:pStyle w:val="Heading2"/>
        <w:spacing w:after="160" w:before="280"/>
      </w:pPr>
      <w:r>
        <w:t xml:space="preserve">2.1 Hardware &amp; Client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Workstation</w:t>
            </w:r>
          </w:p>
        </w:tc>
        <w:tc>
          <w:tcPr>
            <w:tcW w:type="pct" w:w="72%"/>
          </w:tcPr>
          <w:p>
            <w:r>
              <w:t xml:space="preserve">Windows 10/11 or macOS 12+; 8 GB RAM minimum; 1920×1080 display recommended</w:t>
            </w:r>
          </w:p>
        </w:tc>
      </w:tr>
      <w:tr>
        <w:tc>
          <w:tcPr>
            <w:tcW w:type="pct" w:w="28%"/>
          </w:tcPr>
          <w:p>
            <w:r>
              <w:t xml:space="preserve">Browser (primary)</w:t>
            </w:r>
          </w:p>
        </w:tc>
        <w:tc>
          <w:tcPr>
            <w:tcW w:type="pct" w:w="72%"/>
          </w:tcPr>
          <w:p>
            <w:r>
              <w:t xml:space="preserve">Google Chrome or Microsoft Edge (latest stable)</w:t>
            </w:r>
          </w:p>
        </w:tc>
      </w:tr>
      <w:tr>
        <w:tc>
          <w:tcPr>
            <w:tcW w:type="pct" w:w="28%"/>
          </w:tcPr>
          <w:p>
            <w:r>
              <w:t xml:space="preserve">Browser (secondary)</w:t>
            </w:r>
          </w:p>
        </w:tc>
        <w:tc>
          <w:tcPr>
            <w:tcW w:type="pct" w:w="72%"/>
          </w:tcPr>
          <w:p>
            <w:r>
              <w:t xml:space="preserve">Firefox latest — spot-check P0 cases only</w:t>
            </w:r>
          </w:p>
        </w:tc>
      </w:tr>
      <w:tr>
        <w:tc>
          <w:tcPr>
            <w:tcW w:type="pct" w:w="28%"/>
          </w:tcPr>
          <w:p>
            <w:r>
              <w:t xml:space="preserve">Network</w:t>
            </w:r>
          </w:p>
        </w:tc>
        <w:tc>
          <w:tcPr>
            <w:tcW w:type="pct" w:w="72%"/>
          </w:tcPr>
          <w:p>
            <w:r>
              <w:t xml:space="preserve">Stable broadband; document VPN if used</w:t>
            </w:r>
          </w:p>
        </w:tc>
      </w:tr>
    </w:tbl>
    <w:p>
      <w:pPr>
        <w:pStyle w:val="Heading2"/>
        <w:spacing w:after="160" w:before="280"/>
      </w:pPr>
      <w:r>
        <w:t xml:space="preserve">2.2 Software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Application</w:t>
            </w:r>
          </w:p>
        </w:tc>
        <w:tc>
          <w:tcPr>
            <w:tcW w:type="pct" w:w="72%"/>
          </w:tcPr>
          <w:p>
            <w:r>
              <w:t xml:space="preserve">Ironframe-live (Next.js 15.1.9, React 19)</w:t>
            </w:r>
          </w:p>
        </w:tc>
      </w:tr>
      <w:tr>
        <w:tc>
          <w:tcPr>
            <w:tcW w:type="pct" w:w="28%"/>
          </w:tcPr>
          <w:p>
            <w:r>
              <w:t xml:space="preserve">Hosting — Local</w:t>
            </w:r>
          </w:p>
        </w:tc>
        <w:tc>
          <w:tcPr>
            <w:tcW w:type="pct" w:w="72%"/>
          </w:tcPr>
          <w:p>
            <w:r>
              <w:t xml:space="preserve">npm run dev → http://localhost:3000</w:t>
            </w:r>
          </w:p>
        </w:tc>
      </w:tr>
      <w:tr>
        <w:tc>
          <w:tcPr>
            <w:tcW w:type="pct" w:w="28%"/>
          </w:tcPr>
          <w:p>
            <w:r>
              <w:t xml:space="preserve">Hosting — Cloud</w:t>
            </w:r>
          </w:p>
        </w:tc>
        <w:tc>
          <w:tcPr>
            <w:tcW w:type="pct" w:w="72%"/>
          </w:tcPr>
          <w:p>
            <w:r>
              <w:t xml:space="preserve">https://ironframe-live.vercel.app (production) or preview deploy URL</w:t>
            </w:r>
          </w:p>
        </w:tc>
      </w:tr>
      <w:tr>
        <w:tc>
          <w:tcPr>
            <w:tcW w:type="pct" w:w="28%"/>
          </w:tcPr>
          <w:p>
            <w:r>
              <w:t xml:space="preserve">Database</w:t>
            </w:r>
          </w:p>
        </w:tc>
        <w:tc>
          <w:tcPr>
            <w:tcW w:type="pct" w:w="72%"/>
          </w:tcPr>
          <w:p>
            <w:r>
              <w:t xml:space="preserve">Supabase PostgreSQL (tenant-scoped RLS)</w:t>
            </w:r>
          </w:p>
        </w:tc>
      </w:tr>
      <w:tr>
        <w:tc>
          <w:tcPr>
            <w:tcW w:type="pct" w:w="28%"/>
          </w:tcPr>
          <w:p>
            <w:r>
              <w:t xml:space="preserve">Auth</w:t>
            </w:r>
          </w:p>
        </w:tc>
        <w:tc>
          <w:tcPr>
            <w:tcW w:type="pct" w:w="72%"/>
          </w:tcPr>
          <w:p>
            <w:r>
              <w:t xml:space="preserve">Supabase SSR session cookies</w:t>
            </w:r>
          </w:p>
        </w:tc>
      </w:tr>
    </w:tbl>
    <w:p>
      <w:pPr>
        <w:pStyle w:val="Heading2"/>
        <w:spacing w:after="160" w:before="280"/>
      </w:pPr>
      <w:r>
        <w:t xml:space="preserve">2.3 Environment Configurations</w:t>
      </w:r>
    </w:p>
    <w:p>
      <w:pPr>
        <w:pStyle w:val="Heading3"/>
        <w:spacing w:after="120" w:before="200"/>
      </w:pPr>
      <w:r>
        <w:t xml:space="preserve">Local (.env.local minimum)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NEXT_PUBLIC_SUPABASE_URL, NEXT_PUBLIC_SUPABASE_ANON_KEY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DATABASE_URL (Prisma)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IRONWATCH_SUSTAINABILITY_FALLBACK_ENABLED=true (when ELECTRICITY_MAPS_API_KEY absent)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Optional: SHADOW_PLANE_ACTIVE=1 / NEXT_PUBLIC_SHADOW_PLANE_ACTIVE=1 for handshake bypass demos</w:t>
      </w:r>
    </w:p>
    <w:p>
      <w:pPr>
        <w:pStyle w:val="Heading3"/>
        <w:spacing w:after="120" w:before="200"/>
      </w:pPr>
      <w:r>
        <w:t xml:space="preserve">Cloud (Vercel Preview / Production)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Supabase keys as target project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IRONFRAME_CRON_SECRET for smoke scripts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IRONWATCH_SUSTAINABILITY_FALLBACK_ENABLED=true recommended on Preview without live carbon key</w:t>
      </w:r>
    </w:p>
    <w:p>
      <w:pPr>
        <w:pStyle w:val="Heading2"/>
        <w:spacing w:after="160" w:before="280"/>
      </w:pPr>
      <w:r>
        <w:t xml:space="preserve">2.4 Test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Manual</w:t>
            </w:r>
          </w:p>
        </w:tc>
        <w:tc>
          <w:tcPr>
            <w:tcW w:type="pct" w:w="72%"/>
          </w:tcPr>
          <w:p>
            <w:r>
              <w:t xml:space="preserve">Browser DevTools (Network, Console, Application cookies)</w:t>
            </w:r>
          </w:p>
        </w:tc>
      </w:tr>
      <w:tr>
        <w:tc>
          <w:tcPr>
            <w:tcW w:type="pct" w:w="28%"/>
          </w:tcPr>
          <w:p>
            <w:r>
              <w:t xml:space="preserve">Automation</w:t>
            </w:r>
          </w:p>
        </w:tc>
        <w:tc>
          <w:tcPr>
            <w:tcW w:type="pct" w:w="72%"/>
          </w:tcPr>
          <w:p>
            <w:r>
              <w:t xml:space="preserve">Playwright: npx playwright test tests/e2e/ --project=chromium</w:t>
            </w:r>
          </w:p>
        </w:tc>
      </w:tr>
      <w:tr>
        <w:tc>
          <w:tcPr>
            <w:tcW w:type="pct" w:w="28%"/>
          </w:tcPr>
          <w:p>
            <w:r>
              <w:t xml:space="preserve">API smoke</w:t>
            </w:r>
          </w:p>
        </w:tc>
        <w:tc>
          <w:tcPr>
            <w:tcW w:type="pct" w:w="72%"/>
          </w:tcPr>
          <w:p>
            <w:r>
              <w:t xml:space="preserve">node scripts/staging-smoke-cron.mjs</w:t>
            </w:r>
          </w:p>
        </w:tc>
      </w:tr>
      <w:tr>
        <w:tc>
          <w:tcPr>
            <w:tcW w:type="pct" w:w="28%"/>
          </w:tcPr>
          <w:p>
            <w:r>
              <w:t xml:space="preserve">Integration</w:t>
            </w:r>
          </w:p>
        </w:tc>
        <w:tc>
          <w:tcPr>
            <w:tcW w:type="pct" w:w="72%"/>
          </w:tcPr>
          <w:p>
            <w:r>
              <w:t xml:space="preserve">npm run test:vercel-integration:cloud:epic17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Test Scenarios &amp; User Journeys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Scenario ID</w:t>
            </w:r>
          </w:p>
        </w:tc>
        <w:tc>
          <w:tcPr>
            <w:tcW w:type="pct" w:w="72%"/>
          </w:tcPr>
          <w:p>
            <w:r>
              <w:t xml:space="preserve">Journey / Feature Area</w:t>
            </w:r>
          </w:p>
        </w:tc>
      </w:tr>
      <w:tr>
        <w:tc>
          <w:tcPr>
            <w:tcW w:type="pct" w:w="28%"/>
          </w:tcPr>
          <w:p>
            <w:r>
              <w:t xml:space="preserve">SC-01</w:t>
            </w:r>
          </w:p>
        </w:tc>
        <w:tc>
          <w:tcPr>
            <w:tcW w:type="pct" w:w="72%"/>
          </w:tcPr>
          <w:p>
            <w:r>
              <w:t xml:space="preserve">Authentication &amp; session</w:t>
            </w:r>
          </w:p>
        </w:tc>
      </w:tr>
      <w:tr>
        <w:tc>
          <w:tcPr>
            <w:tcW w:type="pct" w:w="28%"/>
          </w:tcPr>
          <w:p>
            <w:r>
              <w:t xml:space="preserve">SC-02</w:t>
            </w:r>
          </w:p>
        </w:tc>
        <w:tc>
          <w:tcPr>
            <w:tcW w:type="pct" w:w="72%"/>
          </w:tcPr>
          <w:p>
            <w:r>
              <w:t xml:space="preserve">Global Command Center dashboard load</w:t>
            </w:r>
          </w:p>
        </w:tc>
      </w:tr>
      <w:tr>
        <w:tc>
          <w:tcPr>
            <w:tcW w:type="pct" w:w="28%"/>
          </w:tcPr>
          <w:p>
            <w:r>
              <w:t xml:space="preserve">SC-03</w:t>
            </w:r>
          </w:p>
        </w:tc>
        <w:tc>
          <w:tcPr>
            <w:tcW w:type="pct" w:w="72%"/>
          </w:tcPr>
          <w:p>
            <w:r>
              <w:t xml:space="preserve">Tenant switcher &amp; isolation</w:t>
            </w:r>
          </w:p>
        </w:tc>
      </w:tr>
      <w:tr>
        <w:tc>
          <w:tcPr>
            <w:tcW w:type="pct" w:w="28%"/>
          </w:tcPr>
          <w:p>
            <w:r>
              <w:t xml:space="preserve">SC-04</w:t>
            </w:r>
          </w:p>
        </w:tc>
        <w:tc>
          <w:tcPr>
            <w:tcW w:type="pct" w:w="72%"/>
          </w:tcPr>
          <w:p>
            <w:r>
              <w:t xml:space="preserve">Tenant switch resilience (Vaultbank ↔ Gridcore)</w:t>
            </w:r>
          </w:p>
        </w:tc>
      </w:tr>
      <w:tr>
        <w:tc>
          <w:tcPr>
            <w:tcW w:type="pct" w:w="28%"/>
          </w:tcPr>
          <w:p>
            <w:r>
              <w:t xml:space="preserve">SC-05</w:t>
            </w:r>
          </w:p>
        </w:tc>
        <w:tc>
          <w:tcPr>
            <w:tcW w:type="pct" w:w="72%"/>
          </w:tcPr>
          <w:p>
            <w:r>
              <w:t xml:space="preserve">Threat Pipeline &amp; manual risk registration</w:t>
            </w:r>
          </w:p>
        </w:tc>
      </w:tr>
      <w:tr>
        <w:tc>
          <w:tcPr>
            <w:tcW w:type="pct" w:w="28%"/>
          </w:tcPr>
          <w:p>
            <w:r>
              <w:t xml:space="preserve">SC-06</w:t>
            </w:r>
          </w:p>
        </w:tc>
        <w:tc>
          <w:tcPr>
            <w:tcW w:type="pct" w:w="72%"/>
          </w:tcPr>
          <w:p>
            <w:r>
              <w:t xml:space="preserve">Risk assessment drawer &amp; GRC gate</w:t>
            </w:r>
          </w:p>
        </w:tc>
      </w:tr>
      <w:tr>
        <w:tc>
          <w:tcPr>
            <w:tcW w:type="pct" w:w="28%"/>
          </w:tcPr>
          <w:p>
            <w:r>
              <w:t xml:space="preserve">SC-07</w:t>
            </w:r>
          </w:p>
        </w:tc>
        <w:tc>
          <w:tcPr>
            <w:tcW w:type="pct" w:w="72%"/>
          </w:tcPr>
          <w:p>
            <w:r>
              <w:t xml:space="preserve">Active Risks board</w:t>
            </w:r>
          </w:p>
        </w:tc>
      </w:tr>
      <w:tr>
        <w:tc>
          <w:tcPr>
            <w:tcW w:type="pct" w:w="28%"/>
          </w:tcPr>
          <w:p>
            <w:r>
              <w:t xml:space="preserve">SC-08</w:t>
            </w:r>
          </w:p>
        </w:tc>
        <w:tc>
          <w:tcPr>
            <w:tcW w:type="pct" w:w="72%"/>
          </w:tcPr>
          <w:p>
            <w:r>
              <w:t xml:space="preserve">Sustainability Pulse (Carbon Pulse)</w:t>
            </w:r>
          </w:p>
        </w:tc>
      </w:tr>
      <w:tr>
        <w:tc>
          <w:tcPr>
            <w:tcW w:type="pct" w:w="28%"/>
          </w:tcPr>
          <w:p>
            <w:r>
              <w:t xml:space="preserve">SC-09</w:t>
            </w:r>
          </w:p>
        </w:tc>
        <w:tc>
          <w:tcPr>
            <w:tcW w:type="pct" w:w="72%"/>
          </w:tcPr>
          <w:p>
            <w:r>
              <w:t xml:space="preserve">Analyst exports (/dashboard/exports)</w:t>
            </w:r>
          </w:p>
        </w:tc>
      </w:tr>
      <w:tr>
        <w:tc>
          <w:tcPr>
            <w:tcW w:type="pct" w:w="28%"/>
          </w:tcPr>
          <w:p>
            <w:r>
              <w:t xml:space="preserve">SC-10</w:t>
            </w:r>
          </w:p>
        </w:tc>
        <w:tc>
          <w:tcPr>
            <w:tcW w:type="pct" w:w="72%"/>
          </w:tcPr>
          <w:p>
            <w:r>
              <w:t xml:space="preserve">Audit Intelligence sidebar</w:t>
            </w:r>
          </w:p>
        </w:tc>
      </w:tr>
      <w:tr>
        <w:tc>
          <w:tcPr>
            <w:tcW w:type="pct" w:w="28%"/>
          </w:tcPr>
          <w:p>
            <w:r>
              <w:t xml:space="preserve">SC-11</w:t>
            </w:r>
          </w:p>
        </w:tc>
        <w:tc>
          <w:tcPr>
            <w:tcW w:type="pct" w:w="72%"/>
          </w:tcPr>
          <w:p>
            <w:r>
              <w:t xml:space="preserve">API &amp; network health (dashboard + stats)</w:t>
            </w:r>
          </w:p>
        </w:tc>
      </w:tr>
      <w:tr>
        <w:tc>
          <w:tcPr>
            <w:tcW w:type="pct" w:w="28%"/>
          </w:tcPr>
          <w:p>
            <w:r>
              <w:t xml:space="preserve">SC-12</w:t>
            </w:r>
          </w:p>
        </w:tc>
        <w:tc>
          <w:tcPr>
            <w:tcW w:type="pct" w:w="72%"/>
          </w:tcPr>
          <w:p>
            <w:r>
              <w:t xml:space="preserve">UX: loading, empty states, error recovery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Detailed Test Cases</w:t>
      </w:r>
    </w:p>
    <w:p>
      <w:pPr>
        <w:pStyle w:val="Heading3"/>
        <w:spacing w:after="120" w:before="200"/>
      </w:pPr>
      <w:r>
        <w:t xml:space="preserve">AUTH-001 — Supabase login and session persistence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P0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Valid test user provisioned in Supabase; cookies cleared.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Open /login.
2. Enter valid email/password.
3. Submit.
4. Confirm redirect to Command Center.
5. Refresh page (F5).
6. Open DevTools → Application → Cookies; confirm Supabase auth cookies present.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User lands on dashboard (or sign-in completes without error). Session persists after refresh. No infinite redirect loop.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Authenticated dashboard or documented sign-in page with working credentials. FAIL: 401 loop, blank page, or uncaught error overlay.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DASH-001 — Command Center dashboard shell loads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P0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Authenticated; any tenant or Global scope.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Navigate to /.
2. Wait up to 20s for load to complete.
3. Verify visible markers: Enterprise Risk Posture, Protected Tenants, Control Room, Industry Profile.
4. Confirm no permanent Loading dashboard… message.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Dashboard shell visible. Heat map or empty-state placeholders render. Console free of uncaught exceptions.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All four markers visible within 20s. FAIL: Permanent loading spinner, constitutional void without documented test mode, or white screen &gt;30s.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TENANT-001 — Global Command Center aggregate 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P0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Authenticated; tenant switcher visible.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Open tenant switcher (building icon).
2. Select Global Command Center — Aggregate Dashboard.
3. Confirm URL is /.
4. Verify dashboard loads aggregate view (may show multi-tenant summary).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Global scope active; ironframe-tenant cookie cleared or absent. Dashboard renders without tenant-scoped export errors on home page.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Global option selected; dashboard stable. FAIL: Wrong tenant data labeled as global or crash on select.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TENANT-002 — Select Vaultbank tenant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P0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Authenticated; Vaultbank exists in tenant list.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Select Vaultbank from tenant switcher.
2. Wait for page refresh/navigation.
3. Verify cookie ironframe-tenant set (DevTools).
4. Confirm Industry Profile aligns with Vaultbank context.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Tenant UUID c6932d16-a716-4a07-9bc4-6ec987f641e2 scoped. Dashboard refetches. Handshake may show idle then verified (production) or verified immediately (shadow plane).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Cookie matches Vaultbank UUID; dashboard data loads. FAIL: 401 on /api/dashboard or wrong tenant label persists after 10s.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TENANT-003 — Switch Vaultbank → Gridcore (resilience)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P0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Authenticated; starting on Vaultbank.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Note current dashboard content (e.g., carbon zone US-NY for Vaultbank).
2. Switch to Gridcore.
3. Observe center panels during transition (≤5s).
4. Confirm Sustainability Pulse zone updates toward US-CO / Gridcore profile.
5. Check Network: GET /api/dashboard and /api/sustainability/stats return 200 with ok:true.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Brief loading acceptable. Center grid panels must NOT remain permanently blank. Carbon pulse shows Gridcore-appropriate data or LKG/fallback label. No flood of missing _api_key errors in server log when fallback enabled.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UI recovers within 15s; tenant-specific content changes. FAIL: Permanent blank center grid, stale Vaultbank carbon data after 60s poll, or cross-tenant financial figures.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TENANT-004 — Switch back Gridcore → Vaultbank (state recovery)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P0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Completed TENANT-003.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Switch back to Vaultbank.
2. Verify dashboard repopulates.
3. Open Carbon Pulse — intensity and zone consistent with Vaultbank (US-NY roster).
4. Repeat one fast double-switch (Gridcore→Vaultbank→Gridcore) if time permits.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Each switch recovers without requiring hard browser cache clear. Last-good snapshot may show briefly; final state matches selected tenant.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Recovery on return switch. FAIL: Requires full logout/login to restore UI.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PIPE-001 — Threat Pipeline empty / waiting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P1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Authenticated tenant with empty pipeline (or fresh scope).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Locate Threat Pipeline / RISK REGISTRATION section.
2. If no threats queued, confirm waiting message: [ WAITING FOR INGESTION STREAM... ] or similar.
3. Confirm Manual Risk REGISTRATION button visible.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Empty state message OR Attack Velocity section when threats exist. No broken layout.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Deterministic empty OR populated state. FAIL: Section missing entirely or JS error in console.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PIPE-002 — Manual risk registration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P0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Dashboard loaded; Manual Risk REGISTRATION available.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Click Manual Risk REGISTRATION.
2. Fill: Title = QA Manual [timestamp], Source = Manual QA, Target = Healthcare, Inherent risk = 4.0, Description = UI test.
3. Click Register.
4. Confirm card appears in RISK REGISTRATION with manual- ID prefix.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Form closes; new card visible with title and severity badge within 5s.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Card appears with correct title. FAIL: Form error without message or card never appears after 10s.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PIPE-003 — Assessment drawer opens (no Threat not found)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P0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PIPE-002 completed or existing risk card available.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Click View Details or threat title on a card.
2. Wait for drawer (role=dialog, aria-modal=true).
3. Verify title and ID displayed.
4. Confirm Ingest button visible in drawer.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Drawer slides in from right. Threat metadata shown. NO Threat not found or 404 message.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Drawer content matches selected card. FAIL: Threat not found for manual card just created.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PIPE-004 — High-value GRC justification gate (when applicable)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P1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Drawer open on threat ≥ $10M inherent risk (or seeded high-value threat).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Open high-value threat drawer.
2. Look for GRC Justification Required label (50+ characters).
3. Verify #grc-justification textarea present.
4. Attempt ingest without justification if UI allows — expect validation block.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Justification field visible for high-value threats. Low-value threats may omit field.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Justification UI matches financial threshold rules. FAIL: High-value ingest proceeds with empty justification when gate required.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ACTIVE-001 — Active Risks section displays ACTIVE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P1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Tenant with seeded or confirmed ACTIVE threats.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Scroll to ACTIVE RISKS section.
2. Confirm heading ACTIVE RISKS (not legacy combined title).
3. Verify cards show status ACTIVE, score, source agent.
4. Click a card if interaction available — no crash.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Active risks listed or explicit empty state. Excluded baseline titles not shown erroneously.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Section renders consistently with data state. FAIL: Section permanently empty while Pipeline shows confirmed threats incorrectly.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CARBON-001 — Sustainability Pulse — live or fallback display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P1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Tenant selected (not Global). Fallback or API key configured.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Locate Sustainability Pulse in Audit Intelligence area.
2. Wait up to 60s for poll cycle.
3. Note intensity (gCO₂eq/kWh), zone label, Agent 6 throttle badge.
4. If live key present: source live or electricity-maps. If fallback: Fallback Active or forensic label acceptable.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Widget shows numeric intensity, zone, ALE display. Not permanently Pulse unavailable without tenant.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effectivePulse renders with intensity &gt; 0 or explicit LKG/offline verified state. FAIL: Blank widget with tenant selected after 90s.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CARBON-002 — Carbon Pulse LKG when stats API fails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P2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Simulate offline stats (DevTools offline mode) OR staging without API key.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Select tenant.
2. Throttle or block /api/sustainability/stats once.
3. Observe UI within 60s.
4. Confirm fallback path attempts /api/sustainability/pulse-lkg or shows offline/verified messaging.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UI remains mounted; amber shield or offline copy; no infinite error loop in console.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Graceful degradation. FAIL: Widget unmounts or blank panel spreads to entire center grid.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EXPORT-001 — Analyst export CSV — tenant scoped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P1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Authenticated; Vaultbank or Gridcore selected (not Global).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Navigate to /dashboard/exports.
2. If redirected to /login, complete auth.
3. Click Download CSV.
4. Open file — verify header row and tenant-scoped ledger rows.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HTTP 200; CSV downloads; BigInt cents columns as strings; no Medshield data when Gridcore selected.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CSV valid and tenant-aligned. FAIL: 404 on /dashboard/exports. (trailing period), 400 No active tenant on Global scope, or wrong tenant rows.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EXPORT-002 — Analyst export PDF — tenant scoped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P1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Same as EXPORT-001.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On /dashboard/exports click Download PDF.
2. Verify PDF opens; magic bytes %PDF.
3. Spot-check branding and table content.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PDF generated; readable; tenant scope consistent with cookie.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Valid PDF. FAIL: 500 error or empty document.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AUDIT-001 — Audit Intelligence feed filters simulation noise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P2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Tenant with mixed audit log entries.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Open Audit Intelligence sidebar.
2. Confirm GRCBOT / SIMULATION cards not listed in production view.
3. Verify real CONFIG_CHANGE / GRC entries visible.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Simulation entries filtered from display list.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No GRC Process Threat simulation cards in sidebar. FAIL: Simulation floods sidebar in non-sim mode.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API-001 — Dashboard API returns 200 for scoped tenant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P1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Tenant selected; DevTools Network open.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Switch tenant.
2. Find GET /api/dashboard.
3. Verify status 200, JSON body with companies/threat data shape.
4. Confirm request headers include x-tenant-id matching cookie.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200 response within 15s; no 401/503 unless documented lockdown mode.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200 + valid JSON. FAIL: 401 with valid session, or 500 without recovery.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API-002 — Sustainability stats tenant-scoped SWR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P1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Tenant switcher used between Vaultbank and Gridcore.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On Vaultbank, note pulse tenantId in /api/sustainability/stats response.
2. Switch to Gridcore.
3. Within 60s confirm new request returns different tenantId.
4. Verify SWR does not show previous tenant data after full poll cycle.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Response pulse.tenantId matches active cookie UUID after switch.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tenantId tracks switch. FAIL: Stale tenantId after 60s on new tenant.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UX-001 — Responsive layout — minimum viewport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P2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Chrome DevTools device mode.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Set viewport 1280×720 then 1024×768.
2. Verify tenant switcher, center panel, and sidebar usable without horizontal scroll obliterating content.
3. Open drawer — must remain usable.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Core workflows accessible at 1280px width.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No critical controls clipped. FAIL: Cannot reach tenant switcher or Register button at 1280px.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t xml:space="preserve">UX-002 — No permanent blank center grid after cache invalidate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Priority</w:t>
            </w:r>
          </w:p>
        </w:tc>
        <w:tc>
          <w:tcPr>
            <w:tcW w:type="pct" w:w="72%"/>
          </w:tcPr>
          <w:p>
            <w:r>
              <w:t xml:space="preserve">P0</w:t>
            </w:r>
          </w:p>
        </w:tc>
      </w:tr>
      <w:tr>
        <w:tc>
          <w:tcPr>
            <w:tcW w:type="pct" w:w="28%"/>
          </w:tcPr>
          <w:p>
            <w:r>
              <w:t xml:space="preserve">Preconditions</w:t>
            </w:r>
          </w:p>
        </w:tc>
        <w:tc>
          <w:tcPr>
            <w:tcW w:type="pct" w:w="72%"/>
          </w:tcPr>
          <w:p>
            <w:r>
              <w:t xml:space="preserve">Build includes commit 42b9b56b or later.</w:t>
            </w:r>
          </w:p>
        </w:tc>
      </w:tr>
      <w:tr>
        <w:tc>
          <w:tcPr>
            <w:tcW w:type="pct" w:w="28%"/>
          </w:tcPr>
          <w:p>
            <w:r>
              <w:t xml:space="preserve">Test Steps</w:t>
            </w:r>
          </w:p>
        </w:tc>
        <w:tc>
          <w:tcPr>
            <w:tcW w:type="pct" w:w="72%"/>
          </w:tcPr>
          <w:p>
            <w:r>
              <w:t xml:space="preserve">1. Switch tenant twice rapidly.
2. Observe center grid for 15s.
3. If loading skeletons appear, they must resolve to content or explicit empty-state copy.</w:t>
            </w:r>
          </w:p>
        </w:tc>
      </w:tr>
      <w:tr>
        <w:tc>
          <w:tcPr>
            <w:tcW w:type="pct" w:w="28%"/>
          </w:tcPr>
          <w:p>
            <w:r>
              <w:t xml:space="preserve">Expected Results</w:t>
            </w:r>
          </w:p>
        </w:tc>
        <w:tc>
          <w:tcPr>
            <w:tcW w:type="pct" w:w="72%"/>
          </w:tcPr>
          <w:p>
            <w:r>
              <w:t xml:space="preserve">Panels recover; setData(null) permanent blank regression absent.</w:t>
            </w:r>
          </w:p>
        </w:tc>
      </w:tr>
      <w:tr>
        <w:tc>
          <w:tcPr>
            <w:tcW w:type="pct" w:w="28%"/>
          </w:tcPr>
          <w:p>
            <w:r>
              <w:t xml:space="preserve">Pass / Fail Criteria</w:t>
            </w:r>
          </w:p>
        </w:tc>
        <w:tc>
          <w:tcPr>
            <w:tcW w:type="pct" w:w="72%"/>
          </w:tcPr>
          <w:p>
            <w:r>
              <w:t xml:space="preserve">PASS: Content or empty-state within 15s. FAIL: Empty grid with no loading indicator after tenant switch.</w:t>
            </w:r>
          </w:p>
        </w:tc>
      </w:tr>
      <w:tr>
        <w:tc>
          <w:tcPr>
            <w:tcW w:type="pct" w:w="28%"/>
          </w:tcPr>
          <w:p>
            <w:r>
              <w:t xml:space="preserve">Actual Result</w:t>
            </w:r>
          </w:p>
        </w:tc>
        <w:tc>
          <w:tcPr>
            <w:tcW w:type="pct" w:w="72%"/>
          </w:tcPr>
          <w:p>
            <w:r>
              <w:t xml:space="preserve">_(Tester completes during execution)_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☐ Pass   ☐ Fail   ☐ Blocked</w:t>
            </w:r>
          </w:p>
        </w:tc>
      </w:tr>
      <w:tr>
        <w:tc>
          <w:tcPr>
            <w:tcW w:type="pct" w:w="28%"/>
          </w:tcPr>
          <w:p>
            <w:r>
              <w:t xml:space="preserve">Evidence</w:t>
            </w:r>
          </w:p>
        </w:tc>
        <w:tc>
          <w:tcPr>
            <w:tcW w:type="pct" w:w="72%"/>
          </w:tcPr>
          <w:p>
            <w:r>
              <w:t xml:space="preserve">_(Screenshot filename / log snippet / HAR ref)_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t xml:space="preserve">5. Test Data</w:t>
      </w:r>
    </w:p>
    <w:p>
      <w:pPr>
        <w:pStyle w:val="Heading2"/>
        <w:spacing w:after="160" w:before="280"/>
      </w:pPr>
      <w:r>
        <w:t xml:space="preserve">5.1 User Credentials</w:t>
      </w:r>
    </w:p>
    <w:p>
      <w:pPr>
        <w:spacing w:after="120"/>
      </w:pPr>
      <w:r>
        <w:t xml:space="preserve">Store credentials in a secure vault — never in this document or git.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QA Standard User</w:t>
            </w:r>
          </w:p>
        </w:tc>
        <w:tc>
          <w:tcPr>
            <w:tcW w:type="pct" w:w="72%"/>
          </w:tcPr>
          <w:p>
            <w:r>
              <w:t xml:space="preserve">Supabase email/password — read-only Command Center access</w:t>
            </w:r>
          </w:p>
        </w:tc>
      </w:tr>
      <w:tr>
        <w:tc>
          <w:tcPr>
            <w:tcW w:type="pct" w:w="28%"/>
          </w:tcPr>
          <w:p>
            <w:r>
              <w:t xml:space="preserve">QA Tenant Admin</w:t>
            </w:r>
          </w:p>
        </w:tc>
        <w:tc>
          <w:tcPr>
            <w:tcW w:type="pct" w:w="72%"/>
          </w:tcPr>
          <w:p>
            <w:r>
              <w:t xml:space="preserve">User with access to all demo tenants</w:t>
            </w:r>
          </w:p>
        </w:tc>
      </w:tr>
      <w:tr>
        <w:tc>
          <w:tcPr>
            <w:tcW w:type="pct" w:w="28%"/>
          </w:tcPr>
          <w:p>
            <w:r>
              <w:t xml:space="preserve">QA Export User</w:t>
            </w:r>
          </w:p>
        </w:tc>
        <w:tc>
          <w:tcPr>
            <w:tcW w:type="pct" w:w="72%"/>
          </w:tcPr>
          <w:p>
            <w:r>
              <w:t xml:space="preserve">User validated for /dashboard/exports</w:t>
            </w:r>
          </w:p>
        </w:tc>
      </w:tr>
    </w:tbl>
    <w:p>
      <w:pPr>
        <w:pStyle w:val="Heading2"/>
        <w:spacing w:after="160" w:before="280"/>
      </w:pPr>
      <w:r>
        <w:t xml:space="preserve">5.2 Demo Tenants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Medshield</w:t>
            </w:r>
          </w:p>
        </w:tc>
        <w:tc>
          <w:tcPr>
            <w:tcW w:type="pct" w:w="72%"/>
          </w:tcPr>
          <w:p>
            <w:r>
              <w:t xml:space="preserve">UUID 5c420f5a-8f1f-4bbf-b42d-7f8dd4bb6a01 — US-NEIS carbon zone</w:t>
            </w:r>
          </w:p>
        </w:tc>
      </w:tr>
      <w:tr>
        <w:tc>
          <w:tcPr>
            <w:tcW w:type="pct" w:w="28%"/>
          </w:tcPr>
          <w:p>
            <w:r>
              <w:t xml:space="preserve">Vaultbank</w:t>
            </w:r>
          </w:p>
        </w:tc>
        <w:tc>
          <w:tcPr>
            <w:tcW w:type="pct" w:w="72%"/>
          </w:tcPr>
          <w:p>
            <w:r>
              <w:t xml:space="preserve">UUID c6932d16-a716-4a07-9bc4-6ec987f641e2 — US-NY carbon zone</w:t>
            </w:r>
          </w:p>
        </w:tc>
      </w:tr>
      <w:tr>
        <w:tc>
          <w:tcPr>
            <w:tcW w:type="pct" w:w="28%"/>
          </w:tcPr>
          <w:p>
            <w:r>
              <w:t xml:space="preserve">Gridcore</w:t>
            </w:r>
          </w:p>
        </w:tc>
        <w:tc>
          <w:tcPr>
            <w:tcW w:type="pct" w:w="72%"/>
          </w:tcPr>
          <w:p>
            <w:r>
              <w:t xml:space="preserve">UUID 4d1ea1a4-b6a8-4d12-9eb3-2f0a64ad0ef7 — US-CO carbon zone</w:t>
            </w:r>
          </w:p>
        </w:tc>
      </w:tr>
      <w:tr>
        <w:tc>
          <w:tcPr>
            <w:tcW w:type="pct" w:w="28%"/>
          </w:tcPr>
          <w:p>
            <w:r>
              <w:t xml:space="preserve">Defense</w:t>
            </w:r>
          </w:p>
        </w:tc>
        <w:tc>
          <w:tcPr>
            <w:tcW w:type="pct" w:w="72%"/>
          </w:tcPr>
          <w:p>
            <w:r>
              <w:t xml:space="preserve">UUID (see app/utils/tenantIsolation.ts) — US-MIDA-PJM zone</w:t>
            </w:r>
          </w:p>
        </w:tc>
      </w:tr>
    </w:tbl>
    <w:p>
      <w:pPr>
        <w:pStyle w:val="Heading2"/>
        <w:spacing w:after="160" w:before="280"/>
      </w:pPr>
      <w:r>
        <w:t xml:space="preserve">5.3 Sample Manual Threat Payload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Title</w:t>
            </w:r>
          </w:p>
        </w:tc>
        <w:tc>
          <w:tcPr>
            <w:tcW w:type="pct" w:w="72%"/>
          </w:tcPr>
          <w:p>
            <w:r>
              <w:t xml:space="preserve">QA Manual Test {ISO8601 timestamp}</w:t>
            </w:r>
          </w:p>
        </w:tc>
      </w:tr>
      <w:tr>
        <w:tc>
          <w:tcPr>
            <w:tcW w:type="pct" w:w="28%"/>
          </w:tcPr>
          <w:p>
            <w:r>
              <w:t xml:space="preserve">Source</w:t>
            </w:r>
          </w:p>
        </w:tc>
        <w:tc>
          <w:tcPr>
            <w:tcW w:type="pct" w:w="72%"/>
          </w:tcPr>
          <w:p>
            <w:r>
              <w:t xml:space="preserve">Manual QA</w:t>
            </w:r>
          </w:p>
        </w:tc>
      </w:tr>
      <w:tr>
        <w:tc>
          <w:tcPr>
            <w:tcW w:type="pct" w:w="28%"/>
          </w:tcPr>
          <w:p>
            <w:r>
              <w:t xml:space="preserve">Target sector</w:t>
            </w:r>
          </w:p>
        </w:tc>
        <w:tc>
          <w:tcPr>
            <w:tcW w:type="pct" w:w="72%"/>
          </w:tcPr>
          <w:p>
            <w:r>
              <w:t xml:space="preserve">Healthcare</w:t>
            </w:r>
          </w:p>
        </w:tc>
      </w:tr>
      <w:tr>
        <w:tc>
          <w:tcPr>
            <w:tcW w:type="pct" w:w="28%"/>
          </w:tcPr>
          <w:p>
            <w:r>
              <w:t xml:space="preserve">Inherent risk ($M)</w:t>
            </w:r>
          </w:p>
        </w:tc>
        <w:tc>
          <w:tcPr>
            <w:tcW w:type="pct" w:w="72%"/>
          </w:tcPr>
          <w:p>
            <w:r>
              <w:t xml:space="preserve">4.0 (drawer test) / 2.0 (condensation test)</w:t>
            </w:r>
          </w:p>
        </w:tc>
      </w:tr>
      <w:tr>
        <w:tc>
          <w:tcPr>
            <w:tcW w:type="pct" w:w="28%"/>
          </w:tcPr>
          <w:p>
            <w:r>
              <w:t xml:space="preserve">Description</w:t>
            </w:r>
          </w:p>
        </w:tc>
        <w:tc>
          <w:tcPr>
            <w:tcW w:type="pct" w:w="72%"/>
          </w:tcPr>
          <w:p>
            <w:r>
              <w:t xml:space="preserve">UI/UX protocol execution — safe to purge in staging</w:t>
            </w:r>
          </w:p>
        </w:tc>
      </w:tr>
    </w:tbl>
    <w:p>
      <w:pPr>
        <w:pStyle w:val="Heading2"/>
        <w:spacing w:after="160" w:before="280"/>
      </w:pPr>
      <w:r>
        <w:t xml:space="preserve">5.4 Environment Variables (QA reference)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IRONWATCH_SUSTAINABILITY_FALLBACK_ENABLED=true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IRONWATCH_ELECTRICITY_MAPS_ZONE=US-MIDW-MISO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IRONFRAME_CRON_SECRET — for smoke scripts only; not for browser tests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Test Results Recording</w:t>
      </w:r>
    </w:p>
    <w:p>
      <w:pPr>
        <w:pStyle w:val="Heading2"/>
        <w:spacing w:after="160" w:before="280"/>
      </w:pPr>
      <w:r>
        <w:t xml:space="preserve">6.1 Execution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Date</w:t>
            </w:r>
          </w:p>
        </w:tc>
        <w:tc>
          <w:p>
            <w:r>
              <w:rPr>
                <w:b/>
                <w:bCs/>
              </w:rPr>
              <w:t xml:space="preserve">Tester</w:t>
            </w:r>
          </w:p>
        </w:tc>
        <w:tc>
          <w:p>
            <w:r>
              <w:rPr>
                <w:b/>
                <w:bCs/>
              </w:rPr>
              <w:t xml:space="preserve">Build/SHA</w:t>
            </w:r>
          </w:p>
        </w:tc>
        <w:tc>
          <w:p>
            <w:r>
              <w:rPr>
                <w:b/>
                <w:bCs/>
              </w:rPr>
              <w:t xml:space="preserve">Environment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/>
                <w:bCs/>
              </w:rPr>
              <w:t xml:space="preserve">Fail</w:t>
            </w:r>
          </w:p>
        </w:tc>
        <w:tc>
          <w:p>
            <w:r>
              <w:rPr>
                <w:b/>
                <w:bCs/>
              </w:rPr>
              <w:t xml:space="preserve">Blocked</w:t>
            </w:r>
          </w:p>
        </w:tc>
        <w:tc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6.2 Per-Test Execution Log</w:t>
      </w:r>
    </w:p>
    <w:p>
      <w:pPr>
        <w:spacing w:after="120"/>
      </w:pPr>
      <w:r>
        <w:t xml:space="preserve">Copy one row per test case executed: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Test Case ID</w:t>
            </w:r>
          </w:p>
        </w:tc>
        <w:tc>
          <w:tcPr>
            <w:tcW w:type="pct" w:w="72%"/>
          </w:tcPr>
          <w:p>
            <w:r>
              <w:t xml:space="preserve">_(e.g. TENANT-003)_</w:t>
            </w:r>
          </w:p>
        </w:tc>
      </w:tr>
      <w:tr>
        <w:tc>
          <w:tcPr>
            <w:tcW w:type="pct" w:w="28%"/>
          </w:tcPr>
          <w:p>
            <w:r>
              <w:t xml:space="preserve">Execution Date</w:t>
            </w:r>
          </w:p>
        </w:tc>
        <w:tc>
          <w:tcPr>
            <w:tcW w:type="pct" w:w="72%"/>
          </w:tcPr>
          <w:p>
            <w:r>
              <w:t xml:space="preserve">_(YYYY-MM-DD HH:mm UTC)_</w:t>
            </w:r>
          </w:p>
        </w:tc>
      </w:tr>
      <w:tr>
        <w:tc>
          <w:tcPr>
            <w:tcW w:type="pct" w:w="28%"/>
          </w:tcPr>
          <w:p>
            <w:r>
              <w:t xml:space="preserve">Tester Name</w:t>
            </w:r>
          </w:p>
        </w:tc>
        <w:tc>
          <w:tcPr>
            <w:tcW w:type="pct" w:w="72%"/>
          </w:tcPr>
          <w:p/>
        </w:tc>
      </w:tr>
      <w:tr>
        <w:tc>
          <w:tcPr>
            <w:tcW w:type="pct" w:w="28%"/>
          </w:tcPr>
          <w:p>
            <w:r>
              <w:t xml:space="preserve">Environment</w:t>
            </w:r>
          </w:p>
        </w:tc>
        <w:tc>
          <w:tcPr>
            <w:tcW w:type="pct" w:w="72%"/>
          </w:tcPr>
          <w:p>
            <w:r>
              <w:t xml:space="preserve">_(Local / Preview URL / Production)_</w:t>
            </w:r>
          </w:p>
        </w:tc>
      </w:tr>
      <w:tr>
        <w:tc>
          <w:tcPr>
            <w:tcW w:type="pct" w:w="28%"/>
          </w:tcPr>
          <w:p>
            <w:r>
              <w:t xml:space="preserve">Build SHA</w:t>
            </w:r>
          </w:p>
        </w:tc>
        <w:tc>
          <w:tcPr>
            <w:tcW w:type="pct" w:w="72%"/>
          </w:tcPr>
          <w:p>
            <w:r>
              <w:t xml:space="preserve">_(git rev-parse --short HEAD)_</w:t>
            </w:r>
          </w:p>
        </w:tc>
      </w:tr>
      <w:tr>
        <w:tc>
          <w:tcPr>
            <w:tcW w:type="pct" w:w="28%"/>
          </w:tcPr>
          <w:p>
            <w:r>
              <w:t xml:space="preserve">Status</w:t>
            </w:r>
          </w:p>
        </w:tc>
        <w:tc>
          <w:tcPr>
            <w:tcW w:type="pct" w:w="72%"/>
          </w:tcPr>
          <w:p>
            <w:r>
              <w:t xml:space="preserve">Pass / Fail / Blocked</w:t>
            </w:r>
          </w:p>
        </w:tc>
      </w:tr>
      <w:tr>
        <w:tc>
          <w:tcPr>
            <w:tcW w:type="pct" w:w="28%"/>
          </w:tcPr>
          <w:p>
            <w:r>
              <w:t xml:space="preserve">Defect ID</w:t>
            </w:r>
          </w:p>
        </w:tc>
        <w:tc>
          <w:tcPr>
            <w:tcW w:type="pct" w:w="72%"/>
          </w:tcPr>
          <w:p>
            <w:r>
              <w:t xml:space="preserve">_(If fail — link to ticket)_</w:t>
            </w:r>
          </w:p>
        </w:tc>
      </w:tr>
      <w:tr>
        <w:tc>
          <w:tcPr>
            <w:tcW w:type="pct" w:w="28%"/>
          </w:tcPr>
          <w:p>
            <w:r>
              <w:t xml:space="preserve">Screenshots</w:t>
            </w:r>
          </w:p>
        </w:tc>
        <w:tc>
          <w:tcPr>
            <w:tcW w:type="pct" w:w="72%"/>
          </w:tcPr>
          <w:p>
            <w:r>
              <w:t xml:space="preserve">_(Folder path or attachment names)_</w:t>
            </w:r>
          </w:p>
        </w:tc>
      </w:tr>
      <w:tr>
        <w:tc>
          <w:tcPr>
            <w:tcW w:type="pct" w:w="28%"/>
          </w:tcPr>
          <w:p>
            <w:r>
              <w:t xml:space="preserve">Console / Network notes</w:t>
            </w:r>
          </w:p>
        </w:tc>
        <w:tc>
          <w:tcPr>
            <w:tcW w:type="pct" w:w="72%"/>
          </w:tcPr>
          <w:p>
            <w:r>
              <w:t xml:space="preserve">_(Errors, status codes)_</w:t>
            </w:r>
          </w:p>
        </w:tc>
      </w:tr>
    </w:tbl>
    <w:p>
      <w:pPr>
        <w:pStyle w:val="Heading2"/>
        <w:spacing w:after="160" w:before="280"/>
      </w:pPr>
      <w:r>
        <w:t xml:space="preserve">6.3 Defect Severity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E293B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2%"/>
            <w:shd w:fill="1E293B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pct" w:w="28%"/>
          </w:tcPr>
          <w:p>
            <w:r>
              <w:t xml:space="preserve">Critical</w:t>
            </w:r>
          </w:p>
        </w:tc>
        <w:tc>
          <w:tcPr>
            <w:tcW w:type="pct" w:w="72%"/>
          </w:tcPr>
          <w:p>
            <w:r>
              <w:t xml:space="preserve">Data loss, cross-tenant bleed, auth bypass, permanent UI failure</w:t>
            </w:r>
          </w:p>
        </w:tc>
      </w:tr>
      <w:tr>
        <w:tc>
          <w:tcPr>
            <w:tcW w:type="pct" w:w="28%"/>
          </w:tcPr>
          <w:p>
            <w:r>
              <w:t xml:space="preserve">High</w:t>
            </w:r>
          </w:p>
        </w:tc>
        <w:tc>
          <w:tcPr>
            <w:tcW w:type="pct" w:w="72%"/>
          </w:tcPr>
          <w:p>
            <w:r>
              <w:t xml:space="preserve">P0 journey blocked; no workaround</w:t>
            </w:r>
          </w:p>
        </w:tc>
      </w:tr>
      <w:tr>
        <w:tc>
          <w:tcPr>
            <w:tcW w:type="pct" w:w="28%"/>
          </w:tcPr>
          <w:p>
            <w:r>
              <w:t xml:space="preserve">Medium</w:t>
            </w:r>
          </w:p>
        </w:tc>
        <w:tc>
          <w:tcPr>
            <w:tcW w:type="pct" w:w="72%"/>
          </w:tcPr>
          <w:p>
            <w:r>
              <w:t xml:space="preserve">P1 feature wrong with workaround</w:t>
            </w:r>
          </w:p>
        </w:tc>
      </w:tr>
      <w:tr>
        <w:tc>
          <w:tcPr>
            <w:tcW w:type="pct" w:w="28%"/>
          </w:tcPr>
          <w:p>
            <w:r>
              <w:t xml:space="preserve">Low</w:t>
            </w:r>
          </w:p>
        </w:tc>
        <w:tc>
          <w:tcPr>
            <w:tcW w:type="pct" w:w="72%"/>
          </w:tcPr>
          <w:p>
            <w:r>
              <w:t xml:space="preserve">Cosmetic, P2, non-blocking</w:t>
            </w:r>
          </w:p>
        </w:tc>
      </w:tr>
    </w:tbl>
    <w:p>
      <w:pPr>
        <w:pStyle w:val="Heading2"/>
        <w:spacing w:after="160" w:before="280"/>
      </w:pPr>
      <w:r>
        <w:t xml:space="preserve">6.4 Sign-Off</w:t>
      </w:r>
    </w:p>
    <w:p>
      <w:pPr>
        <w:spacing w:after="120"/>
      </w:pPr>
      <w:r>
        <w:t xml:space="preserve">QA Lead: _________________________  Date: __________</w:t>
      </w:r>
    </w:p>
    <w:p>
      <w:pPr>
        <w:spacing w:after="120"/>
      </w:pPr>
      <w:r>
        <w:t xml:space="preserve">Product Owner: _________________________  Date: __________</w:t>
      </w:r>
    </w:p>
    <w:p>
      <w:pPr>
        <w:spacing w:after="120"/>
      </w:pPr>
      <w:r>
        <w:t xml:space="preserve">Release approved for promotion: ☐ Yes   ☐ No   ☐ With exceptions (list below)</w:t>
      </w:r>
    </w:p>
    <w:p>
      <w:pPr>
        <w:spacing w:after="120"/>
      </w:pPr>
      <w:r>
        <w:t xml:space="preserve">Exceptions / waivers:</w:t>
      </w:r>
    </w:p>
    <w:p>
      <w:pPr>
        <w:spacing w:after="120"/>
      </w:pPr>
      <w:r>
        <w:t xml:space="preserve">_</w:t>
      </w:r>
    </w:p>
    <w:p>
      <w:pPr>
        <w:spacing w:after="120"/>
      </w:pPr>
      <w:r>
        <w:t xml:space="preserve">_</w:t>
      </w:r>
    </w:p>
    <w:p>
      <w:pPr>
        <w:pStyle w:val="Heading2"/>
        <w:spacing w:after="160" w:before="280"/>
      </w:pPr>
      <w:r>
        <w:t xml:space="preserve">6.5 Automation Cross-Reference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Playwright: npx playwright test tests/e2e/dashboard.spec.ts tests/e2e/threatPipeline.spec.ts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smoke: npm run test:vercel-smoke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Integration: npm run test:vercel-integration:cloud:epic17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protocol complements automation — does not replace P0 API/tenant isolation unit tests</w:t>
      </w:r>
    </w:p>
    <w:p>
      <w:pPr>
        <w:spacing w:after="120"/>
      </w:pPr>
      <w: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2026-06-02T23:11:20.165Z</dcterms:created>
  <dcterms:modified xsi:type="dcterms:W3CDTF">2026-06-02T23:11:20.166Z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