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TCSS-588 Bioinformatics</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Final Project Preliminary Plan Of Analysis</w:t>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Team 1: Apidae</w:t>
      </w:r>
    </w:p>
    <w:p w:rsidR="00000000" w:rsidDel="00000000" w:rsidP="00000000" w:rsidRDefault="00000000" w:rsidRPr="00000000" w14:paraId="00000004">
      <w:pPr>
        <w:rPr>
          <w:sz w:val="20"/>
          <w:szCs w:val="20"/>
        </w:rPr>
      </w:pPr>
      <w:r w:rsidDel="00000000" w:rsidR="00000000" w:rsidRPr="00000000">
        <w:rPr>
          <w:sz w:val="20"/>
          <w:szCs w:val="20"/>
          <w:rtl w:val="0"/>
        </w:rPr>
        <w:t xml:space="preserve">Brandon Crosthwait, David Woolston, Caleb Carroll, Gus Kiritz</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b w:val="1"/>
          <w:bCs w:val="1"/>
          <w:sz w:val="20"/>
          <w:szCs w:val="20"/>
          <w:rtl w:val="0"/>
        </w:rPr>
        <w:t xml:space="preserve">Goal</w:t>
      </w:r>
      <w:r w:rsidDel="00000000" w:rsidR="00000000" w:rsidRPr="00000000">
        <w:rPr>
          <w:sz w:val="20"/>
          <w:szCs w:val="20"/>
          <w:rtl w:val="0"/>
        </w:rPr>
        <w:t xml:space="preserve">:</w:t>
      </w:r>
    </w:p>
    <w:p w:rsidR="00000000" w:rsidDel="00000000" w:rsidP="00000000" w:rsidRDefault="00000000" w:rsidRPr="00000000" w14:paraId="00000007">
      <w:pPr>
        <w:ind w:left="0" w:firstLine="0"/>
        <w:rPr>
          <w:sz w:val="18"/>
          <w:szCs w:val="18"/>
        </w:rPr>
      </w:pPr>
      <w:r w:rsidDel="00000000" w:rsidR="00000000" w:rsidRPr="00000000">
        <w:rPr>
          <w:sz w:val="20"/>
          <w:szCs w:val="20"/>
          <w:rtl w:val="0"/>
        </w:rPr>
        <w:t xml:space="preserve">We want to figure out what genes each transcription factor controls. </w:t>
      </w:r>
      <w:r w:rsidDel="00000000" w:rsidR="00000000" w:rsidRPr="00000000">
        <w:rPr>
          <w:rtl w:val="0"/>
        </w:rPr>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Proposed Techniques for Alternative GRN Inference Softwares</w:t>
      </w:r>
    </w:p>
    <w:p w:rsidR="00000000" w:rsidDel="00000000" w:rsidP="00000000" w:rsidRDefault="00000000" w:rsidRPr="00000000" w14:paraId="0000000A">
      <w:pPr>
        <w:rPr>
          <w:sz w:val="20"/>
          <w:szCs w:val="20"/>
        </w:rPr>
      </w:pPr>
      <w:r w:rsidDel="00000000" w:rsidR="00000000" w:rsidRPr="00000000">
        <w:rPr>
          <w:sz w:val="20"/>
          <w:szCs w:val="20"/>
          <w:rtl w:val="0"/>
        </w:rPr>
        <w:t xml:space="preserve">The available softwares for inferring GRNs are plentiful. For an initial proposal, we plan to interrogate the following modules to compare against GRNBoost2. </w:t>
      </w:r>
    </w:p>
    <w:p w:rsidR="00000000" w:rsidDel="00000000" w:rsidP="00000000" w:rsidRDefault="00000000" w:rsidRPr="00000000" w14:paraId="0000000B">
      <w:pPr>
        <w:numPr>
          <w:ilvl w:val="0"/>
          <w:numId w:val="1"/>
        </w:numPr>
        <w:ind w:left="720" w:hanging="360"/>
        <w:rPr>
          <w:sz w:val="20"/>
          <w:szCs w:val="20"/>
        </w:rPr>
      </w:pPr>
      <w:r w:rsidDel="00000000" w:rsidR="00000000" w:rsidRPr="00000000">
        <w:rPr>
          <w:sz w:val="20"/>
          <w:szCs w:val="20"/>
          <w:rtl w:val="0"/>
        </w:rPr>
        <w:t xml:space="preserve">Brandon:</w:t>
      </w:r>
    </w:p>
    <w:p w:rsidR="00000000" w:rsidDel="00000000" w:rsidP="00000000" w:rsidRDefault="00000000" w:rsidRPr="00000000" w14:paraId="0000000C">
      <w:pPr>
        <w:numPr>
          <w:ilvl w:val="1"/>
          <w:numId w:val="1"/>
        </w:numPr>
        <w:ind w:left="1440" w:hanging="360"/>
        <w:rPr>
          <w:sz w:val="20"/>
          <w:szCs w:val="20"/>
        </w:rPr>
      </w:pPr>
      <w:hyperlink r:id="rId6">
        <w:r w:rsidDel="00000000" w:rsidR="00000000" w:rsidRPr="00000000">
          <w:rPr>
            <w:color w:val="1155cc"/>
            <w:sz w:val="20"/>
            <w:szCs w:val="20"/>
            <w:u w:val="single"/>
            <w:rtl w:val="0"/>
          </w:rPr>
          <w:t xml:space="preserve">GENIE3</w:t>
        </w:r>
      </w:hyperlink>
      <w:r w:rsidDel="00000000" w:rsidR="00000000" w:rsidRPr="00000000">
        <w:rPr>
          <w:rtl w:val="0"/>
        </w:rPr>
      </w:r>
    </w:p>
    <w:p w:rsidR="00000000" w:rsidDel="00000000" w:rsidP="00000000" w:rsidRDefault="00000000" w:rsidRPr="00000000" w14:paraId="0000000D">
      <w:pPr>
        <w:numPr>
          <w:ilvl w:val="1"/>
          <w:numId w:val="1"/>
        </w:numPr>
        <w:ind w:left="1440" w:hanging="360"/>
        <w:rPr>
          <w:sz w:val="20"/>
          <w:szCs w:val="20"/>
        </w:rPr>
      </w:pPr>
      <w:hyperlink r:id="rId7">
        <w:r w:rsidDel="00000000" w:rsidR="00000000" w:rsidRPr="00000000">
          <w:rPr>
            <w:color w:val="1155cc"/>
            <w:sz w:val="20"/>
            <w:szCs w:val="20"/>
            <w:u w:val="single"/>
            <w:rtl w:val="0"/>
          </w:rPr>
          <w:t xml:space="preserve">Minet</w:t>
        </w:r>
      </w:hyperlink>
      <w:r w:rsidDel="00000000" w:rsidR="00000000" w:rsidRPr="00000000">
        <w:rPr>
          <w:rtl w:val="0"/>
        </w:rPr>
      </w:r>
    </w:p>
    <w:p w:rsidR="00000000" w:rsidDel="00000000" w:rsidP="00000000" w:rsidRDefault="00000000" w:rsidRPr="00000000" w14:paraId="0000000E">
      <w:pPr>
        <w:numPr>
          <w:ilvl w:val="0"/>
          <w:numId w:val="1"/>
        </w:numPr>
        <w:ind w:left="720" w:hanging="360"/>
        <w:rPr>
          <w:sz w:val="20"/>
          <w:szCs w:val="20"/>
        </w:rPr>
      </w:pPr>
      <w:r w:rsidDel="00000000" w:rsidR="00000000" w:rsidRPr="00000000">
        <w:rPr>
          <w:sz w:val="20"/>
          <w:szCs w:val="20"/>
          <w:rtl w:val="0"/>
        </w:rPr>
        <w:t xml:space="preserve">Gus:</w:t>
      </w:r>
    </w:p>
    <w:p w:rsidR="00000000" w:rsidDel="00000000" w:rsidP="00000000" w:rsidRDefault="00000000" w:rsidRPr="00000000" w14:paraId="0000000F">
      <w:pPr>
        <w:numPr>
          <w:ilvl w:val="1"/>
          <w:numId w:val="1"/>
        </w:numPr>
        <w:ind w:left="1440" w:hanging="360"/>
        <w:rPr>
          <w:sz w:val="20"/>
          <w:szCs w:val="20"/>
        </w:rPr>
      </w:pPr>
      <w:hyperlink r:id="rId8">
        <w:r w:rsidDel="00000000" w:rsidR="00000000" w:rsidRPr="00000000">
          <w:rPr>
            <w:color w:val="1155cc"/>
            <w:sz w:val="20"/>
            <w:szCs w:val="20"/>
            <w:u w:val="single"/>
            <w:rtl w:val="0"/>
          </w:rPr>
          <w:t xml:space="preserve">TIGRESS</w:t>
        </w:r>
      </w:hyperlink>
      <w:r w:rsidDel="00000000" w:rsidR="00000000" w:rsidRPr="00000000">
        <w:rPr>
          <w:rtl w:val="0"/>
        </w:rPr>
      </w:r>
    </w:p>
    <w:p w:rsidR="00000000" w:rsidDel="00000000" w:rsidP="00000000" w:rsidRDefault="00000000" w:rsidRPr="00000000" w14:paraId="00000010">
      <w:pPr>
        <w:numPr>
          <w:ilvl w:val="1"/>
          <w:numId w:val="1"/>
        </w:numPr>
        <w:ind w:left="1440" w:hanging="360"/>
        <w:rPr>
          <w:sz w:val="20"/>
          <w:szCs w:val="20"/>
        </w:rPr>
      </w:pPr>
      <w:hyperlink r:id="rId9">
        <w:r w:rsidDel="00000000" w:rsidR="00000000" w:rsidRPr="00000000">
          <w:rPr>
            <w:color w:val="1155cc"/>
            <w:sz w:val="20"/>
            <w:szCs w:val="20"/>
            <w:u w:val="single"/>
            <w:rtl w:val="0"/>
          </w:rPr>
          <w:t xml:space="preserve">pandaR</w:t>
        </w:r>
      </w:hyperlink>
      <w:r w:rsidDel="00000000" w:rsidR="00000000" w:rsidRPr="00000000">
        <w:rPr>
          <w:rtl w:val="0"/>
        </w:rPr>
      </w:r>
    </w:p>
    <w:p w:rsidR="00000000" w:rsidDel="00000000" w:rsidP="00000000" w:rsidRDefault="00000000" w:rsidRPr="00000000" w14:paraId="00000011">
      <w:pPr>
        <w:numPr>
          <w:ilvl w:val="1"/>
          <w:numId w:val="1"/>
        </w:numPr>
        <w:ind w:left="1440" w:hanging="360"/>
        <w:rPr>
          <w:sz w:val="20"/>
          <w:szCs w:val="20"/>
        </w:rPr>
      </w:pPr>
      <w:hyperlink r:id="rId10">
        <w:r w:rsidDel="00000000" w:rsidR="00000000" w:rsidRPr="00000000">
          <w:rPr>
            <w:color w:val="1155cc"/>
            <w:sz w:val="20"/>
            <w:szCs w:val="20"/>
            <w:u w:val="single"/>
            <w:rtl w:val="0"/>
          </w:rPr>
          <w:t xml:space="preserve">PIDC</w:t>
        </w:r>
      </w:hyperlink>
      <w:r w:rsidDel="00000000" w:rsidR="00000000" w:rsidRPr="00000000">
        <w:rPr>
          <w:rtl w:val="0"/>
        </w:rPr>
      </w:r>
    </w:p>
    <w:p w:rsidR="00000000" w:rsidDel="00000000" w:rsidP="00000000" w:rsidRDefault="00000000" w:rsidRPr="00000000" w14:paraId="00000012">
      <w:pPr>
        <w:ind w:left="720" w:firstLine="0"/>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The tools listed above are neither definitive nor complete at this time. At the project’s conclusion, we will be able to present an assessment of different modules as follows:</w:t>
      </w:r>
    </w:p>
    <w:p w:rsidR="00000000" w:rsidDel="00000000" w:rsidP="00000000" w:rsidRDefault="00000000" w:rsidRPr="00000000" w14:paraId="00000014">
      <w:pPr>
        <w:ind w:left="720" w:firstLine="0"/>
        <w:rPr>
          <w:sz w:val="20"/>
          <w:szCs w:val="20"/>
        </w:rPr>
      </w:pPr>
      <w:r w:rsidDel="00000000" w:rsidR="00000000" w:rsidRPr="00000000">
        <w:rPr>
          <w:sz w:val="20"/>
          <w:szCs w:val="20"/>
          <w:rtl w:val="0"/>
        </w:rPr>
        <w:t xml:space="preserve">“First we tried (xyz), which had (effect) on the data. (showcase method, then results). We saw (observation; comparison to GRNBoost2 algorithm). After this, we decided to try (abc)...” </w:t>
      </w:r>
    </w:p>
    <w:p w:rsidR="00000000" w:rsidDel="00000000" w:rsidP="00000000" w:rsidRDefault="00000000" w:rsidRPr="00000000" w14:paraId="00000015">
      <w:pPr>
        <w:rPr>
          <w:b w:val="1"/>
          <w:bCs w:val="1"/>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b w:val="1"/>
          <w:bCs w:val="1"/>
          <w:sz w:val="20"/>
          <w:szCs w:val="20"/>
          <w:rtl w:val="0"/>
        </w:rPr>
        <w:t xml:space="preserve">Division of Labor</w:t>
      </w:r>
      <w:r w:rsidDel="00000000" w:rsidR="00000000" w:rsidRPr="00000000">
        <w:rPr>
          <w:sz w:val="20"/>
          <w:szCs w:val="20"/>
          <w:rtl w:val="0"/>
        </w:rPr>
        <w:t xml:space="preserve">:</w:t>
      </w:r>
    </w:p>
    <w:p w:rsidR="00000000" w:rsidDel="00000000" w:rsidP="00000000" w:rsidRDefault="00000000" w:rsidRPr="00000000" w14:paraId="00000017">
      <w:pPr>
        <w:numPr>
          <w:ilvl w:val="0"/>
          <w:numId w:val="2"/>
        </w:numPr>
        <w:ind w:left="720" w:hanging="360"/>
        <w:rPr>
          <w:sz w:val="20"/>
          <w:szCs w:val="20"/>
        </w:rPr>
      </w:pPr>
      <w:r w:rsidDel="00000000" w:rsidR="00000000" w:rsidRPr="00000000">
        <w:rPr>
          <w:sz w:val="20"/>
          <w:szCs w:val="20"/>
          <w:rtl w:val="0"/>
        </w:rPr>
        <w:t xml:space="preserve">Caleb -</w:t>
      </w:r>
      <w:r w:rsidDel="00000000" w:rsidR="00000000" w:rsidRPr="00000000">
        <w:rPr>
          <w:sz w:val="20"/>
          <w:szCs w:val="20"/>
          <w:rtl w:val="0"/>
        </w:rPr>
        <w:t xml:space="preserve"> (Evaluation Metrics &amp; Baseline Results): This member will configure the data scripts for the log-normalized data matrices. They will also execute the baseline GRNBoost2 results to establish our initial benchmarks and assist with the Methods section of the final report.</w:t>
      </w:r>
      <w:r w:rsidDel="00000000" w:rsidR="00000000" w:rsidRPr="00000000">
        <w:rPr>
          <w:sz w:val="20"/>
          <w:szCs w:val="20"/>
          <w:rtl w:val="0"/>
        </w:rPr>
        <w:t xml:space="preserve"> Will complete the introductory portion of the report as well.</w:t>
      </w:r>
    </w:p>
    <w:p w:rsidR="00000000" w:rsidDel="00000000" w:rsidP="00000000" w:rsidRDefault="00000000" w:rsidRPr="00000000" w14:paraId="00000018">
      <w:pPr>
        <w:ind w:left="0" w:firstLine="0"/>
        <w:rPr>
          <w:sz w:val="20"/>
          <w:szCs w:val="20"/>
        </w:rPr>
      </w:pPr>
      <w:r w:rsidDel="00000000" w:rsidR="00000000" w:rsidRPr="00000000">
        <w:rPr>
          <w:rtl w:val="0"/>
        </w:rPr>
      </w:r>
    </w:p>
    <w:p w:rsidR="00000000" w:rsidDel="00000000" w:rsidP="00000000" w:rsidRDefault="00000000" w:rsidRPr="00000000" w14:paraId="00000019">
      <w:pPr>
        <w:numPr>
          <w:ilvl w:val="0"/>
          <w:numId w:val="2"/>
        </w:numPr>
        <w:ind w:left="720" w:hanging="360"/>
        <w:rPr>
          <w:sz w:val="20"/>
          <w:szCs w:val="20"/>
        </w:rPr>
      </w:pPr>
      <w:r w:rsidDel="00000000" w:rsidR="00000000" w:rsidRPr="00000000">
        <w:rPr>
          <w:sz w:val="20"/>
          <w:szCs w:val="20"/>
          <w:rtl w:val="0"/>
        </w:rPr>
        <w:t xml:space="preserve">David - (VIPER Integration): This member will handle the programmatic translation between the new predictive models and the evaluation metrics. They will write the necessary wrapper functions to pass different model outputs into the VIPER evaluation, ensuring the final deliverable matches the exact score.viper signature required by the prompt. They will take the lead on assembling the performance comparisons between the various GRN inference techniques and structuring and editing the Final Group Report to ensure it contains all required sections.</w:t>
      </w:r>
    </w:p>
    <w:p w:rsidR="00000000" w:rsidDel="00000000" w:rsidP="00000000" w:rsidRDefault="00000000" w:rsidRPr="00000000" w14:paraId="0000001A">
      <w:pPr>
        <w:ind w:left="0" w:firstLine="0"/>
        <w:rPr>
          <w:sz w:val="20"/>
          <w:szCs w:val="20"/>
        </w:rPr>
      </w:pPr>
      <w:r w:rsidDel="00000000" w:rsidR="00000000" w:rsidRPr="00000000">
        <w:rPr>
          <w:rtl w:val="0"/>
        </w:rPr>
      </w:r>
    </w:p>
    <w:p w:rsidR="00000000" w:rsidDel="00000000" w:rsidP="00000000" w:rsidRDefault="00000000" w:rsidRPr="00000000" w14:paraId="0000001B">
      <w:pPr>
        <w:numPr>
          <w:ilvl w:val="0"/>
          <w:numId w:val="2"/>
        </w:numPr>
        <w:ind w:left="720" w:hanging="360"/>
        <w:rPr>
          <w:sz w:val="20"/>
          <w:szCs w:val="20"/>
        </w:rPr>
      </w:pPr>
      <w:r w:rsidDel="00000000" w:rsidR="00000000" w:rsidRPr="00000000">
        <w:rPr>
          <w:sz w:val="20"/>
          <w:szCs w:val="20"/>
          <w:rtl w:val="0"/>
        </w:rPr>
        <w:t xml:space="preserve">Brandon Crosthwait: This member will independently implement and tune alternative network inference packages, such as GENIE3 and Minet, to find TFs  with higher accuracy than the baseline. They will also be responsible for assembling the slides and coordinating the final recorded presentation.</w:t>
      </w:r>
    </w:p>
    <w:p w:rsidR="00000000" w:rsidDel="00000000" w:rsidP="00000000" w:rsidRDefault="00000000" w:rsidRPr="00000000" w14:paraId="0000001C">
      <w:pPr>
        <w:ind w:left="0" w:firstLine="0"/>
        <w:rPr>
          <w:sz w:val="20"/>
          <w:szCs w:val="20"/>
        </w:rPr>
      </w:pPr>
      <w:r w:rsidDel="00000000" w:rsidR="00000000" w:rsidRPr="00000000">
        <w:rPr>
          <w:rtl w:val="0"/>
        </w:rPr>
      </w:r>
    </w:p>
    <w:p w:rsidR="00000000" w:rsidDel="00000000" w:rsidP="00000000" w:rsidRDefault="00000000" w:rsidRPr="00000000" w14:paraId="0000001D">
      <w:pPr>
        <w:numPr>
          <w:ilvl w:val="0"/>
          <w:numId w:val="2"/>
        </w:numPr>
        <w:ind w:left="720" w:hanging="360"/>
        <w:rPr>
          <w:sz w:val="20"/>
          <w:szCs w:val="20"/>
        </w:rPr>
      </w:pPr>
      <w:r w:rsidDel="00000000" w:rsidR="00000000" w:rsidRPr="00000000">
        <w:rPr>
          <w:sz w:val="20"/>
          <w:szCs w:val="20"/>
          <w:rtl w:val="0"/>
        </w:rPr>
        <w:t xml:space="preserve">Gus Kiritz: This member will independently develop predictive models using distinct algorithmic approaches, such as TIGRESS and pandaR, or PIDC, to find TFs with higher accuracy than the baseline. They will also take the lead on finalizing the Code and Documentation deliverable.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mc.ncbi.nlm.nih.gov/articles/PMC5624513/" TargetMode="External"/><Relationship Id="rId9" Type="http://schemas.openxmlformats.org/officeDocument/2006/relationships/hyperlink" Target="https://www.bioconductor.org/packages/release/bioc/html/pandaR.html" TargetMode="External"/><Relationship Id="rId5" Type="http://schemas.openxmlformats.org/officeDocument/2006/relationships/styles" Target="styles.xml"/><Relationship Id="rId6" Type="http://schemas.openxmlformats.org/officeDocument/2006/relationships/hyperlink" Target="https://bioconductor.org/packages/release/bioc/html/GENIE3.html" TargetMode="External"/><Relationship Id="rId7" Type="http://schemas.openxmlformats.org/officeDocument/2006/relationships/hyperlink" Target="https://www.bioconductor.org/packages/release/bioc/html/minet.html" TargetMode="External"/><Relationship Id="rId8" Type="http://schemas.openxmlformats.org/officeDocument/2006/relationships/hyperlink" Target="https://github.com/jpvert/tig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