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BBF8" w14:textId="77777777" w:rsidR="00DE48E2" w:rsidRDefault="00000000">
      <w:r>
        <w:t xml:space="preserve">We will be using WT </w:t>
      </w:r>
      <w:proofErr w:type="spellStart"/>
      <w:r>
        <w:t>multiome</w:t>
      </w:r>
      <w:proofErr w:type="spellEnd"/>
      <w:r>
        <w:t xml:space="preserve"> and WT and TF/KO </w:t>
      </w:r>
      <w:proofErr w:type="spellStart"/>
      <w:r>
        <w:t>scRNA</w:t>
      </w:r>
      <w:proofErr w:type="spellEnd"/>
      <w:r>
        <w:t xml:space="preserve">-seq data from the manuscript </w:t>
      </w:r>
      <w:hyperlink r:id="rId4">
        <w:r>
          <w:rPr>
            <w:color w:val="1155CC"/>
            <w:u w:val="single"/>
          </w:rPr>
          <w:t>Single-cell brain organoid screening identified developmental defects in autism</w:t>
        </w:r>
      </w:hyperlink>
      <w:r>
        <w:t xml:space="preserve"> by Li, </w:t>
      </w:r>
      <w:r>
        <w:rPr>
          <w:i/>
          <w:iCs/>
        </w:rPr>
        <w:t>et al</w:t>
      </w:r>
      <w:r>
        <w:t xml:space="preserve">. The authors developed an experimental system for perturbing genes and then profiling the resulting perturbed (and WT!) cells using </w:t>
      </w:r>
      <w:proofErr w:type="spellStart"/>
      <w:r>
        <w:t>scRNA</w:t>
      </w:r>
      <w:proofErr w:type="spellEnd"/>
      <w:r>
        <w:t xml:space="preserve">-seq. They call their system CHOOSE – CRISPR-human organoids-single-cell RNA sequencing. They apply it to 36 high-risk autism spectrum disorder genes, including 14 TFs, within 8 cell types arising during neuronal development. </w:t>
      </w:r>
    </w:p>
    <w:p w14:paraId="7CD3BBF9" w14:textId="77777777" w:rsidR="00DE48E2" w:rsidRDefault="00DE48E2"/>
    <w:p w14:paraId="7CD3BBFA" w14:textId="77777777" w:rsidR="00DE48E2" w:rsidRDefault="00000000">
      <w:r>
        <w:t xml:space="preserve">CRISPR-Cas9 is an enzyme that occurs naturally in the bacterial immune system and has the ability to cut DNA. It is localized to an individual target gene by a guide RNA (gRNA) that is complementary to that target’s DNA. Once bound to DNA, the Cas9 nuclease cuts the DNA, thus disrupting the gene function. </w:t>
      </w:r>
    </w:p>
    <w:p w14:paraId="7CD3BBFB" w14:textId="77777777" w:rsidR="00DE48E2" w:rsidRDefault="00DE48E2"/>
    <w:p w14:paraId="7CD3BBFC" w14:textId="4E6D7517" w:rsidR="00DE48E2" w:rsidRDefault="00000000">
      <w:r>
        <w:t xml:space="preserve">The experiment is a “screen” – it utilizes a pool of gRNAs targeting the 36 genes. These are delivered to cells via a “lentiviral” vector, each of which both activates (“induces”) the Cas9 machinery and provides a pair of gRNAs targeting a single gene. The experiment uses a low vector infection rate with the aim of introducing at most a single pair of gRNAs per cell. </w:t>
      </w:r>
      <w:proofErr w:type="spellStart"/>
      <w:r>
        <w:t>scRNA</w:t>
      </w:r>
      <w:proofErr w:type="spellEnd"/>
      <w:r>
        <w:t xml:space="preserve">-seq then provides a readout of gRNAs within the cell, which allows us to infer which gene (if any) was targeted in the cell. This screening approach is scalable and efficient. On the other hand, it </w:t>
      </w:r>
      <w:r w:rsidR="00E469DC">
        <w:t>cannot</w:t>
      </w:r>
      <w:r>
        <w:t xml:space="preserve"> guarantee that the gene was actually perturbed (despite the presence of the targeting gRNA) nor can it guarantee that both copies of the gene (on autosomal chromosomes) are disrupted – that is, the induced mutation may be hetero- rather than homo-</w:t>
      </w:r>
      <w:proofErr w:type="spellStart"/>
      <w:r>
        <w:t>zygous</w:t>
      </w:r>
      <w:proofErr w:type="spellEnd"/>
      <w:r>
        <w:t xml:space="preserve">. Partly motivated by these concerns, we suggest evaluating your approach on a small subset of TF targets and cell types (as described in Evaluation metrics below). </w:t>
      </w:r>
    </w:p>
    <w:p w14:paraId="7CD3BBFD" w14:textId="77777777" w:rsidR="00DE48E2" w:rsidRDefault="00DE48E2"/>
    <w:p w14:paraId="7CD3BBFE" w14:textId="77777777" w:rsidR="00DE48E2" w:rsidRDefault="00000000">
      <w:r>
        <w:t xml:space="preserve">We are only providing the expression component of the WT </w:t>
      </w:r>
      <w:proofErr w:type="spellStart"/>
      <w:r>
        <w:t>multiome</w:t>
      </w:r>
      <w:proofErr w:type="spellEnd"/>
      <w:r>
        <w:t xml:space="preserve"> data. Those data should be used to develop your approach. They are in the CHOOSE-</w:t>
      </w:r>
      <w:proofErr w:type="spellStart"/>
      <w:r>
        <w:t>multiome</w:t>
      </w:r>
      <w:proofErr w:type="spellEnd"/>
      <w:r>
        <w:t xml:space="preserve">-expr folder of the </w:t>
      </w:r>
      <w:hyperlink r:id="rId5">
        <w:r>
          <w:rPr>
            <w:color w:val="1155CC"/>
            <w:u w:val="single"/>
          </w:rPr>
          <w:t>Data folder</w:t>
        </w:r>
      </w:hyperlink>
      <w:r>
        <w:t xml:space="preserve"> on Drive, with metadata in </w:t>
      </w:r>
      <w:hyperlink r:id="rId6">
        <w:r>
          <w:rPr>
            <w:color w:val="1155CC"/>
            <w:u w:val="single"/>
          </w:rPr>
          <w:t>CHOOSE-multiome-wt-metadata.csv</w:t>
        </w:r>
      </w:hyperlink>
      <w:r>
        <w:t xml:space="preserve"> and the expression data matrix in </w:t>
      </w:r>
      <w:hyperlink r:id="rId7">
        <w:r>
          <w:rPr>
            <w:color w:val="1155CC"/>
            <w:u w:val="single"/>
          </w:rPr>
          <w:t>CHOOSE-multiome-wt-log-norm.csv.gz</w:t>
        </w:r>
      </w:hyperlink>
      <w:r>
        <w:t xml:space="preserve">. </w:t>
      </w:r>
    </w:p>
    <w:p w14:paraId="7CD3BBFF" w14:textId="77777777" w:rsidR="00DE48E2" w:rsidRDefault="00DE48E2"/>
    <w:p w14:paraId="7CD3BC00" w14:textId="77777777" w:rsidR="00DE48E2" w:rsidRDefault="00000000">
      <w:r>
        <w:t xml:space="preserve">Each row of the metadata corresponds to a cell, with its cell id the row name. These cell ids are the column names of the data matrix. The cell type is provided in the </w:t>
      </w:r>
      <w:proofErr w:type="spellStart"/>
      <w:r>
        <w:rPr>
          <w:rFonts w:ascii="Courier New" w:eastAsia="Courier New" w:hAnsi="Courier New" w:cs="Courier New"/>
        </w:rPr>
        <w:t>celltype_jf</w:t>
      </w:r>
      <w:proofErr w:type="spellEnd"/>
      <w:r>
        <w:t xml:space="preserve"> column. The data are log-normalized – i.e., we applied </w:t>
      </w:r>
      <w:proofErr w:type="spellStart"/>
      <w:r>
        <w:rPr>
          <w:rFonts w:ascii="Courier New" w:eastAsia="Courier New" w:hAnsi="Courier New" w:cs="Courier New"/>
        </w:rPr>
        <w:t>NormalizeData</w:t>
      </w:r>
      <w:proofErr w:type="spellEnd"/>
      <w:r>
        <w:rPr>
          <w:rFonts w:ascii="Courier New" w:eastAsia="Courier New" w:hAnsi="Courier New" w:cs="Courier New"/>
        </w:rPr>
        <w:t>(</w:t>
      </w:r>
      <w:proofErr w:type="spellStart"/>
      <w:r>
        <w:rPr>
          <w:rFonts w:ascii="Courier New" w:eastAsia="Courier New" w:hAnsi="Courier New" w:cs="Courier New"/>
        </w:rPr>
        <w:t>normalization.method</w:t>
      </w:r>
      <w:proofErr w:type="spellEnd"/>
      <w:r>
        <w:rPr>
          <w:rFonts w:ascii="Courier New" w:eastAsia="Courier New" w:hAnsi="Courier New" w:cs="Courier New"/>
        </w:rPr>
        <w:t xml:space="preserve"> = “</w:t>
      </w:r>
      <w:proofErr w:type="spellStart"/>
      <w:r>
        <w:rPr>
          <w:rFonts w:ascii="Courier New" w:eastAsia="Courier New" w:hAnsi="Courier New" w:cs="Courier New"/>
        </w:rPr>
        <w:t>LogNormalize</w:t>
      </w:r>
      <w:proofErr w:type="spellEnd"/>
      <w:r>
        <w:rPr>
          <w:rFonts w:ascii="Courier New" w:eastAsia="Courier New" w:hAnsi="Courier New" w:cs="Courier New"/>
        </w:rPr>
        <w:t xml:space="preserve">”, </w:t>
      </w:r>
      <w:proofErr w:type="spellStart"/>
      <w:r>
        <w:rPr>
          <w:rFonts w:ascii="Courier New" w:eastAsia="Courier New" w:hAnsi="Courier New" w:cs="Courier New"/>
        </w:rPr>
        <w:t>scale.factor</w:t>
      </w:r>
      <w:proofErr w:type="spellEnd"/>
      <w:r>
        <w:rPr>
          <w:rFonts w:ascii="Courier New" w:eastAsia="Courier New" w:hAnsi="Courier New" w:cs="Courier New"/>
        </w:rPr>
        <w:t>=10000)</w:t>
      </w:r>
      <w:r>
        <w:t xml:space="preserve"> which divides the gene (or “feature”) count of each cell by the total counts for that cell, multiplies it by 10,000, and finally adds one and natural log transforms (</w:t>
      </w:r>
      <w:r>
        <w:rPr>
          <w:rFonts w:ascii="Courier New" w:eastAsia="Courier New" w:hAnsi="Courier New" w:cs="Courier New"/>
        </w:rPr>
        <w:t>log1p</w:t>
      </w:r>
      <w:r>
        <w:t xml:space="preserve">). We suggest using </w:t>
      </w:r>
      <w:proofErr w:type="spellStart"/>
      <w:r>
        <w:rPr>
          <w:rFonts w:ascii="Courier New" w:eastAsia="Courier New" w:hAnsi="Courier New" w:cs="Courier New"/>
        </w:rPr>
        <w:t>fread</w:t>
      </w:r>
      <w:proofErr w:type="spellEnd"/>
      <w:r>
        <w:t xml:space="preserve"> from the </w:t>
      </w:r>
      <w:proofErr w:type="spellStart"/>
      <w:r>
        <w:rPr>
          <w:rFonts w:ascii="Courier New" w:eastAsia="Courier New" w:hAnsi="Courier New" w:cs="Courier New"/>
        </w:rPr>
        <w:t>data.table</w:t>
      </w:r>
      <w:proofErr w:type="spellEnd"/>
      <w:r>
        <w:t xml:space="preserve"> R package for reading large expression matrices.</w:t>
      </w:r>
    </w:p>
    <w:p w14:paraId="7CD3BC01" w14:textId="77777777" w:rsidR="00DE48E2" w:rsidRDefault="00DE48E2"/>
    <w:p w14:paraId="7CD3BC02" w14:textId="68264957" w:rsidR="00DE48E2" w:rsidRDefault="00000000">
      <w:r>
        <w:t xml:space="preserve">Once you have developed your approach, you can apply the evaluation metric (see below) to the WT and TF KO </w:t>
      </w:r>
      <w:proofErr w:type="spellStart"/>
      <w:r>
        <w:t>scRNA</w:t>
      </w:r>
      <w:proofErr w:type="spellEnd"/>
      <w:r>
        <w:t>-seq data to see how it performs. Those data are in the CHOOSE-</w:t>
      </w:r>
      <w:proofErr w:type="spellStart"/>
      <w:r>
        <w:t>scRNA</w:t>
      </w:r>
      <w:proofErr w:type="spellEnd"/>
      <w:r>
        <w:t xml:space="preserve">-seq subfolder of the Data folder, with metadata in </w:t>
      </w:r>
      <w:hyperlink r:id="rId8">
        <w:r>
          <w:rPr>
            <w:color w:val="1155CC"/>
            <w:u w:val="single"/>
          </w:rPr>
          <w:t>CHOOSE-sc-wt-and-tf-metadata.csv</w:t>
        </w:r>
      </w:hyperlink>
      <w:r>
        <w:t xml:space="preserve"> and the expression data matrix in </w:t>
      </w:r>
      <w:hyperlink r:id="rId9">
        <w:r>
          <w:rPr>
            <w:color w:val="1155CC"/>
            <w:u w:val="single"/>
          </w:rPr>
          <w:t>CHOOSE-sc-wt-and-tf-log-norm.csv.gz</w:t>
        </w:r>
      </w:hyperlink>
      <w:r>
        <w:t xml:space="preserve">. The metadata and data are formatted and normalized as the </w:t>
      </w:r>
      <w:proofErr w:type="spellStart"/>
      <w:r>
        <w:t>mult</w:t>
      </w:r>
      <w:r w:rsidR="00E469DC">
        <w:t>i</w:t>
      </w:r>
      <w:r>
        <w:t>ome</w:t>
      </w:r>
      <w:proofErr w:type="spellEnd"/>
      <w:r>
        <w:t xml:space="preserve"> data above, with the one important exception that these data include TF KOs, which are indicated in the </w:t>
      </w:r>
      <w:proofErr w:type="spellStart"/>
      <w:r>
        <w:rPr>
          <w:rFonts w:ascii="Courier New" w:eastAsia="Courier New" w:hAnsi="Courier New" w:cs="Courier New"/>
        </w:rPr>
        <w:t>gRNA_perturb</w:t>
      </w:r>
      <w:proofErr w:type="spellEnd"/>
      <w:r>
        <w:t xml:space="preserve"> column of </w:t>
      </w:r>
      <w:r>
        <w:lastRenderedPageBreak/>
        <w:t xml:space="preserve">the metadata. </w:t>
      </w:r>
      <w:proofErr w:type="spellStart"/>
      <w:r>
        <w:rPr>
          <w:rFonts w:ascii="Courier New" w:eastAsia="Courier New" w:hAnsi="Courier New" w:cs="Courier New"/>
        </w:rPr>
        <w:t>gRNA_perturb</w:t>
      </w:r>
      <w:proofErr w:type="spellEnd"/>
      <w:r>
        <w:t xml:space="preserve"> is </w:t>
      </w:r>
      <w:r>
        <w:rPr>
          <w:rFonts w:ascii="Courier New" w:eastAsia="Courier New" w:hAnsi="Courier New" w:cs="Courier New"/>
        </w:rPr>
        <w:t>CTRL</w:t>
      </w:r>
      <w:r>
        <w:t xml:space="preserve"> for WT cells and otherwise is the gene symbol name of the </w:t>
      </w:r>
      <w:proofErr w:type="spellStart"/>
      <w:r>
        <w:t>KO’ed</w:t>
      </w:r>
      <w:proofErr w:type="spellEnd"/>
      <w:r>
        <w:t xml:space="preserve"> TF.</w:t>
      </w:r>
    </w:p>
    <w:p w14:paraId="7CD3BC03" w14:textId="77777777" w:rsidR="00DE48E2" w:rsidRDefault="00DE48E2"/>
    <w:sectPr w:rsidR="00DE48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97752B9-18C8-4DE2-88C8-A0756BADE7F0}"/>
  </w:font>
  <w:font w:name="Cambria">
    <w:panose1 w:val="02040503050406030204"/>
    <w:charset w:val="00"/>
    <w:family w:val="roman"/>
    <w:pitch w:val="variable"/>
    <w:sig w:usb0="E00006FF" w:usb1="420024FF" w:usb2="02000000" w:usb3="00000000" w:csb0="0000019F" w:csb1="00000000"/>
    <w:embedRegular r:id="rId2" w:fontKey="{635F9CB6-4CC4-4B9C-B7F7-8CC1EA1C9A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8E2"/>
    <w:rsid w:val="005B68BF"/>
    <w:rsid w:val="00DE48E2"/>
    <w:rsid w:val="00E46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BBF8"/>
  <w15:docId w15:val="{917398C9-1D5F-4696-B37E-5E56FD07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hZGyq4vrF0NFYgV8rDg-0P3T_gLMsNKZ/view?usp=drive_link" TargetMode="External"/><Relationship Id="rId3" Type="http://schemas.openxmlformats.org/officeDocument/2006/relationships/webSettings" Target="webSettings.xml"/><Relationship Id="rId7" Type="http://schemas.openxmlformats.org/officeDocument/2006/relationships/hyperlink" Target="https://drive.google.com/file/d/1ohEKk8S54J4rs9c8jFwRG2UATkt-KcpV/view?usp=drive_lin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kzq-TmEpCpgOff26Nm5kpMgDIGYdrsZu/view?usp=drive_link" TargetMode="External"/><Relationship Id="rId11" Type="http://schemas.openxmlformats.org/officeDocument/2006/relationships/theme" Target="theme/theme1.xml"/><Relationship Id="rId5" Type="http://schemas.openxmlformats.org/officeDocument/2006/relationships/hyperlink" Target="https://drive.google.com/drive/folders/12tt1rCTQtdDrb04PAOcDoRwOHgb1kd28?usp=drive_link" TargetMode="External"/><Relationship Id="rId10" Type="http://schemas.openxmlformats.org/officeDocument/2006/relationships/fontTable" Target="fontTable.xml"/><Relationship Id="rId4" Type="http://schemas.openxmlformats.org/officeDocument/2006/relationships/hyperlink" Target="https://pubmed.ncbi.nlm.nih.gov/37704762/" TargetMode="External"/><Relationship Id="rId9" Type="http://schemas.openxmlformats.org/officeDocument/2006/relationships/hyperlink" Target="https://drive.google.com/file/d/1zV9nLBx5krEL95SUOb1h064UV979Egqx/view?usp=drive_lin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3327</Characters>
  <Application>Microsoft Office Word</Application>
  <DocSecurity>0</DocSecurity>
  <Lines>53</Lines>
  <Paragraphs>8</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Woolston, David W</cp:lastModifiedBy>
  <cp:revision>2</cp:revision>
  <dcterms:created xsi:type="dcterms:W3CDTF">2026-03-08T01:00:00Z</dcterms:created>
  <dcterms:modified xsi:type="dcterms:W3CDTF">2026-03-08T01:01:00Z</dcterms:modified>
</cp:coreProperties>
</file>