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Direct Thiaminase Measurement Method</w:t>
      </w:r>
    </w:p>
    <w:p>
      <w:pPr>
        <w:pStyle w:val="Author"/>
      </w:pPr>
      <w:r>
        <w:t xml:space="preserve">Drew Porter</w:t>
      </w:r>
    </w:p>
    <w:p>
      <w:pPr>
        <w:pStyle w:val="Author"/>
      </w:pPr>
      <w:r>
        <w:t xml:space="preserve">Cody Pinger</w:t>
      </w:r>
    </w:p>
    <w:p>
      <w:pPr>
        <w:pStyle w:val="Date"/>
      </w:pPr>
      <w:r>
        <w:t xml:space="preserve">2025-03-13</w:t>
      </w:r>
    </w:p>
    <w:p>
      <w:pPr>
        <w:pStyle w:val="AbstractTitle"/>
      </w:pPr>
      <w:r>
        <w:t xml:space="preserve">Abstract</w:t>
      </w:r>
    </w:p>
    <w:p>
      <w:pPr>
        <w:pStyle w:val="Abstract"/>
      </w:pPr>
      <w:r>
        <w:t xml:space="preserve">Lorem ipsum odor amet, consectetuer adipiscing elit. Mattis torquent convallis platea consequat dictumst. Cubilia vitae imperdiet netus nisi aliquam pharetra imperdiet. Ligula eros aliquam fames morbi sed, conubia parturient. Semper nascetur mollis, finibus in integer morbi. Orci a montes mauris inceptos urna.</w:t>
      </w:r>
    </w:p>
    <w:bookmarkStart w:id="21" w:name="introduction"/>
    <w:p>
      <w:pPr>
        <w:pStyle w:val="Heading2"/>
      </w:pPr>
      <w:r>
        <w:t xml:space="preserve">1 Introduction</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The ten minute detection limit was 4.95 nmol g</w:t>
      </w:r>
      <m:oMath>
        <m:sSup>
          <m:e>
            <m:r>
              <m:t>​</m:t>
            </m:r>
          </m:e>
          <m:sup>
            <m:r>
              <m:rPr>
                <m:sty m:val="p"/>
              </m:rPr>
              <m:t>−</m:t>
            </m:r>
            <m:r>
              <m:t>1</m:t>
            </m:r>
          </m:sup>
        </m:sSup>
      </m:oMath>
      <w:r>
        <w:t xml:space="preserve"> </w:t>
      </w:r>
      <w:r>
        <w:t xml:space="preserve">min</w:t>
      </w:r>
      <m:oMath>
        <m:sSup>
          <m:e>
            <m:r>
              <m:t>​</m:t>
            </m:r>
          </m:e>
          <m:sup>
            <m:r>
              <m:rPr>
                <m:sty m:val="p"/>
              </m:rPr>
              <m:t>−</m:t>
            </m:r>
            <m:r>
              <m:t>1</m:t>
            </m:r>
          </m:sup>
        </m:sSup>
      </m:oMath>
    </w:p>
    <w:p>
      <w:pPr>
        <w:pStyle w:val="BodyText"/>
      </w:pPr>
      <w:r>
        <w:t xml:space="preserve">The thirty minute detection limit was 1.65</w:t>
      </w:r>
    </w:p>
    <w:bookmarkEnd w:id="21"/>
    <w:bookmarkStart w:id="36" w:name="methods"/>
    <w:p>
      <w:pPr>
        <w:pStyle w:val="Heading2"/>
      </w:pPr>
      <w:r>
        <w:t xml:space="preserve">2 Methods</w:t>
      </w:r>
    </w:p>
    <w:tbl>
      <w:tblPr>
        <w:tblStyle w:val="Table"/>
        <w:tblW w:type="pct" w:w="5000"/>
        <w:tblLayout w:type="fixed"/>
        <w:tblLook w:firstRow="0" w:lastRow="0" w:firstColumn="0" w:lastColumn="0" w:noHBand="0" w:noVBand="0" w:val="0000"/>
      </w:tblPr>
      <w:tblGrid>
        <w:gridCol w:w="7920"/>
      </w:tblGrid>
      <w:tr>
        <w:tc>
          <w:tcPr/>
          <w:bookmarkStart w:id="25" w:name="fig-lod-boxplot"/>
          <w:p>
            <w:pPr>
              <w:pStyle w:val="Compact"/>
              <w:jc w:val="center"/>
            </w:pPr>
            <w:r>
              <w:drawing>
                <wp:inline>
                  <wp:extent cx="5334000" cy="3810000"/>
                  <wp:effectExtent b="0" l="0" r="0" t="0"/>
                  <wp:docPr descr="" title="" id="23" name="Picture"/>
                  <a:graphic>
                    <a:graphicData uri="http://schemas.openxmlformats.org/drawingml/2006/picture">
                      <pic:pic>
                        <pic:nvPicPr>
                          <pic:cNvPr descr="index_files/figure-docx/notebooks-determine-detection-limit-fig-lod-boxplot-output-1.png" id="24" name="Picture"/>
                          <pic:cNvPicPr>
                            <a:picLocks noChangeArrowheads="1" noChangeAspect="1"/>
                          </pic:cNvPicPr>
                        </pic:nvPicPr>
                        <pic:blipFill>
                          <a:blip r:embed="rId2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Thiamine concentrations in SRM 1946 before and after 30 min incubation show no significant change (paired</w:t>
            </w:r>
            <w:r>
              <w:t xml:space="preserve"> </w:t>
            </w:r>
            <w:r>
              <w:rPr>
                <w:i/>
                <w:iCs/>
              </w:rPr>
              <w:t xml:space="preserve">t</w:t>
            </w:r>
            <w:r>
              <w:t xml:space="preserve">-test,</w:t>
            </w:r>
            <w:r>
              <w:t xml:space="preserve"> </w:t>
            </w:r>
            <w:r>
              <w:rPr>
                <w:i/>
                <w:iCs/>
              </w:rPr>
              <w:t xml:space="preserve">p</w:t>
            </w:r>
            <w:r>
              <w:t xml:space="preserve"> </w:t>
            </w:r>
            <w:r>
              <w:t xml:space="preserve">= 0.36). Different shapes represent measurements from separate analysis days.</w:t>
            </w:r>
          </w:p>
          <w:bookmarkEnd w:id="25"/>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Limit of Detection</w:t>
        </w:r>
      </w:hyperlink>
    </w:p>
    <w:p>
      <w:pPr>
        <w:pStyle w:val="BodyText"/>
      </w:pPr>
      <w:r>
        <w:t xml:space="preserve">as you can see in</w:t>
      </w:r>
      <w:r>
        <w:t xml:space="preserve"> </w:t>
      </w:r>
      <w:hyperlink w:anchor="fig-lod-boxplot">
        <w:r>
          <w:rPr>
            <w:rStyle w:val="Hyperlink"/>
          </w:rPr>
          <w:t xml:space="preserve">Figure 1</w:t>
        </w:r>
      </w:hyperlink>
    </w:p>
    <w:tbl>
      <w:tblPr>
        <w:tblStyle w:val="Table"/>
        <w:tblW w:type="pct" w:w="5000"/>
        <w:tblLayout w:type="fixed"/>
        <w:tblLook w:firstRow="0" w:lastRow="0" w:firstColumn="0" w:lastColumn="0" w:noHBand="0" w:noVBand="0" w:val="0000"/>
      </w:tblPr>
      <w:tblGrid>
        <w:gridCol w:w="7920"/>
      </w:tblGrid>
      <w:tr>
        <w:tc>
          <w:tcPr/>
          <w:bookmarkStart w:id="31" w:name="fig-chromatogram-panel"/>
          <w:p>
            <w:pPr>
              <w:pStyle w:val="Compact"/>
              <w:jc w:val="center"/>
            </w:pPr>
            <w:bookmarkStart w:id="30" w:name="fig-chromatogram-panel"/>
            <w:r>
              <w:drawing>
                <wp:inline>
                  <wp:extent cx="5334000" cy="3810000"/>
                  <wp:effectExtent b="0" l="0" r="0" t="0"/>
                  <wp:docPr descr="" title="" id="28" name="Picture"/>
                  <a:graphic>
                    <a:graphicData uri="http://schemas.openxmlformats.org/drawingml/2006/picture">
                      <pic:pic>
                        <pic:nvPicPr>
                          <pic:cNvPr descr="index_files/figure-docx/notebooks-hplc_chromatogram-fig-chromatogram-panel-output-1.png" id="29" name="Picture"/>
                          <pic:cNvPicPr>
                            <a:picLocks noChangeArrowheads="1" noChangeAspect="1"/>
                          </pic:cNvPicPr>
                        </pic:nvPicPr>
                        <pic:blipFill>
                          <a:blip r:embed="rId27"/>
                          <a:stretch>
                            <a:fillRect/>
                          </a:stretch>
                        </pic:blipFill>
                        <pic:spPr bwMode="auto">
                          <a:xfrm>
                            <a:off x="0" y="0"/>
                            <a:ext cx="5334000" cy="3810000"/>
                          </a:xfrm>
                          <a:prstGeom prst="rect">
                            <a:avLst/>
                          </a:prstGeom>
                          <a:noFill/>
                          <a:ln w="9525">
                            <a:noFill/>
                            <a:headEnd/>
                            <a:tailEnd/>
                          </a:ln>
                        </pic:spPr>
                      </pic:pic>
                    </a:graphicData>
                  </a:graphic>
                </wp:inline>
              </w:drawing>
            </w:r>
            <w:bookmarkEnd w:id="30"/>
          </w:p>
          <w:p>
            <w:pPr>
              <w:jc w:val="center"/>
            </w:pPr>
            <w:pPr>
              <w:jc w:val="start"/>
              <w:spacing w:before="200"/>
              <w:pStyle w:val="ImageCaption"/>
            </w:pPr>
            <w:r>
              <w:t xml:space="preserve">Figure 2</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hplc_chromatogram</w:t>
        </w:r>
      </w:hyperlink>
    </w:p>
    <w:p>
      <w:pPr>
        <w:pStyle w:val="BodyText"/>
      </w:pPr>
      <w:bookmarkStart w:id="33" w:name="eq-direct-thiaminase"/>
      <m:oMathPara>
        <m:oMathParaPr>
          <m:jc m:val="center"/>
        </m:oMathParaPr>
        <m:oMath>
          <m:r>
            <m:rPr>
              <m:sty m:val="p"/>
            </m:rPr>
            <m:t>−</m:t>
          </m:r>
          <m:r>
            <m:t>1</m:t>
          </m:r>
          <m:r>
            <m:rPr>
              <m:sty m:val="p"/>
            </m:rPr>
            <m:t>×</m:t>
          </m:r>
          <m:f>
            <m:fPr>
              <m:type m:val="bar"/>
            </m:fPr>
            <m:num>
              <m:sSub>
                <m:e>
                  <m:r>
                    <m:rPr>
                      <m:nor/>
                      <m:sty m:val="p"/>
                    </m:rPr>
                    <m:t>nmol Thiamine</m:t>
                  </m:r>
                </m:e>
                <m:sub>
                  <m:r>
                    <m:rPr>
                      <m:nor/>
                      <m:sty m:val="p"/>
                    </m:rPr>
                    <m:t>Final</m:t>
                  </m:r>
                </m:sub>
              </m:sSub>
              <m:r>
                <m:rPr>
                  <m:sty m:val="p"/>
                </m:rPr>
                <m:t>−</m:t>
              </m:r>
              <m:sSub>
                <m:e>
                  <m:r>
                    <m:rPr>
                      <m:nor/>
                      <m:sty m:val="p"/>
                    </m:rPr>
                    <m:t>nmol Thiamine</m:t>
                  </m:r>
                </m:e>
                <m:sub>
                  <m:r>
                    <m:rPr>
                      <m:nor/>
                      <m:sty m:val="p"/>
                    </m:rPr>
                    <m:t>Initial</m:t>
                  </m:r>
                </m:sub>
              </m:sSub>
            </m:num>
            <m:den>
              <m:d>
                <m:dPr>
                  <m:begChr m:val="("/>
                  <m:endChr m:val=")"/>
                  <m:sepChr m:val=""/>
                  <m:grow/>
                </m:dPr>
                <m:e>
                  <m:sSub>
                    <m:e>
                      <m:r>
                        <m:rPr>
                          <m:nor/>
                          <m:sty m:val="p"/>
                        </m:rPr>
                        <m:t>Time</m:t>
                      </m:r>
                    </m:e>
                    <m:sub>
                      <m:r>
                        <m:rPr>
                          <m:nor/>
                          <m:sty m:val="p"/>
                        </m:rPr>
                        <m:t>Final</m:t>
                      </m:r>
                    </m:sub>
                  </m:sSub>
                  <m:r>
                    <m:rPr>
                      <m:sty m:val="p"/>
                    </m:rPr>
                    <m:t>−</m:t>
                  </m:r>
                  <m:sSub>
                    <m:e>
                      <m:r>
                        <m:rPr>
                          <m:nor/>
                          <m:sty m:val="p"/>
                        </m:rPr>
                        <m:t>Time</m:t>
                      </m:r>
                    </m:e>
                    <m:sub>
                      <m:r>
                        <m:rPr>
                          <m:nor/>
                          <m:sty m:val="p"/>
                        </m:rPr>
                        <m:t>Initial</m:t>
                      </m:r>
                    </m:sub>
                  </m:sSub>
                </m:e>
              </m:d>
              <m:r>
                <m:rPr>
                  <m:sty m:val="p"/>
                </m:rPr>
                <m:t>×</m:t>
              </m:r>
              <m:r>
                <m:t>0.01</m:t>
              </m:r>
              <m:r>
                <m:rPr>
                  <m:nor/>
                  <m:sty m:val="p"/>
                </m:rPr>
                <m:t> g Fish</m:t>
              </m:r>
            </m:den>
          </m:f>
          <m:r>
            <m:t> </m:t>
          </m:r>
          <m:r>
            <m:t>  </m:t>
          </m:r>
          <m:d>
            <m:dPr>
              <m:begChr m:val="("/>
              <m:endChr m:val=")"/>
              <m:sepChr m:val=""/>
              <m:grow/>
            </m:dPr>
            <m:e>
              <m:r>
                <m:t>1</m:t>
              </m:r>
            </m:e>
          </m:d>
        </m:oMath>
      </m:oMathPara>
      <w:bookmarkEnd w:id="33"/>
    </w:p>
    <w:p>
      <w:pPr>
        <w:pStyle w:val="FirstParagraph"/>
      </w:pPr>
      <w:bookmarkStart w:id="34" w:name="eq-michaelis-menten"/>
      <m:oMathPara>
        <m:oMathParaPr>
          <m:jc m:val="center"/>
        </m:oMathParaPr>
        <m:oMath>
          <m:r>
            <m:t>v</m:t>
          </m:r>
          <m:r>
            <m:rPr>
              <m:sty m:val="p"/>
            </m:rPr>
            <m:t>=</m:t>
          </m:r>
          <m:f>
            <m:fPr>
              <m:type m:val="bar"/>
            </m:fPr>
            <m:num>
              <m:sSub>
                <m:e>
                  <m:r>
                    <m:t>V</m:t>
                  </m:r>
                </m:e>
                <m:sub>
                  <m:r>
                    <m:t>m</m:t>
                  </m:r>
                  <m:r>
                    <m:t>a</m:t>
                  </m:r>
                  <m:r>
                    <m:t>x</m:t>
                  </m:r>
                </m:sub>
              </m:sSub>
              <m:d>
                <m:dPr>
                  <m:begChr m:val="["/>
                  <m:endChr m:val="]"/>
                  <m:sepChr m:val=""/>
                  <m:grow/>
                </m:dPr>
                <m:e>
                  <m:r>
                    <m:t>S</m:t>
                  </m:r>
                </m:e>
              </m:d>
            </m:num>
            <m:den>
              <m:sSub>
                <m:e>
                  <m:r>
                    <m:t>K</m:t>
                  </m:r>
                </m:e>
                <m:sub>
                  <m:r>
                    <m:t>m</m:t>
                  </m:r>
                </m:sub>
              </m:sSub>
              <m:r>
                <m:rPr>
                  <m:sty m:val="p"/>
                </m:rPr>
                <m:t>+</m:t>
              </m:r>
              <m:d>
                <m:dPr>
                  <m:begChr m:val="["/>
                  <m:endChr m:val="]"/>
                  <m:sepChr m:val=""/>
                  <m:grow/>
                </m:dPr>
                <m:e>
                  <m:r>
                    <m:t>S</m:t>
                  </m:r>
                </m:e>
              </m:d>
            </m:den>
          </m:f>
          <m:r>
            <m:t>  </m:t>
          </m:r>
          <m:d>
            <m:dPr>
              <m:begChr m:val="("/>
              <m:endChr m:val=")"/>
              <m:sepChr m:val=""/>
              <m:grow/>
            </m:dPr>
            <m:e>
              <m:r>
                <m:t>2</m:t>
              </m:r>
            </m:e>
          </m:d>
        </m:oMath>
      </m:oMathPara>
      <w:bookmarkEnd w:id="34"/>
    </w:p>
    <w:p>
      <w:pPr>
        <w:pStyle w:val="FirstParagraph"/>
      </w:pPr>
      <w:bookmarkStart w:id="35" w:name="eq-hills"/>
      <m:oMathPara>
        <m:oMathParaPr>
          <m:jc m:val="center"/>
        </m:oMathParaPr>
        <m:oMath>
          <m:r>
            <m:t>v</m:t>
          </m:r>
          <m:r>
            <m:rPr>
              <m:sty m:val="p"/>
            </m:rPr>
            <m:t>=</m:t>
          </m:r>
          <m:f>
            <m:fPr>
              <m:type m:val="bar"/>
            </m:fPr>
            <m:num>
              <m:sSub>
                <m:e>
                  <m:r>
                    <m:t>V</m:t>
                  </m:r>
                </m:e>
                <m:sub>
                  <m:r>
                    <m:t>m</m:t>
                  </m:r>
                  <m:r>
                    <m:t>a</m:t>
                  </m:r>
                  <m:r>
                    <m:t>x</m:t>
                  </m:r>
                </m:sub>
              </m:sSub>
              <m:sSup>
                <m:e>
                  <m:d>
                    <m:dPr>
                      <m:begChr m:val="["/>
                      <m:endChr m:val="]"/>
                      <m:sepChr m:val=""/>
                      <m:grow/>
                    </m:dPr>
                    <m:e>
                      <m:r>
                        <m:t>S</m:t>
                      </m:r>
                    </m:e>
                  </m:d>
                </m:e>
                <m:sup>
                  <m:r>
                    <m:t>n</m:t>
                  </m:r>
                </m:sup>
              </m:sSup>
            </m:num>
            <m:den>
              <m:sSubSup>
                <m:e>
                  <m:r>
                    <m:t>K</m:t>
                  </m:r>
                </m:e>
                <m:sub>
                  <m:r>
                    <m:t>h</m:t>
                  </m:r>
                  <m:r>
                    <m:t>a</m:t>
                  </m:r>
                  <m:r>
                    <m:t>l</m:t>
                  </m:r>
                  <m:r>
                    <m:t>f</m:t>
                  </m:r>
                </m:sub>
                <m:sup>
                  <m:r>
                    <m:t>n</m:t>
                  </m:r>
                </m:sup>
              </m:sSubSup>
              <m:r>
                <m:rPr>
                  <m:sty m:val="p"/>
                </m:rPr>
                <m:t>+</m:t>
              </m:r>
              <m:sSup>
                <m:e>
                  <m:d>
                    <m:dPr>
                      <m:begChr m:val="["/>
                      <m:endChr m:val="]"/>
                      <m:sepChr m:val=""/>
                      <m:grow/>
                    </m:dPr>
                    <m:e>
                      <m:r>
                        <m:t>S</m:t>
                      </m:r>
                    </m:e>
                  </m:d>
                </m:e>
                <m:sup>
                  <m:r>
                    <m:t>n</m:t>
                  </m:r>
                </m:sup>
              </m:sSup>
            </m:den>
          </m:f>
          <m:r>
            <m:t>  </m:t>
          </m:r>
          <m:d>
            <m:dPr>
              <m:begChr m:val="("/>
              <m:endChr m:val=")"/>
              <m:sepChr m:val=""/>
              <m:grow/>
            </m:dPr>
            <m:e>
              <m:r>
                <m:t>3</m:t>
              </m:r>
            </m:e>
          </m:d>
        </m:oMath>
      </m:oMathPara>
      <w:bookmarkEnd w:id="35"/>
    </w:p>
    <w:p>
      <w:pPr>
        <w:pStyle w:val="FirstParagraph"/>
      </w:pPr>
      <w:hyperlink w:anchor="eq-direct-thiaminase">
        <w:r>
          <w:rPr>
            <w:rStyle w:val="Hyperlink"/>
          </w:rPr>
          <w:t xml:space="preserve">Equation 1</w:t>
        </w:r>
      </w:hyperlink>
    </w:p>
    <w:p>
      <w:pPr>
        <w:pStyle w:val="BodyText"/>
      </w:pPr>
      <w:r>
        <w:rPr>
          <w:vertAlign w:val="superscript"/>
        </w:rPr>
        <w:t xml:space="preserve">[1]</w:t>
      </w:r>
    </w:p>
    <w:p>
      <w:pPr>
        <w:pStyle w:val="BodyText"/>
      </w:pPr>
      <w:r>
        <w:rPr>
          <w:vertAlign w:val="superscript"/>
        </w:rPr>
        <w:t xml:space="preserve">[2]</w:t>
      </w:r>
    </w:p>
    <w:bookmarkEnd w:id="36"/>
    <w:bookmarkStart w:id="37" w:name="results-and-discussion"/>
    <w:p>
      <w:pPr>
        <w:pStyle w:val="Heading2"/>
      </w:pPr>
      <w:r>
        <w:t xml:space="preserve">3 Results and Discussion</w:t>
      </w:r>
    </w:p>
    <w:bookmarkEnd w:id="37"/>
    <w:bookmarkStart w:id="38" w:name="conclusion"/>
    <w:p>
      <w:pPr>
        <w:pStyle w:val="Heading2"/>
      </w:pPr>
      <w:r>
        <w:t xml:space="preserve">4 Conclusion</w:t>
      </w:r>
    </w:p>
    <w:bookmarkEnd w:id="38"/>
    <w:bookmarkStart w:id="44" w:name="references"/>
    <w:p>
      <w:pPr>
        <w:pStyle w:val="Heading2"/>
      </w:pPr>
      <w:r>
        <w:t xml:space="preserve">References</w:t>
      </w:r>
    </w:p>
    <w:bookmarkStart w:id="43" w:name="refs"/>
    <w:bookmarkStart w:id="40" w:name="ref-hanes_assay_2007"/>
    <w:p>
      <w:pPr>
        <w:pStyle w:val="Bibliography"/>
      </w:pPr>
      <w:r>
        <w:t xml:space="preserve">[1]</w:t>
      </w:r>
      <w:r>
        <w:t xml:space="preserve"> </w:t>
      </w:r>
      <w:r>
        <w:t xml:space="preserve">	</w:t>
      </w:r>
      <w:hyperlink r:id="rId39">
        <w:r>
          <w:rPr>
            <w:rStyle w:val="Hyperlink"/>
          </w:rPr>
          <w:t xml:space="preserve">J. W. Hanes, C. E. Kraft, T. P. Begley,</w:t>
        </w:r>
        <w:r>
          <w:rPr>
            <w:rStyle w:val="Hyperlink"/>
          </w:rPr>
          <w:t xml:space="preserve"> </w:t>
        </w:r>
        <w:r>
          <w:rPr>
            <w:rStyle w:val="Hyperlink"/>
            <w:i/>
            <w:iCs/>
          </w:rPr>
          <w:t xml:space="preserve">Analytical Biochemistry</w:t>
        </w:r>
        <w:r>
          <w:rPr>
            <w:rStyle w:val="Hyperlink"/>
          </w:rPr>
          <w:t xml:space="preserve"> </w:t>
        </w:r>
        <w:r>
          <w:rPr>
            <w:rStyle w:val="Hyperlink"/>
            <w:b/>
            <w:bCs/>
          </w:rPr>
          <w:t xml:space="preserve">2007</w:t>
        </w:r>
        <w:r>
          <w:rPr>
            <w:rStyle w:val="Hyperlink"/>
          </w:rPr>
          <w:t xml:space="preserve">,</w:t>
        </w:r>
        <w:r>
          <w:rPr>
            <w:rStyle w:val="Hyperlink"/>
          </w:rPr>
          <w:t xml:space="preserve"> </w:t>
        </w:r>
        <w:r>
          <w:rPr>
            <w:rStyle w:val="Hyperlink"/>
            <w:i/>
            <w:iCs/>
          </w:rPr>
          <w:t xml:space="preserve">368</w:t>
        </w:r>
        <w:r>
          <w:rPr>
            <w:rStyle w:val="Hyperlink"/>
          </w:rPr>
          <w:t xml:space="preserve">, 33–38</w:t>
        </w:r>
      </w:hyperlink>
      <w:r>
        <w:t xml:space="preserve">.</w:t>
      </w:r>
    </w:p>
    <w:bookmarkEnd w:id="40"/>
    <w:bookmarkStart w:id="42" w:name="ref-kraft_rapid_2014"/>
    <w:p>
      <w:pPr>
        <w:pStyle w:val="Bibliography"/>
      </w:pPr>
      <w:r>
        <w:t xml:space="preserve">[2]</w:t>
      </w:r>
      <w:r>
        <w:t xml:space="preserve"> </w:t>
      </w:r>
      <w:r>
        <w:t xml:space="preserve">	</w:t>
      </w:r>
      <w:hyperlink r:id="rId41">
        <w:r>
          <w:rPr>
            <w:rStyle w:val="Hyperlink"/>
          </w:rPr>
          <w:t xml:space="preserve">C. E. Kraft, E. R. L. Gordon, E. R. Angert,</w:t>
        </w:r>
        <w:r>
          <w:rPr>
            <w:rStyle w:val="Hyperlink"/>
          </w:rPr>
          <w:t xml:space="preserve"> </w:t>
        </w:r>
        <w:r>
          <w:rPr>
            <w:rStyle w:val="Hyperlink"/>
            <w:i/>
            <w:iCs/>
          </w:rPr>
          <w:t xml:space="preserve">PLoS</w:t>
        </w:r>
        <w:r>
          <w:rPr>
            <w:rStyle w:val="Hyperlink"/>
            <w:i/>
            <w:iCs/>
          </w:rPr>
          <w:t xml:space="preserve"> </w:t>
        </w:r>
        <w:r>
          <w:rPr>
            <w:rStyle w:val="Hyperlink"/>
            <w:i/>
            <w:iCs/>
          </w:rPr>
          <w:t xml:space="preserve">ONE</w:t>
        </w:r>
        <w:r>
          <w:rPr>
            <w:rStyle w:val="Hyperlink"/>
          </w:rPr>
          <w:t xml:space="preserve"> </w:t>
        </w:r>
        <w:r>
          <w:rPr>
            <w:rStyle w:val="Hyperlink"/>
            <w:b/>
            <w:bCs/>
          </w:rPr>
          <w:t xml:space="preserve">2014</w:t>
        </w:r>
        <w:r>
          <w:rPr>
            <w:rStyle w:val="Hyperlink"/>
          </w:rPr>
          <w:t xml:space="preserve">,</w:t>
        </w:r>
        <w:r>
          <w:rPr>
            <w:rStyle w:val="Hyperlink"/>
          </w:rPr>
          <w:t xml:space="preserve"> </w:t>
        </w:r>
        <w:r>
          <w:rPr>
            <w:rStyle w:val="Hyperlink"/>
            <w:i/>
            <w:iCs/>
          </w:rPr>
          <w:t xml:space="preserve">9</w:t>
        </w:r>
        <w:r>
          <w:rPr>
            <w:rStyle w:val="Hyperlink"/>
          </w:rPr>
          <w:t xml:space="preserve">, e92688</w:t>
        </w:r>
      </w:hyperlink>
      <w:r>
        <w:t xml:space="preserv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39" Target="https://doi.org/10.1016/j.ab.2007.06.001" TargetMode="External" /><Relationship Type="http://schemas.openxmlformats.org/officeDocument/2006/relationships/hyperlink" Id="rId41" Target="https://doi.org/10.1371/journal.pone.0092688" TargetMode="External" /><Relationship Type="http://schemas.openxmlformats.org/officeDocument/2006/relationships/hyperlink" Id="rId20" Target="https://dwprt.github.io/thiaminase-man/index.qmd.html" TargetMode="External" /><Relationship Type="http://schemas.openxmlformats.org/officeDocument/2006/relationships/hyperlink" Id="rId26" Target="https://dwprt.github.io/thiaminase-man/notebooks/determine-detection-limit-preview.html#cell-fig-lod-boxplot" TargetMode="External" /><Relationship Type="http://schemas.openxmlformats.org/officeDocument/2006/relationships/hyperlink" Id="rId32" Target="https://dwprt.github.io/thiaminase-man/notebooks/hplc_chromatogram-preview.html#cell-fig-chromatogram-panel"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016/j.ab.2007.06.001" TargetMode="External" /><Relationship Type="http://schemas.openxmlformats.org/officeDocument/2006/relationships/hyperlink" Id="rId41" Target="https://doi.org/10.1371/journal.pone.0092688" TargetMode="External" /><Relationship Type="http://schemas.openxmlformats.org/officeDocument/2006/relationships/hyperlink" Id="rId20" Target="https://dwprt.github.io/thiaminase-man/index.qmd.html" TargetMode="External" /><Relationship Type="http://schemas.openxmlformats.org/officeDocument/2006/relationships/hyperlink" Id="rId26" Target="https://dwprt.github.io/thiaminase-man/notebooks/determine-detection-limit-preview.html#cell-fig-lod-boxplot" TargetMode="External" /><Relationship Type="http://schemas.openxmlformats.org/officeDocument/2006/relationships/hyperlink" Id="rId32" Target="https://dwprt.github.io/thiaminase-man/notebooks/hplc_chromatogram-preview.html#cell-fig-chromatogram-pan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 Thiaminase Measurement Method</dc:title>
  <dc:creator>Drew Porter; Cody Pinger</dc:creator>
  <cp:keywords>Thiamine, Thiaminase, Forage Fish, Alaska</cp:keywords>
  <dcterms:created xsi:type="dcterms:W3CDTF">2025-03-13T22:39:29Z</dcterms:created>
  <dcterms:modified xsi:type="dcterms:W3CDTF">2025-03-13T22:39:29Z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odor amet, consectetuer adipiscing elit. Mattis torquent convallis platea consequat dictumst. Cubilia vitae imperdiet netus nisi aliquam pharetra imperdiet. Ligula eros aliquam fames morbi sed, conubia parturient. Semper nascetur mollis, finibus in integer morbi. Orci a montes mauris inceptos urna.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angewandte-chemie.csl</vt:lpwstr>
  </property>
  <property fmtid="{D5CDD505-2E9C-101B-9397-08002B2CF9AE}" pid="11" name="date">
    <vt:lpwstr>2025-03-13</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Lorem ipsum odor amet, consectetuer adipiscing elit. Mattis torquent convallis platea consequat dictumst.</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