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自然语言处理综合实践报告</w:t>
      </w:r>
    </w:p>
    <w:p/>
    <w:p>
      <w:pPr>
        <w:spacing w:line="480" w:lineRule="auto"/>
        <w:jc w:val="center"/>
      </w:pPr>
      <w:r>
        <w:rPr>
          <w:rFonts w:ascii="宋体" w:hAnsi="宋体"/>
          <w:sz w:val="28"/>
        </w:rPr>
        <w:t>项目名称：AI智能投研助手</w:t>
      </w:r>
    </w:p>
    <w:p>
      <w:pPr>
        <w:spacing w:line="480" w:lineRule="auto"/>
        <w:jc w:val="center"/>
      </w:pPr>
      <w:r>
        <w:rPr>
          <w:rFonts w:ascii="宋体" w:hAnsi="宋体"/>
          <w:sz w:val="28"/>
        </w:rPr>
        <w:t>学    院：_______________</w:t>
      </w:r>
    </w:p>
    <w:p>
      <w:pPr>
        <w:spacing w:line="480" w:lineRule="auto"/>
        <w:jc w:val="center"/>
      </w:pPr>
      <w:r>
        <w:rPr>
          <w:rFonts w:ascii="宋体" w:hAnsi="宋体"/>
          <w:sz w:val="28"/>
        </w:rPr>
        <w:t>专    业：_______________</w:t>
      </w:r>
    </w:p>
    <w:p>
      <w:pPr>
        <w:spacing w:line="480" w:lineRule="auto"/>
        <w:jc w:val="center"/>
      </w:pPr>
      <w:r>
        <w:rPr>
          <w:rFonts w:ascii="宋体" w:hAnsi="宋体"/>
          <w:sz w:val="28"/>
        </w:rPr>
        <w:t>姓    名：_______________</w:t>
      </w:r>
    </w:p>
    <w:p>
      <w:pPr>
        <w:spacing w:line="480" w:lineRule="auto"/>
        <w:jc w:val="center"/>
      </w:pPr>
      <w:r>
        <w:rPr>
          <w:rFonts w:ascii="宋体" w:hAnsi="宋体"/>
          <w:sz w:val="28"/>
        </w:rPr>
        <w:t>学    号：_______________</w:t>
      </w:r>
    </w:p>
    <w:p>
      <w:pPr>
        <w:spacing w:line="480" w:lineRule="auto"/>
        <w:jc w:val="center"/>
      </w:pPr>
      <w:r>
        <w:rPr>
          <w:rFonts w:ascii="宋体" w:hAnsi="宋体"/>
          <w:sz w:val="28"/>
        </w:rPr>
        <w:t>指导教师：_______________</w:t>
      </w:r>
    </w:p>
    <w:p>
      <w:r>
        <w:br w:type="page"/>
      </w:r>
    </w:p>
    <w:p>
      <w:pPr>
        <w:pStyle w:val="Heading1"/>
      </w:pPr>
      <w:r>
        <w:rPr>
          <w:rFonts w:ascii="黑体" w:hAnsi="黑体"/>
          <w:sz w:val="28"/>
        </w:rPr>
        <w:t>一、项目介绍</w:t>
      </w:r>
    </w:p>
    <w:p>
      <w:pPr>
        <w:spacing w:line="300" w:lineRule="auto"/>
        <w:ind w:firstLine="480"/>
      </w:pPr>
      <w:r>
        <w:rPr>
          <w:rFonts w:ascii="宋体" w:hAnsi="宋体"/>
          <w:sz w:val="24"/>
        </w:rPr>
        <w:t>随着中国资本市场的快速发展，A股和港股上市公司数量众多，投资者在面对海量财务数据时往往难以快速获取关键信息并做出有效决策。传统的投资研究方式需要投资者逐一查阅财务报表、行业报告，耗时耗力且容易遗漏重要信息。</w:t>
      </w:r>
    </w:p>
    <w:p>
      <w:pPr>
        <w:spacing w:line="300" w:lineRule="auto"/>
        <w:ind w:firstLine="480"/>
      </w:pPr>
      <w:r>
        <w:rPr>
          <w:rFonts w:ascii="宋体" w:hAnsi="宋体"/>
          <w:sz w:val="24"/>
        </w:rPr>
        <w:t>本项目"AI智能投研助手"旨在利用大语言模型（LLM）的自然语言处理能力，结合实时金融数据接口，为用户提供一键式的深度投资研究报告生成服务。用户仅需输入股票代码或公司名称，系统即可自动获取最新的财务数据、行情走势和公司信息，通过AI模型进行分析整合，生成包含基本面分析、盈利能力分析、估值分析等内容的专业研究报告，并以可视化图表辅助展示。</w:t>
      </w:r>
    </w:p>
    <w:p>
      <w:pPr>
        <w:spacing w:line="300" w:lineRule="auto"/>
        <w:ind w:firstLine="480"/>
      </w:pPr>
      <w:r>
        <w:rPr>
          <w:rFonts w:ascii="宋体" w:hAnsi="宋体"/>
          <w:sz w:val="24"/>
        </w:rPr>
        <w:t>应用场景包括：</w:t>
      </w:r>
    </w:p>
    <w:p>
      <w:pPr>
        <w:spacing w:line="300" w:lineRule="auto"/>
        <w:ind w:left="480"/>
      </w:pPr>
      <w:r>
        <w:rPr>
          <w:rFonts w:ascii="宋体" w:hAnsi="宋体"/>
          <w:sz w:val="24"/>
        </w:rPr>
        <w:t>个人投资者快速了解目标公司的基本面状况；</w:t>
      </w:r>
    </w:p>
    <w:p>
      <w:pPr>
        <w:spacing w:line="300" w:lineRule="auto"/>
        <w:ind w:left="480"/>
      </w:pPr>
      <w:r>
        <w:rPr>
          <w:rFonts w:ascii="宋体" w:hAnsi="宋体"/>
          <w:sz w:val="24"/>
        </w:rPr>
        <w:t>投资顾问为客户提供初步的个股分析参考；</w:t>
      </w:r>
    </w:p>
    <w:p>
      <w:pPr>
        <w:spacing w:line="300" w:lineRule="auto"/>
        <w:ind w:left="480"/>
      </w:pPr>
      <w:r>
        <w:rPr>
          <w:rFonts w:ascii="宋体" w:hAnsi="宋体"/>
          <w:sz w:val="24"/>
        </w:rPr>
        <w:t>金融学习者通过系统了解股票分析的核心指标和逻辑；</w:t>
      </w:r>
    </w:p>
    <w:p>
      <w:pPr>
        <w:spacing w:line="300" w:lineRule="auto"/>
        <w:ind w:left="480"/>
      </w:pPr>
      <w:r>
        <w:rPr>
          <w:rFonts w:ascii="宋体" w:hAnsi="宋体"/>
          <w:sz w:val="24"/>
        </w:rPr>
        <w:t>量化研究人员快速获取结构化财务数据。</w:t>
      </w:r>
    </w:p>
    <w:p>
      <w:pPr>
        <w:spacing w:line="300" w:lineRule="auto"/>
        <w:ind w:firstLine="480"/>
      </w:pPr>
      <w:r>
        <w:rPr>
          <w:rFonts w:ascii="宋体" w:hAnsi="宋体"/>
          <w:sz w:val="24"/>
        </w:rPr>
        <w:t>项目核心价值在于将AI自然语言处理技术与金融数据相结合，降低了投资研究的门槛，让普通投资者也能获得接近专业水平的分析报告。</w:t>
      </w:r>
    </w:p>
    <w:p>
      <w:r>
        <w:br w:type="page"/>
      </w:r>
    </w:p>
    <w:p>
      <w:pPr>
        <w:pStyle w:val="Heading1"/>
      </w:pPr>
      <w:r>
        <w:rPr>
          <w:rFonts w:ascii="黑体" w:hAnsi="黑体"/>
          <w:sz w:val="28"/>
        </w:rPr>
        <w:t>二、项目成果展示</w:t>
      </w:r>
    </w:p>
    <w:p>
      <w:pPr>
        <w:spacing w:line="300" w:lineRule="auto"/>
        <w:ind w:firstLine="480"/>
      </w:pPr>
      <w:r>
        <w:rPr>
          <w:rFonts w:ascii="宋体" w:hAnsi="宋体"/>
          <w:sz w:val="24"/>
        </w:rPr>
        <w:t>本项目已成功部署于阿里云ECS服务器，可通过公网直接访问使用。同时项目源代码托管于GitHub，方便后续维护和二次开发。</w:t>
      </w:r>
    </w:p>
    <w:p>
      <w:pPr>
        <w:spacing w:line="300" w:lineRule="auto"/>
        <w:ind w:firstLine="480"/>
      </w:pPr>
      <w:r>
        <w:rPr>
          <w:rFonts w:ascii="宋体" w:hAnsi="宋体"/>
          <w:sz w:val="24"/>
        </w:rPr>
        <w:t>GitHub仓库地址：https://github.com/dwqjdh1/investment-research</w:t>
      </w:r>
    </w:p>
    <w:p>
      <w:pPr>
        <w:spacing w:line="300" w:lineRule="auto"/>
        <w:ind w:firstLine="480"/>
      </w:pPr>
      <w:r>
        <w:rPr>
          <w:rFonts w:ascii="宋体" w:hAnsi="宋体"/>
          <w:sz w:val="24"/>
        </w:rPr>
        <w:t>在线访问地址：http://&lt;ECS公网IP&gt;:7860</w:t>
      </w:r>
    </w:p>
    <w:p>
      <w:pPr>
        <w:spacing w:line="300" w:lineRule="auto"/>
        <w:ind w:firstLine="480"/>
      </w:pPr>
      <w:r>
        <w:rPr>
          <w:rFonts w:ascii="宋体" w:hAnsi="宋体"/>
          <w:sz w:val="24"/>
        </w:rPr>
        <w:t>系统主要功能如下：</w:t>
      </w:r>
    </w:p>
    <w:p>
      <w:pPr>
        <w:spacing w:line="300" w:lineRule="auto"/>
        <w:ind w:left="480"/>
      </w:pPr>
      <w:r>
        <w:rPr>
          <w:rFonts w:ascii="宋体" w:hAnsi="宋体"/>
          <w:sz w:val="24"/>
        </w:rPr>
        <w:t>• 智能搜索：支持A股6位代码和港股5位代码的自动识别，支持中文名称模糊搜索；</w:t>
      </w:r>
    </w:p>
    <w:p>
      <w:pPr>
        <w:spacing w:line="300" w:lineRule="auto"/>
        <w:ind w:left="480"/>
      </w:pPr>
      <w:r>
        <w:rPr>
          <w:rFonts w:ascii="宋体" w:hAnsi="宋体"/>
          <w:sz w:val="24"/>
        </w:rPr>
        <w:t>• 热门股票一键分析：内置11只热门A股和港股，点击即可生成研报；</w:t>
      </w:r>
    </w:p>
    <w:p>
      <w:pPr>
        <w:spacing w:line="300" w:lineRule="auto"/>
        <w:ind w:left="480"/>
      </w:pPr>
      <w:r>
        <w:rPr>
          <w:rFonts w:ascii="宋体" w:hAnsi="宋体"/>
          <w:sz w:val="24"/>
        </w:rPr>
        <w:t>• 深度研报生成：调用大语言模型，自动整合财务数据、估值指标和行情走势，生成结构化研究报告；</w:t>
      </w:r>
    </w:p>
    <w:p>
      <w:pPr>
        <w:spacing w:line="300" w:lineRule="auto"/>
        <w:ind w:left="480"/>
      </w:pPr>
      <w:r>
        <w:rPr>
          <w:rFonts w:ascii="宋体" w:hAnsi="宋体"/>
          <w:sz w:val="24"/>
        </w:rPr>
        <w:t>• 四大可视化图表：营收利润趋势图、盈利能力趋势图（ROE/毛利率/净利率）、估值仪表盘（PE/PB）、历史价格走势图；</w:t>
      </w:r>
    </w:p>
    <w:p>
      <w:pPr>
        <w:spacing w:line="300" w:lineRule="auto"/>
        <w:ind w:left="480"/>
      </w:pPr>
      <w:r>
        <w:rPr>
          <w:rFonts w:ascii="宋体" w:hAnsi="宋体"/>
          <w:sz w:val="24"/>
        </w:rPr>
        <w:t>• API配置灵活性：支持OpenAI兼容接口，用户可自定义Base URL、Model和API Key，适配各种大语言模型服务。</w:t>
      </w:r>
    </w:p>
    <w:p>
      <w:r>
        <w:br w:type="page"/>
      </w:r>
    </w:p>
    <w:p>
      <w:pPr>
        <w:pStyle w:val="Heading1"/>
      </w:pPr>
      <w:r>
        <w:rPr>
          <w:rFonts w:ascii="黑体" w:hAnsi="黑体"/>
          <w:sz w:val="28"/>
        </w:rPr>
        <w:t>三、架构设计及系统实现</w:t>
      </w:r>
    </w:p>
    <w:p>
      <w:pPr>
        <w:pStyle w:val="Heading2"/>
      </w:pPr>
      <w:r>
        <w:rPr>
          <w:rFonts w:ascii="黑体" w:hAnsi="黑体"/>
          <w:sz w:val="24"/>
        </w:rPr>
        <w:t>3.1 系统架构设计思路</w:t>
      </w:r>
    </w:p>
    <w:p>
      <w:pPr>
        <w:spacing w:line="300" w:lineRule="auto"/>
        <w:ind w:firstLine="480"/>
      </w:pPr>
      <w:r>
        <w:rPr>
          <w:rFonts w:ascii="宋体" w:hAnsi="宋体"/>
          <w:sz w:val="24"/>
        </w:rPr>
        <w:t>系统采用经典的分层架构设计，自上而下分为展示层、业务逻辑层、数据服务层三个层次：</w:t>
      </w:r>
    </w:p>
    <w:p>
      <w:pPr>
        <w:spacing w:line="300" w:lineRule="auto"/>
        <w:ind w:left="480"/>
      </w:pPr>
      <w:r>
        <w:rPr>
          <w:rFonts w:ascii="宋体" w:hAnsi="宋体"/>
          <w:sz w:val="24"/>
        </w:rPr>
        <w:t>（1）展示层（Presentation Layer）：基于Gradio框架构建Web用户界面，负责用户交互、输入接收和结果展示。Gradio自动处理前后端通信，提供现代化的UI组件，并支持Plotly图表直接嵌入。</w:t>
      </w:r>
    </w:p>
    <w:p>
      <w:pPr>
        <w:spacing w:line="300" w:lineRule="auto"/>
        <w:ind w:left="480"/>
      </w:pPr>
      <w:r>
        <w:rPr>
          <w:rFonts w:ascii="宋体" w:hAnsi="宋体"/>
          <w:sz w:val="24"/>
        </w:rPr>
        <w:t>（2）业务逻辑层（Business Logic Layer）：包含报告生成引擎（report_generator.py）和可视化引擎（visualizer.py）。报告生成引擎通过prompts.py中定义的专业提示词模板，将原始财务数据输入LLM进行分析和自然语言生成。可视化引擎使用Plotly创建交互式金融图表。</w:t>
      </w:r>
    </w:p>
    <w:p>
      <w:pPr>
        <w:spacing w:line="300" w:lineRule="auto"/>
        <w:ind w:left="480"/>
      </w:pPr>
      <w:r>
        <w:rPr>
          <w:rFonts w:ascii="宋体" w:hAnsi="宋体"/>
          <w:sz w:val="24"/>
        </w:rPr>
        <w:t>（3）数据服务层（Data Service Layer）：基于AKShare金融数据接口获取A股和港股实时行情、历史价格、财务报表数据。LLM客户端（llm_client.py）封装OpenAI兼容接口调用，配置管理模块（config.py）负责环境变量和API密钥管理。</w:t>
      </w:r>
    </w:p>
    <w:p>
      <w:pPr>
        <w:spacing w:line="300" w:lineRule="auto"/>
        <w:ind w:firstLine="480"/>
      </w:pPr>
      <w:r>
        <w:rPr>
          <w:rFonts w:ascii="宋体" w:hAnsi="宋体"/>
          <w:sz w:val="24"/>
        </w:rPr>
        <w:t>数据流如下：用户在搜索框输入代码或名称 → 系统通过AKShare搜索匹配股票 → 并行获取行情、财务、历史价格三类数据 → 数据汇总后输入LLM生成分析报告 → 同时Plotly生成可视化图表 → 报告和图表一同返回前端展示。</w:t>
      </w:r>
    </w:p>
    <w:p>
      <w:pPr>
        <w:pStyle w:val="Heading2"/>
      </w:pPr>
      <w:r>
        <w:rPr>
          <w:rFonts w:ascii="黑体" w:hAnsi="黑体"/>
          <w:sz w:val="24"/>
        </w:rPr>
        <w:t>3.2 核心技术原理及关键模块实现</w:t>
      </w:r>
    </w:p>
    <w:p>
      <w:pPr>
        <w:spacing w:line="300" w:lineRule="auto"/>
        <w:ind w:firstLine="480"/>
      </w:pPr>
      <w:r>
        <w:rPr>
          <w:rFonts w:ascii="宋体" w:hAnsi="宋体"/>
          <w:sz w:val="24"/>
        </w:rPr>
        <w:t>（1）大语言模型调用（LLM Integration）</w:t>
      </w:r>
    </w:p>
    <w:p>
      <w:pPr>
        <w:spacing w:line="300" w:lineRule="auto"/>
        <w:ind w:firstLine="480"/>
      </w:pPr>
      <w:r>
        <w:rPr>
          <w:rFonts w:ascii="宋体" w:hAnsi="宋体"/>
          <w:sz w:val="24"/>
        </w:rPr>
        <w:t>本项目基于OpenAI兼容接口调用大语言模型，默认使用DeepSeek模型。在llm_client.py中封装了标准的Chat Completion调用，支持流式输出（streaming），使得报告可以逐段展示，提升用户体验。提示词工程方面，通过prompts.py设计了专业的金融分析师角色提示词，引导模型按照特定的报告结构（公司概况、财务分析、估值分析、风险提示）进行输出。</w:t>
      </w:r>
    </w:p>
    <w:p>
      <w:pPr>
        <w:spacing w:line="300" w:lineRule="auto"/>
        <w:ind w:firstLine="480"/>
      </w:pPr>
      <w:r>
        <w:rPr>
          <w:rFonts w:ascii="宋体" w:hAnsi="宋体"/>
          <w:sz w:val="24"/>
        </w:rPr>
        <w:t>（2）金融数据获取（AKShare Integration）</w:t>
      </w:r>
    </w:p>
    <w:p>
      <w:pPr>
        <w:spacing w:line="300" w:lineRule="auto"/>
        <w:ind w:firstLine="480"/>
      </w:pPr>
      <w:r>
        <w:rPr>
          <w:rFonts w:ascii="宋体" w:hAnsi="宋体"/>
          <w:sz w:val="24"/>
        </w:rPr>
        <w:t>AKShare是一个开源的Python金融数据接口库。系统通过AKShare获取三类数据：实时行情（stock_zh_a_spot / stock_hk_spot_em），获取股票的当前价格、涨跌幅、成交量等；财务报表（stock_financial_abstract / stock_hk_financial_indicator_em），获取季度营收、净利润、ROE、毛利率、净利率等核心财务指标；历史价格（stock_zh_a_hist_tx / stock_hk_hist），获取复权后的日线价格序列用于趋势图绘制。对于港股，额外通过stock_hk_company_profile_em获取行业分类和公司概况信息。系统实现了带TTL的缓存机制，避免频繁请求API导致被限制。</w:t>
      </w:r>
    </w:p>
    <w:p>
      <w:pPr>
        <w:spacing w:line="300" w:lineRule="auto"/>
        <w:ind w:firstLine="480"/>
      </w:pPr>
      <w:r>
        <w:rPr>
          <w:rFonts w:ascii="宋体" w:hAnsi="宋体"/>
          <w:sz w:val="24"/>
        </w:rPr>
        <w:t>（3）数据可视化（Plotly）</w:t>
      </w:r>
    </w:p>
    <w:p>
      <w:pPr>
        <w:spacing w:line="300" w:lineRule="auto"/>
        <w:ind w:firstLine="480"/>
      </w:pPr>
      <w:r>
        <w:rPr>
          <w:rFonts w:ascii="宋体" w:hAnsi="宋体"/>
          <w:sz w:val="24"/>
        </w:rPr>
        <w:t>可视化模块（visualizer.py）使用Plotly创建四种交互式图表：营收利润趋势图使用双Y轴设计，柱状图展示营收，折线图展示净利润；盈利能力趋势图展示ROE、毛利率、净利率三条指标曲线的变化趋势；估值仪表盘使用Indicator组件展示当前市盈率（PE），并标注市净率（PB）和股价；历史价格走势图展示前复权收盘价曲线和20日均线，帮助识别技术趋势。所有图表统一使用professional配色方案和布局样式。</w:t>
      </w:r>
    </w:p>
    <w:p>
      <w:pPr>
        <w:spacing w:line="300" w:lineRule="auto"/>
        <w:ind w:firstLine="480"/>
      </w:pPr>
      <w:r>
        <w:rPr>
          <w:rFonts w:ascii="宋体" w:hAnsi="宋体"/>
          <w:sz w:val="24"/>
        </w:rPr>
        <w:t>（4）智能市场识别</w:t>
      </w:r>
    </w:p>
    <w:p>
      <w:pPr>
        <w:spacing w:line="300" w:lineRule="auto"/>
        <w:ind w:firstLine="480"/>
      </w:pPr>
      <w:r>
        <w:rPr>
          <w:rFonts w:ascii="宋体" w:hAnsi="宋体"/>
          <w:sz w:val="24"/>
        </w:rPr>
        <w:t>系统通过代码长度自动判断市场类型：6位数字为A股代码，5位数字为港股代码。对于A股，根据代码前缀自动加上交易所标识（sh/sz）。对于港股代码，自动补齐前导零至5位。搜索功能支持代码精确匹配和名称模糊匹配两种模式。</w:t>
      </w:r>
    </w:p>
    <w:p>
      <w:pPr>
        <w:pStyle w:val="Heading2"/>
      </w:pPr>
      <w:r>
        <w:rPr>
          <w:rFonts w:ascii="黑体" w:hAnsi="黑体"/>
          <w:sz w:val="24"/>
        </w:rPr>
        <w:t>3.3 开发环境</w:t>
      </w:r>
    </w:p>
    <w:p>
      <w:pPr>
        <w:spacing w:line="300" w:lineRule="auto"/>
        <w:ind w:firstLine="480"/>
      </w:pPr>
      <w:r>
        <w:rPr>
          <w:rFonts w:ascii="宋体" w:hAnsi="宋体"/>
          <w:sz w:val="24"/>
        </w:rPr>
        <w:t>项目开发与部署的技术栈如下：</w:t>
      </w:r>
    </w:p>
    <w:tbl>
      <w:tblPr>
        <w:tblStyle w:val="TableGrid"/>
        <w:tblW w:type="auto" w:w="0"/>
        <w:tblLook w:firstColumn="1" w:firstRow="1" w:lastColumn="0" w:lastRow="0" w:noHBand="0" w:noVBand="1" w:val="04A0"/>
      </w:tblPr>
      <w:tblGrid>
        <w:gridCol w:w="4323"/>
        <w:gridCol w:w="4323"/>
      </w:tblGrid>
      <w:tr>
        <w:tc>
          <w:tcPr>
            <w:tcW w:type="dxa" w:w="4323"/>
          </w:tcPr>
          <w:p>
            <w:pPr>
              <w:spacing w:line="300" w:lineRule="auto"/>
            </w:pPr>
            <w:r>
              <w:rPr>
                <w:rFonts w:ascii="宋体" w:hAnsi="宋体"/>
                <w:sz w:val="24"/>
              </w:rPr>
              <w:t>开发语言</w:t>
            </w:r>
          </w:p>
        </w:tc>
        <w:tc>
          <w:tcPr>
            <w:tcW w:type="dxa" w:w="4323"/>
          </w:tcPr>
          <w:p>
            <w:pPr>
              <w:spacing w:line="300" w:lineRule="auto"/>
            </w:pPr>
            <w:r>
              <w:rPr>
                <w:rFonts w:ascii="宋体" w:hAnsi="宋体"/>
                <w:sz w:val="24"/>
              </w:rPr>
              <w:t>Python 3.11</w:t>
            </w:r>
          </w:p>
        </w:tc>
      </w:tr>
      <w:tr>
        <w:tc>
          <w:tcPr>
            <w:tcW w:type="dxa" w:w="4323"/>
          </w:tcPr>
          <w:p>
            <w:pPr>
              <w:spacing w:line="300" w:lineRule="auto"/>
            </w:pPr>
            <w:r>
              <w:rPr>
                <w:rFonts w:ascii="宋体" w:hAnsi="宋体"/>
                <w:sz w:val="24"/>
              </w:rPr>
              <w:t>Web框架</w:t>
            </w:r>
          </w:p>
        </w:tc>
        <w:tc>
          <w:tcPr>
            <w:tcW w:type="dxa" w:w="4323"/>
          </w:tcPr>
          <w:p>
            <w:r>
              <w:t>Streamlit 1.32+</w:t>
            </w:r>
          </w:p>
        </w:tc>
      </w:tr>
      <w:tr>
        <w:tc>
          <w:tcPr>
            <w:tcW w:type="dxa" w:w="4323"/>
          </w:tcPr>
          <w:p>
            <w:pPr>
              <w:spacing w:line="300" w:lineRule="auto"/>
            </w:pPr>
            <w:r>
              <w:rPr>
                <w:rFonts w:ascii="宋体" w:hAnsi="宋体"/>
                <w:sz w:val="24"/>
              </w:rPr>
              <w:t>数据获取</w:t>
            </w:r>
          </w:p>
        </w:tc>
        <w:tc>
          <w:tcPr>
            <w:tcW w:type="dxa" w:w="4323"/>
          </w:tcPr>
          <w:p>
            <w:pPr>
              <w:spacing w:line="300" w:lineRule="auto"/>
            </w:pPr>
            <w:r>
              <w:rPr>
                <w:rFonts w:ascii="宋体" w:hAnsi="宋体"/>
                <w:sz w:val="24"/>
              </w:rPr>
              <w:t>AKShare 1.14+（开源金融数据接口）</w:t>
            </w:r>
          </w:p>
        </w:tc>
      </w:tr>
      <w:tr>
        <w:tc>
          <w:tcPr>
            <w:tcW w:type="dxa" w:w="4323"/>
          </w:tcPr>
          <w:p>
            <w:pPr>
              <w:spacing w:line="300" w:lineRule="auto"/>
            </w:pPr>
            <w:r>
              <w:rPr>
                <w:rFonts w:ascii="宋体" w:hAnsi="宋体"/>
                <w:sz w:val="24"/>
              </w:rPr>
              <w:t>大模型调用</w:t>
            </w:r>
          </w:p>
        </w:tc>
        <w:tc>
          <w:tcPr>
            <w:tcW w:type="dxa" w:w="4323"/>
          </w:tcPr>
          <w:p>
            <w:pPr>
              <w:spacing w:line="300" w:lineRule="auto"/>
            </w:pPr>
            <w:r>
              <w:rPr>
                <w:rFonts w:ascii="宋体" w:hAnsi="宋体"/>
                <w:sz w:val="24"/>
              </w:rPr>
              <w:t>OpenAI SDK 1.x（兼容DeepSeek等模型）</w:t>
            </w:r>
          </w:p>
        </w:tc>
      </w:tr>
      <w:tr>
        <w:tc>
          <w:tcPr>
            <w:tcW w:type="dxa" w:w="4323"/>
          </w:tcPr>
          <w:p>
            <w:pPr>
              <w:spacing w:line="300" w:lineRule="auto"/>
            </w:pPr>
            <w:r>
              <w:rPr>
                <w:rFonts w:ascii="宋体" w:hAnsi="宋体"/>
                <w:sz w:val="24"/>
              </w:rPr>
              <w:t>数据可视化</w:t>
            </w:r>
          </w:p>
        </w:tc>
        <w:tc>
          <w:tcPr>
            <w:tcW w:type="dxa" w:w="4323"/>
          </w:tcPr>
          <w:p>
            <w:r>
              <w:t>Plotly 5.x</w:t>
            </w:r>
          </w:p>
        </w:tc>
      </w:tr>
      <w:tr>
        <w:tc>
          <w:tcPr>
            <w:tcW w:type="dxa" w:w="4323"/>
          </w:tcPr>
          <w:p>
            <w:pPr>
              <w:spacing w:line="300" w:lineRule="auto"/>
            </w:pPr>
            <w:r>
              <w:rPr>
                <w:rFonts w:ascii="宋体" w:hAnsi="宋体"/>
                <w:sz w:val="24"/>
              </w:rPr>
              <w:t>数据分析</w:t>
            </w:r>
          </w:p>
        </w:tc>
        <w:tc>
          <w:tcPr>
            <w:tcW w:type="dxa" w:w="4323"/>
          </w:tcPr>
          <w:p>
            <w:pPr>
              <w:spacing w:line="300" w:lineRule="auto"/>
            </w:pPr>
            <w:r>
              <w:rPr>
                <w:rFonts w:ascii="宋体" w:hAnsi="宋体"/>
                <w:sz w:val="24"/>
              </w:rPr>
              <w:t>Pandas 2.x</w:t>
            </w:r>
          </w:p>
        </w:tc>
      </w:tr>
      <w:tr>
        <w:tc>
          <w:tcPr>
            <w:tcW w:type="dxa" w:w="4323"/>
          </w:tcPr>
          <w:p>
            <w:pPr>
              <w:spacing w:line="300" w:lineRule="auto"/>
            </w:pPr>
            <w:r>
              <w:rPr>
                <w:rFonts w:ascii="宋体" w:hAnsi="宋体"/>
                <w:sz w:val="24"/>
              </w:rPr>
              <w:t>部署方式</w:t>
            </w:r>
          </w:p>
        </w:tc>
        <w:tc>
          <w:tcPr>
            <w:tcW w:type="dxa" w:w="4323"/>
          </w:tcPr>
          <w:p>
            <w:pPr>
              <w:spacing w:line="300" w:lineRule="auto"/>
            </w:pPr>
            <w:r>
              <w:rPr>
                <w:rFonts w:ascii="宋体" w:hAnsi="宋体"/>
                <w:sz w:val="24"/>
              </w:rPr>
              <w:t>Docker + Docker Compose，阿里云ECS（Ubuntu 22.04）</w:t>
            </w:r>
          </w:p>
        </w:tc>
      </w:tr>
    </w:tbl>
    <w:p>
      <w:r>
        <w:br w:type="page"/>
      </w:r>
    </w:p>
    <w:p>
      <w:pPr>
        <w:pStyle w:val="Heading1"/>
      </w:pPr>
      <w:r>
        <w:rPr>
          <w:rFonts w:ascii="黑体" w:hAnsi="黑体"/>
          <w:sz w:val="28"/>
        </w:rPr>
        <w:t>四、实验结果及效果改进</w:t>
      </w:r>
    </w:p>
    <w:p>
      <w:pPr>
        <w:spacing w:line="300" w:lineRule="auto"/>
        <w:ind w:firstLine="480"/>
      </w:pPr>
      <w:r>
        <w:rPr>
          <w:rFonts w:ascii="宋体" w:hAnsi="宋体"/>
          <w:sz w:val="24"/>
        </w:rPr>
        <w:t>在项目开发与部署过程中，对系统进行了全面的功能测试和问题排查。</w:t>
      </w:r>
    </w:p>
    <w:p>
      <w:pPr>
        <w:pStyle w:val="Heading2"/>
      </w:pPr>
      <w:r>
        <w:rPr>
          <w:rFonts w:ascii="黑体" w:hAnsi="黑体"/>
          <w:sz w:val="24"/>
        </w:rPr>
        <w:t>4.1 功能测试</w:t>
      </w:r>
    </w:p>
    <w:p>
      <w:pPr>
        <w:spacing w:line="300" w:lineRule="auto"/>
        <w:ind w:firstLine="480"/>
      </w:pPr>
      <w:r>
        <w:rPr>
          <w:rFonts w:ascii="宋体" w:hAnsi="宋体"/>
          <w:sz w:val="24"/>
        </w:rPr>
        <w:t>（1）A股分析测试：以贵州茅台（600519）、比亚迪（002594）为例进行测试。系统成功获取了8个季度的财务历史数据，LLM生成了包含营收趋势、ROE水平、PE估值等内容的完整分析报告。四个图表均能正常渲染，前后端数据传递正确。</w:t>
      </w:r>
    </w:p>
    <w:p>
      <w:pPr>
        <w:spacing w:line="300" w:lineRule="auto"/>
        <w:ind w:firstLine="480"/>
      </w:pPr>
      <w:r>
        <w:rPr>
          <w:rFonts w:ascii="宋体" w:hAnsi="宋体"/>
          <w:sz w:val="24"/>
        </w:rPr>
        <w:t>（2）港股分析测试：以腾讯控股（00700）为例进行测试。初始版本在测试中暴露出两个问题，并在后续迭代中修复。</w:t>
      </w:r>
    </w:p>
    <w:p>
      <w:pPr>
        <w:pStyle w:val="Heading2"/>
      </w:pPr>
      <w:r>
        <w:rPr>
          <w:rFonts w:ascii="黑体" w:hAnsi="黑体"/>
          <w:sz w:val="24"/>
        </w:rPr>
        <w:t>4.2 问题发现与改进</w:t>
      </w:r>
    </w:p>
    <w:p>
      <w:pPr>
        <w:spacing w:line="300" w:lineRule="auto"/>
        <w:ind w:firstLine="480"/>
      </w:pPr>
      <w:r>
        <w:rPr>
          <w:rFonts w:ascii="宋体" w:hAnsi="宋体"/>
          <w:sz w:val="24"/>
        </w:rPr>
        <w:t>问题1：估值仪表盘生成报错（TypeError: got multiple values for keyword argument 'margin'）。</w:t>
      </w:r>
    </w:p>
    <w:p>
      <w:pPr>
        <w:spacing w:line="300" w:lineRule="auto"/>
        <w:ind w:firstLine="480"/>
      </w:pPr>
      <w:r>
        <w:rPr>
          <w:rFonts w:ascii="宋体" w:hAnsi="宋体"/>
          <w:sz w:val="24"/>
        </w:rPr>
        <w:t>原因分析：在visualizer.py的create_valuation_gauge函数中，COMMON_LAYOUT字典已包含margin键，调用fig.update_layout(**COMMON_LAYOUT, margin=dict(...))时导致重复传参。</w:t>
      </w:r>
    </w:p>
    <w:p>
      <w:pPr>
        <w:spacing w:line="300" w:lineRule="auto"/>
        <w:ind w:firstLine="480"/>
      </w:pPr>
      <w:r>
        <w:rPr>
          <w:rFonts w:ascii="宋体" w:hAnsi="宋体"/>
          <w:sz w:val="24"/>
        </w:rPr>
        <w:t>解决方案：将update_layout调用拆分为两步，先应用COMMON_LAYOUT，再单独设置margin覆盖，确保了布局参数的正确应用。</w:t>
      </w:r>
    </w:p>
    <w:p>
      <w:pPr>
        <w:spacing w:line="300" w:lineRule="auto"/>
        <w:ind w:firstLine="480"/>
      </w:pPr>
      <w:r>
        <w:rPr>
          <w:rFonts w:ascii="宋体" w:hAnsi="宋体"/>
          <w:sz w:val="24"/>
        </w:rPr>
        <w:t>问题2：港股财务数据缺失，缺乏季度历史和盈利能力指标。</w:t>
      </w:r>
    </w:p>
    <w:p>
      <w:pPr>
        <w:spacing w:line="300" w:lineRule="auto"/>
        <w:ind w:firstLine="480"/>
      </w:pPr>
      <w:r>
        <w:rPr>
          <w:rFonts w:ascii="宋体" w:hAnsi="宋体"/>
          <w:sz w:val="24"/>
        </w:rPr>
        <w:t>原因分析：原代码仅从stock_hk_financial_indicator_em接口读取了iloc[0]第一条数据，且只映射了5个指标。港股财务API返回了完整的多期数据，但未被充分利用。</w:t>
      </w:r>
    </w:p>
    <w:p>
      <w:pPr>
        <w:spacing w:line="300" w:lineRule="auto"/>
        <w:ind w:firstLine="480"/>
      </w:pPr>
      <w:r>
        <w:rPr>
          <w:rFonts w:ascii="宋体" w:hAnsi="宋体"/>
          <w:sz w:val="24"/>
        </w:rPr>
        <w:t>解决方案：重写港股财务数据获取模块，遍历全部行构建季度历史列表；新增_HK_FIN_MAP指标映射表，覆盖营收、净利润、EPS、BPS、ROE、ROA、毛利率、净利率、资产负债率等16个关键指标；在get_stock_info中集成stock_hk_company_profile_em接口，获取港股行业、总股本、上市日期等信息，并自动计算总市值。</w:t>
      </w:r>
    </w:p>
    <w:p>
      <w:pPr>
        <w:spacing w:line="300" w:lineRule="auto"/>
        <w:ind w:firstLine="480"/>
      </w:pPr>
      <w:r>
        <w:rPr>
          <w:rFonts w:ascii="宋体" w:hAnsi="宋体"/>
          <w:sz w:val="24"/>
        </w:rPr>
        <w:t>问题3：港股季度历史数据缺少日期键（KeyError: 'quarter'）。</w:t>
      </w:r>
    </w:p>
    <w:p>
      <w:pPr>
        <w:spacing w:line="300" w:lineRule="auto"/>
        <w:ind w:firstLine="480"/>
      </w:pPr>
      <w:r>
        <w:rPr>
          <w:rFonts w:ascii="宋体" w:hAnsi="宋体"/>
          <w:sz w:val="24"/>
        </w:rPr>
        <w:t>原因分析：AKShare不同版本中日期列名可能存在差异（如"日期"、"报告期"、"截止日期"等），且部分数据行日期可能为空。原代码在日期缺失时未提供兜底值。</w:t>
      </w:r>
    </w:p>
    <w:p>
      <w:pPr>
        <w:spacing w:line="300" w:lineRule="auto"/>
        <w:ind w:firstLine="480"/>
      </w:pPr>
      <w:r>
        <w:rPr>
          <w:rFonts w:ascii="宋体" w:hAnsi="宋体"/>
          <w:sz w:val="24"/>
        </w:rPr>
        <w:t>解决方案：实行多候选列名的灵活匹配机制（日期/报告期/报告日期/截止日期/财报周期），并为每条记录提供默认季度标识（Q0、Q1...），确保即使API格式变化也不影响系统运行。</w:t>
      </w:r>
    </w:p>
    <w:p>
      <w:pPr>
        <w:pStyle w:val="Heading2"/>
      </w:pPr>
      <w:r>
        <w:rPr>
          <w:rFonts w:ascii="黑体" w:hAnsi="黑体"/>
          <w:sz w:val="24"/>
        </w:rPr>
        <w:t>4.3 部署测试</w:t>
      </w:r>
    </w:p>
    <w:p>
      <w:pPr>
        <w:spacing w:line="300" w:lineRule="auto"/>
        <w:ind w:firstLine="480"/>
      </w:pPr>
      <w:r>
        <w:rPr>
          <w:rFonts w:ascii="宋体" w:hAnsi="宋体"/>
          <w:sz w:val="24"/>
        </w:rPr>
        <w:t>项目通过Docker容器化后部署到阿里云ECS（2 vCPU / 2GB内存 / Ubuntu 22.04），使用docker-compose进行编排管理。部署过程中遇到以下问题：</w:t>
      </w:r>
    </w:p>
    <w:p>
      <w:pPr>
        <w:spacing w:line="300" w:lineRule="auto"/>
        <w:ind w:left="480"/>
      </w:pPr>
      <w:r>
        <w:rPr>
          <w:rFonts w:ascii="宋体" w:hAnsi="宋体"/>
          <w:sz w:val="24"/>
        </w:rPr>
        <w:t>• Git HTTP/2协议兼容性问题：使用git pull时出现"Error in the HTTP2 framing layer"错误，通过git config --global http.version HTTP/1.1切换至HTTP/1.1协议解决；</w:t>
      </w:r>
    </w:p>
    <w:p>
      <w:pPr>
        <w:spacing w:line="300" w:lineRule="auto"/>
        <w:ind w:left="480"/>
      </w:pPr>
      <w:r>
        <w:rPr>
          <w:rFonts w:ascii="宋体" w:hAnsi="宋体"/>
          <w:sz w:val="24"/>
        </w:rPr>
        <w:t>• 安全组端口配置：初次部署后外部无法访问，经排查发现ECS默认未开放7860端口，在安全组入方向添加TCP 7860规则后问题解决；</w:t>
      </w:r>
    </w:p>
    <w:p>
      <w:pPr>
        <w:spacing w:line="300" w:lineRule="auto"/>
        <w:ind w:left="480"/>
      </w:pPr>
      <w:r>
        <w:rPr>
          <w:rFonts w:ascii="宋体" w:hAnsi="宋体"/>
          <w:sz w:val="24"/>
        </w:rPr>
        <w:t>• Docker Compose版本兼容：新版Docker使用docker compose（空格）而非docker-compose（横线）命令格式。</w:t>
      </w:r>
    </w:p>
    <w:p>
      <w:pPr>
        <w:pStyle w:val="Heading1"/>
      </w:pPr>
      <w:r>
        <w:rPr>
          <w:rFonts w:ascii="黑体" w:hAnsi="黑体"/>
          <w:sz w:val="28"/>
        </w:rPr>
        <w:t>五、实验总结</w:t>
      </w:r>
    </w:p>
    <w:p>
      <w:pPr>
        <w:spacing w:line="300" w:lineRule="auto"/>
        <w:ind w:firstLine="480"/>
      </w:pPr>
      <w:r>
        <w:rPr>
          <w:rFonts w:ascii="宋体" w:hAnsi="宋体"/>
          <w:sz w:val="24"/>
        </w:rPr>
        <w:t>本项目成功实现了一个基于大语言模型和金融数据接口的AI智能投研助手。通过将Gradio前端框架、AKShare数据接口、Plotly可视化引擎与大语言模型相结合，构建了一个功能完整、用户友好的投资研究工具。</w:t>
      </w:r>
    </w:p>
    <w:p>
      <w:pPr>
        <w:spacing w:line="300" w:lineRule="auto"/>
        <w:ind w:firstLine="480"/>
      </w:pPr>
      <w:r>
        <w:rPr>
          <w:rFonts w:ascii="宋体" w:hAnsi="宋体"/>
          <w:sz w:val="24"/>
        </w:rPr>
        <w:t>在技术层面，项目取得了以下成果：</w:t>
      </w:r>
    </w:p>
    <w:p>
      <w:pPr>
        <w:spacing w:line="300" w:lineRule="auto"/>
        <w:ind w:left="480"/>
      </w:pPr>
      <w:r>
        <w:rPr>
          <w:rFonts w:ascii="宋体" w:hAnsi="宋体"/>
          <w:sz w:val="24"/>
        </w:rPr>
        <w:t>（1）实现了A股和港股双市场的自动识别与数据获取，覆盖行情、财务、价格三类核心数据；</w:t>
      </w:r>
    </w:p>
    <w:p>
      <w:pPr>
        <w:spacing w:line="300" w:lineRule="auto"/>
        <w:ind w:left="480"/>
      </w:pPr>
      <w:r>
        <w:rPr>
          <w:rFonts w:ascii="宋体" w:hAnsi="宋体"/>
          <w:sz w:val="24"/>
        </w:rPr>
        <w:t>（2）设计了专业的金融分析师提示词，引导LLM生成结构化的深度研究报告；</w:t>
      </w:r>
    </w:p>
    <w:p>
      <w:pPr>
        <w:spacing w:line="300" w:lineRule="auto"/>
        <w:ind w:left="480"/>
      </w:pPr>
      <w:r>
        <w:rPr>
          <w:rFonts w:ascii="宋体" w:hAnsi="宋体"/>
          <w:sz w:val="24"/>
        </w:rPr>
        <w:t>（3）开发了四类交互式可视化图表，直观展示公司的营收趋势、盈利能力、估值水平和价格走势；</w:t>
      </w:r>
    </w:p>
    <w:p>
      <w:pPr>
        <w:spacing w:line="300" w:lineRule="auto"/>
        <w:ind w:left="480"/>
      </w:pPr>
      <w:r>
        <w:rPr>
          <w:rFonts w:ascii="宋体" w:hAnsi="宋体"/>
          <w:sz w:val="24"/>
        </w:rPr>
        <w:t>（4）解决了估值图表重复参数、港股数据不完整、日期列名兼容性等实际问题，增强了系统的鲁棒性；</w:t>
      </w:r>
    </w:p>
    <w:p>
      <w:pPr>
        <w:spacing w:line="300" w:lineRule="auto"/>
        <w:ind w:left="480"/>
      </w:pPr>
      <w:r>
        <w:rPr>
          <w:rFonts w:ascii="宋体" w:hAnsi="宋体"/>
          <w:sz w:val="24"/>
        </w:rPr>
        <w:t>（5）完成了Docker容器化部署，实现了从本地开发到云端上线的完整流程。</w:t>
      </w:r>
    </w:p>
    <w:p>
      <w:r>
        <w:t>（6）实施数据获取并行化与缓存优化，首次报告生成从约18秒降至约1秒（提速16倍），重复查询从约18秒降至约0.1秒（提速180倍），显著改善了用户体验。</w:t>
      </w:r>
    </w:p>
    <w:p>
      <w:r>
        <w:t xml:space="preserve">（7）完成全代码审查与安全加固：修复XSS漏洞、PE显示错误、Docker容器权限等7项问题，清理死代码与未使用依赖，消除重复代码，系统健壮性和安全性进一步提升。</w:t>
      </w:r>
    </w:p>
    <w:p>
      <w:pPr>
        <w:spacing w:line="300" w:lineRule="auto"/>
        <w:ind w:firstLine="480"/>
      </w:pPr>
      <w:r>
        <w:t>存在的不足与改进方向：目前港股财务数据的完整度仍受限于AKShare的接口覆盖范围，部分小型港股公司的财务指标可能缺失；报告的质量依赖于底层LLM的分析能力，不同模型之间的输出差异较大；系统尚不支持美股市场，未来可扩展三大市场全覆盖。此外，可考虑引入RAG技术，结合实时的行业研报和新闻资讯，进一步提升分析报告的深度和时效性。</w:t>
        <w:br/>
        <w:br/>
        <w:t>在性能优化方面，系统已通过并行数据获取、多级缓存和启动预热等方式显著改善了响应速度，但在网络环境较差或API限流的情况下，仍需进一步优化容错和降级策略，例如引入本地数据快照、多数据源切换等机制。</w:t>
      </w:r>
    </w:p>
    <w:p>
      <w:pPr>
        <w:pStyle w:val="Heading1"/>
      </w:pPr>
      <w:r>
        <w:rPr>
          <w:rFonts w:ascii="黑体" w:hAnsi="黑体"/>
          <w:sz w:val="28"/>
        </w:rPr>
        <w:t>参考文献</w:t>
      </w:r>
    </w:p>
    <w:p>
      <w:pPr>
        <w:spacing w:line="300" w:lineRule="auto"/>
      </w:pPr>
      <w:r>
        <w:rPr>
          <w:rFonts w:ascii="宋体" w:hAnsi="宋体"/>
          <w:sz w:val="21"/>
        </w:rPr>
        <w:t>[1] AKShare Documentation. https://akshare.akfamily.xyz/ [EB/OL].</w:t>
      </w:r>
    </w:p>
    <w:p>
      <w:pPr>
        <w:spacing w:line="300" w:lineRule="auto"/>
      </w:pPr>
      <w:r>
        <w:rPr>
          <w:rFonts w:ascii="宋体" w:hAnsi="宋体"/>
          <w:sz w:val="21"/>
        </w:rPr>
        <w:t>[2] Gradio Documentation. https://www.gradio.app/docs [EB/OL].</w:t>
      </w:r>
    </w:p>
    <w:p>
      <w:pPr>
        <w:spacing w:line="300" w:lineRule="auto"/>
      </w:pPr>
      <w:r>
        <w:rPr>
          <w:rFonts w:ascii="宋体" w:hAnsi="宋体"/>
          <w:sz w:val="21"/>
        </w:rPr>
        <w:t>[3] Plotly Python Documentation. https://plotly.com/python/ [EB/OL].</w:t>
      </w:r>
    </w:p>
    <w:p>
      <w:pPr>
        <w:spacing w:line="300" w:lineRule="auto"/>
      </w:pPr>
      <w:r>
        <w:rPr>
          <w:rFonts w:ascii="宋体" w:hAnsi="宋体"/>
          <w:sz w:val="21"/>
        </w:rPr>
        <w:t>[4] OpenAI API Documentation. https://platform.openai.com/docs/ [EB/OL].</w:t>
      </w:r>
    </w:p>
    <w:p>
      <w:pPr>
        <w:spacing w:line="300" w:lineRule="auto"/>
      </w:pPr>
      <w:r>
        <w:rPr>
          <w:rFonts w:ascii="宋体" w:hAnsi="宋体"/>
          <w:sz w:val="21"/>
        </w:rPr>
        <w:t>[5] DeepSeek API Documentation. https://platform.deepseek.com/docs [EB/OL].</w:t>
      </w:r>
    </w:p>
    <w:p>
      <w:pPr>
        <w:spacing w:line="300" w:lineRule="auto"/>
      </w:pPr>
      <w:r>
        <w:rPr>
          <w:rFonts w:ascii="宋体" w:hAnsi="宋体"/>
          <w:sz w:val="21"/>
        </w:rPr>
        <w:t>[6] Docker Documentation. https://docs.docker.com/ [EB/OL].</w:t>
      </w:r>
    </w:p>
    <w:p>
      <w:pPr>
        <w:spacing w:line="300" w:lineRule="auto"/>
      </w:pPr>
      <w:r>
        <w:rPr>
          <w:rFonts w:ascii="宋体" w:hAnsi="宋体"/>
          <w:sz w:val="21"/>
        </w:rPr>
        <w:t>[7] Abdin, M., et al. Phi-4 Technical Report. arXiv:2412.08905, 2024.</w:t>
      </w:r>
    </w:p>
    <w:p>
      <w:pPr>
        <w:spacing w:line="300" w:lineRule="auto"/>
      </w:pPr>
      <w:r>
        <w:rPr>
          <w:rFonts w:ascii="宋体" w:hAnsi="宋体"/>
          <w:sz w:val="21"/>
        </w:rPr>
        <w:t>[8] 阿里云ECS产品文档. https://help.aliyun.com/product/25365.html [EB/OL].</w:t>
      </w:r>
    </w:p>
    <w:p>
      <w:r>
        <w:t>问题4：系统搜索和生成报告响应速度较慢，首次使用需要约1分钟才能完成，影响用户体验。</w:t>
      </w:r>
    </w:p>
    <w:p>
      <w:r>
        <w:t>原因分析：经性能剖析发现三个瓶颈：（1）数据获取串行化——get_stock_info（行情信息）、get_financial_data（财务数据）、get_price_history（历史价格）三个网络请求串行执行，叠加后耗时较长；（2）首次搜索触发全市场数据下载——A股全市场约5000只股票的行情数据通过stock_zh_a_spot一次性拉取，耗时10-20秒；（3）无单股缓存——同一只股票重复查询时仍需重新请求所有API，无法复用已有结果。</w:t>
      </w:r>
    </w:p>
    <w:p>
      <w:r>
        <w:t>解决方案：实施四项并行与缓存优化。</w:t>
      </w:r>
    </w:p>
    <w:p>
      <w:r>
        <w:t>（1）数据获取并行化（ThreadPoolExecutor）：在fetch_all_data函数中使用Python内置的ThreadPoolExecutor并行执行get_stock_info、get_financial_data、get_price_history三个独立数据获取函数。三者互不依赖，并行后数据获取总耗时从串行叠加（约20秒）降为最慢的一项（约8秒），提速超过60%。</w:t>
      </w:r>
    </w:p>
    <w:p>
      <w:r>
        <w:t>（2）单股数据TTL缓存：为价格和财务数据新增基于股票代码的缓存层（_price_cache和_financial_cache），使用"{market}_{code}"作为缓存键，设置5分钟TTL。首次查询后，5分钟内对同一只股票的重复请求可直接从缓存返回，响应时间从约18秒降至0.1秒，提速达180倍。</w:t>
      </w:r>
    </w:p>
    <w:p>
      <w:r>
        <w:t>（3）启动预热机制（warmup_market_data）：系统启动时自动在后台线程调用_get_a_spot()和_get_hk_spot()预加载A股和港股全市场数据。用户首次使用搜索功能时缓存已就绪，不再需要等待全市场下载。预热过程在后台异步进行，不影响服务启动速度。</w:t>
      </w:r>
    </w:p>
    <w:p>
      <w:r>
        <w:t>（4）缩短历史数据拉取范围：将价格历史数据的start_date从"20180101"改为"20240101"，因为图表实际仅展示最近250个交易日（约1年）的数据。减少网络传输量约50%，单请求节省2-5秒。</w:t>
      </w:r>
    </w:p>
    <w:p>
      <w:r>
        <w:t>此外，将get_stock_info中的行情数据获取与全市场列表下载解耦：新增_peek_a_spot_cache()函数，仅在缓存已就绪时返回行情数据，不主动触发全市场下载。名称和行业信息通过stock_individual_info_em单股接口独立获取，首次生成报告不再被全市场拉取阻塞。</w:t>
      </w:r>
    </w:p>
    <w:p>
      <w:pPr>
        <w:pStyle w:val="Heading2"/>
      </w:pPr>
      <w:r>
        <w:t xml:space="preserve">4.3 代码审查与安全加固</w:t>
      </w:r>
    </w:p>
    <w:p>
      <w:r>
        <w:t xml:space="preserve">在项目迭代开发过程中，对全部源代码进行了系统性审查，从逻辑正确性、性能、可读性、安全性和最佳实践五个维度进行了评估，发现并修复了以下关键问题：</w:t>
      </w:r>
    </w:p>
    <w:p>
      <w:r>
        <w:t xml:space="preserve">1. XSS安全漏洞修复（app.py）：LLM生成的研报内容以 unsafe_allow_html=True 模式渲染，若LLM输出包含恶意script标签（可能通过prompt注入诱导），将在用户浏览器中执行。修复方案为移除 unsafe_allow_html 标志，改用Streamlit原生Markdown渲染，自动转义HTML标签，从根本上阻断XSS攻击向量。</w:t>
      </w:r>
    </w:p>
    <w:p>
      <w:r>
        <w:t xml:space="preserve">2. PE估值仪表盘修复（visualizer.py）：当PE数据缺失而PB数据存在时，create_valuation_gauge函数将PE值设为0并显示0.00倍PE，造成估值错误的假象。修复方案为PE缺失时直接展示PB指标并标注PE暂无数据，仅在PE有效时才展示PE仪表盘。</w:t>
      </w:r>
    </w:p>
    <w:p>
      <w:r>
        <w:t xml:space="preserve">3. LLM提示词优化（prompts.py / report_generator.py）：SYSTEM_PROMPT同时出现在system消息和用户prompt的system_prompt占位符中，导致约50个token的重复发送。修复方案为从用户prompt模板中移除system_prompt占位符，SYSTEM_PROMPT仅通过system消息发送一次。</w:t>
      </w:r>
    </w:p>
    <w:p>
      <w:r>
        <w:t xml:space="preserve">4. 重复代码消除（app.py）：热门股票按钮、搜索生成按钮、选择生成按钮四处均重复相同的LLM配置获取代码（4行乘4处等于16行）。提取为_get_llm_config辅助函数，减少代码冗余，统一配置获取逻辑。</w:t>
      </w:r>
    </w:p>
    <w:p>
      <w:r>
        <w:t xml:space="preserve">5. 市场类型解析加固（app.py）：原代码通过字符串匹配判断市场类型，若label格式变更将静默回退为A股。修复方案为新增search_codes、search_names、search_markets三个独立数组存储准确的市场标识符。</w:t>
      </w:r>
    </w:p>
    <w:p>
      <w:r>
        <w:t xml:space="preserve">6. Docker安全加固（Dockerfile）：容器原以root用户运行，存在权限提升风险。新增非root用户appuser（uid=1000），所有应用进程以受限用户身份运行，符合容器安全最佳实践。</w:t>
      </w:r>
    </w:p>
    <w:p>
      <w:r>
        <w:t xml:space="preserve">7. 死代码与未使用依赖清理：移除data_fetcher.py中未使用的lru_cache和as_completed导入，移除visualizer.py中未使用的os导入，移除requirements.txt中未使用的kaleido依赖，减小镜像体积和减少认知负担。</w:t>
      </w:r>
    </w:p>
    <w:p>
      <w:r>
        <w:t xml:space="preserve">以上修复覆盖了安全（XSS、容器权限）、数据正确性（PE显示、市场解析）、性能（token浪费、死依赖）和可维护性（重复代码、死import）四个维度，有效提升了系统的健壮性和安全性。</w:t>
      </w:r>
    </w:p>
    <w:p>
      <w:r>
        <w:t>性能对比（贵州茅台600519实测数据）：</w:t>
      </w:r>
    </w:p>
    <w:tbl>
      <w:tblPr>
        <w:tblStyle w:val="LightGrid-Accent1"/>
        <w:tblW w:type="auto" w:w="0"/>
        <w:tblLook w:firstColumn="1" w:firstRow="1" w:lastColumn="0" w:lastRow="0" w:noHBand="0" w:noVBand="1" w:val="04A0"/>
      </w:tblPr>
      <w:tblGrid>
        <w:gridCol w:w="4323"/>
        <w:gridCol w:w="4323"/>
      </w:tblGrid>
      <w:tr>
        <w:tc>
          <w:tcPr>
            <w:tcW w:type="dxa" w:w="4323"/>
          </w:tcPr>
          <w:p>
            <w:r>
              <w:rPr>
                <w:b/>
              </w:rPr>
              <w:t>场景</w:t>
            </w:r>
          </w:p>
        </w:tc>
        <w:tc>
          <w:tcPr>
            <w:tcW w:type="dxa" w:w="4323"/>
          </w:tcPr>
          <w:p>
            <w:r>
              <w:rPr>
                <w:b/>
              </w:rPr>
              <w:t>优化前 / 优化后</w:t>
            </w:r>
          </w:p>
        </w:tc>
      </w:tr>
      <w:tr>
        <w:tc>
          <w:tcPr>
            <w:tcW w:type="dxa" w:w="4323"/>
          </w:tcPr>
          <w:p>
            <w:r>
              <w:t>首次 fetch_all_data（无缓存）</w:t>
            </w:r>
          </w:p>
        </w:tc>
        <w:tc>
          <w:tcPr>
            <w:tcW w:type="dxa" w:w="4323"/>
          </w:tcPr>
          <w:p>
            <w:r>
              <w:t>约18秒 → 约1.1秒（提速16倍）</w:t>
            </w:r>
          </w:p>
        </w:tc>
      </w:tr>
      <w:tr>
        <w:tc>
          <w:tcPr>
            <w:tcW w:type="dxa" w:w="4323"/>
          </w:tcPr>
          <w:p>
            <w:r>
              <w:t>二次 fetch_all_data（缓存命中）</w:t>
            </w:r>
          </w:p>
        </w:tc>
        <w:tc>
          <w:tcPr>
            <w:tcW w:type="dxa" w:w="4323"/>
          </w:tcPr>
          <w:p>
            <w:r>
              <w:t>约18秒 → 约0.1秒（提速180倍）</w:t>
            </w:r>
          </w:p>
        </w:tc>
      </w:tr>
      <w:tr>
        <w:tc>
          <w:tcPr>
            <w:tcW w:type="dxa" w:w="4323"/>
          </w:tcPr>
          <w:p>
            <w:r>
              <w:t>搜索（预热后）</w:t>
            </w:r>
          </w:p>
        </w:tc>
        <w:tc>
          <w:tcPr>
            <w:tcW w:type="dxa" w:w="4323"/>
          </w:tcPr>
          <w:p>
            <w:r>
              <w:t>约20秒 → 即时响应</w:t>
            </w:r>
          </w:p>
        </w:tc>
      </w:tr>
      <w:tr>
        <w:tc>
          <w:tcPr>
            <w:tcW w:type="dxa" w:w="4323"/>
          </w:tcPr>
          <w:p>
            <w:r>
              <w:t>港股 fetch（缓存命中）</w:t>
            </w:r>
          </w:p>
        </w:tc>
        <w:tc>
          <w:tcPr>
            <w:tcW w:type="dxa" w:w="4323"/>
          </w:tcPr>
          <w:p>
            <w:r>
              <w:t>约5秒 → 约0.5秒（提速10倍）</w:t>
            </w:r>
          </w:p>
        </w:tc>
      </w:tr>
    </w:tbl>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