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260779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260779">
              <w:rPr>
                <w:b/>
              </w:rPr>
              <w:t>Tidal Flow Gaussian Mass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260779">
            <w:r w:rsidRPr="00260779">
              <w:rPr>
                <w:noProof/>
              </w:rPr>
              <w:drawing>
                <wp:inline distT="0" distB="0" distL="0" distR="0">
                  <wp:extent cx="3038475" cy="16192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08243" cy="3657600"/>
                            <a:chOff x="1143000" y="1752600"/>
                            <a:chExt cx="7208243" cy="36576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1143000" y="1752600"/>
                              <a:ext cx="7208243" cy="3657600"/>
                              <a:chOff x="1143000" y="1752600"/>
                              <a:chExt cx="7208243" cy="3657600"/>
                            </a:xfrm>
                          </a:grpSpPr>
                          <a:grpSp>
                            <a:nvGrpSpPr>
                              <a:cNvPr id="3" name="Group 18"/>
                              <a:cNvGrpSpPr>
                                <a:grpSpLocks noChangeAspect="1"/>
                              </a:cNvGrpSpPr>
                            </a:nvGrpSpPr>
                            <a:grpSpPr>
                              <a:xfrm>
                                <a:off x="1143000" y="1752600"/>
                                <a:ext cx="7208243" cy="3657600"/>
                                <a:chOff x="9677400" y="33070800"/>
                                <a:chExt cx="5143500" cy="2609910"/>
                              </a:xfrm>
                            </a:grpSpPr>
                            <a:sp>
                              <a:nvSpPr>
                                <a:cNvPr id="20" name="Rectangle 19"/>
                                <a:cNvSpPr/>
                              </a:nvSpPr>
                              <a:spPr>
                                <a:xfrm>
                                  <a:off x="10172700" y="332003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1" name="TextBox 20"/>
                                <a:cNvSpPr txBox="1"/>
                              </a:nvSpPr>
                              <a:spPr>
                                <a:xfrm rot="16200000">
                                  <a:off x="8742522" y="340056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2" name="TextBox 21"/>
                                <a:cNvSpPr txBox="1"/>
                              </a:nvSpPr>
                              <a:spPr>
                                <a:xfrm>
                                  <a:off x="12534900" y="35280600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37"/>
                                <a:cNvGrpSpPr/>
                              </a:nvGrpSpPr>
                              <a:grpSpPr>
                                <a:xfrm>
                                  <a:off x="10172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31" name="Freeform 3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2" name="Freeform 3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1"/>
                                <a:cNvGrpSpPr/>
                              </a:nvGrpSpPr>
                              <a:grpSpPr>
                                <a:xfrm>
                                  <a:off x="13220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29" name="Freeform 28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0" name="Freeform 29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5" name="TextBox 24"/>
                                <a:cNvSpPr txBox="1"/>
                              </a:nvSpPr>
                              <a:spPr>
                                <a:xfrm>
                                  <a:off x="11049000" y="33223200"/>
                                  <a:ext cx="2743200" cy="144655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32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Tidal Flow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Back-n-Forth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No spreading</a:t>
                                    </a:r>
                                    <a:endParaRPr lang="en-US" sz="2800" dirty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54" name="Wave 53"/>
                              <a:cNvSpPr/>
                            </a:nvSpPr>
                            <a:spPr>
                              <a:xfrm>
                                <a:off x="4343400" y="3810000"/>
                                <a:ext cx="1066800" cy="533400"/>
                              </a:xfrm>
                              <a:prstGeom prst="wav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D54CED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Gaussian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trivial </w:t>
            </w:r>
            <w:r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</w:t>
            </w:r>
            <w:r>
              <w:rPr>
                <w:sz w:val="24"/>
                <w:szCs w:val="24"/>
              </w:rPr>
              <w:t>boundary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54CE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D54CED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D54CED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12.4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D54CED">
            <w:pPr>
              <w:spacing w:before="60" w:after="60"/>
            </w:pPr>
            <w:r>
              <w:t>Comments:</w:t>
            </w:r>
            <w:r w:rsidR="00D54CED">
              <w:t xml:space="preserve"> Due to the periodic character of tidal flow in a dead-end basin, the correct  number product of the tidal frequency will be equal to initial mass distribution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1B21"/>
    <w:rsid w:val="00067412"/>
    <w:rsid w:val="00085DBB"/>
    <w:rsid w:val="00091213"/>
    <w:rsid w:val="000B3637"/>
    <w:rsid w:val="000C19CE"/>
    <w:rsid w:val="0017565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B951-D8CF-42E1-B16A-5A7D3526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5</cp:revision>
  <cp:lastPrinted>2010-11-10T19:31:00Z</cp:lastPrinted>
  <dcterms:created xsi:type="dcterms:W3CDTF">2010-11-29T16:10:00Z</dcterms:created>
  <dcterms:modified xsi:type="dcterms:W3CDTF">2010-11-29T17:17:00Z</dcterms:modified>
</cp:coreProperties>
</file>