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826E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| Mode | Classical | Flamenco | Acoustic |</w:t>
      </w:r>
    </w:p>
    <w:p w14:paraId="339892E0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|------|-----------|----------|----------|</w:t>
      </w:r>
    </w:p>
    <w:p w14:paraId="7F4757D7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|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Air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| 90–100 | 95–105 | 95–110 |</w:t>
      </w:r>
    </w:p>
    <w:p w14:paraId="6F01C358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|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Top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| 185–215 | 205–235 | 165–195 |</w:t>
      </w:r>
    </w:p>
    <w:p w14:paraId="31B00AEB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|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Back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| 210–250 | 195–225 | 230–270 |</w:t>
      </w:r>
    </w:p>
    <w:p w14:paraId="499FAE44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|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Dipole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| 360–410 | 380–420 | 390–430 |</w:t>
      </w:r>
    </w:p>
    <w:p w14:paraId="0DED38D4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|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Ring Mode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| 650–750 | 680–780 | 680–780 |</w:t>
      </w:r>
    </w:p>
    <w:p w14:paraId="60A9D37D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|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Upper Modes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| 850–2000 | 880–2000 | 900–2000 |</w:t>
      </w:r>
    </w:p>
    <w:p w14:paraId="6E233E45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8D16E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Things to Note</w:t>
      </w:r>
    </w:p>
    <w:p w14:paraId="28274640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BEBE33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Overlapping ranges: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top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and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back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overlap in the classification ranges for classical (190–230 Hz) and flamenco (190–240 Hz). Since </w:t>
      </w:r>
      <w:proofErr w:type="gramStart"/>
      <w:r>
        <w:rPr>
          <w:rFonts w:ascii="System Font" w:hAnsi="System Font" w:cs="System Font"/>
          <w:color w:val="000000"/>
          <w:kern w:val="0"/>
          <w:sz w:val="26"/>
          <w:szCs w:val="26"/>
        </w:rPr>
        <w:t>classify(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</w:rPr>
        <w:t>)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uses a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switch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that checks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top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before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back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top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wins in those overlap zones — so the back mode may never be classified there.</w:t>
      </w:r>
    </w:p>
    <w:p w14:paraId="01935FCE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CF1AEF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Gaps </w:t>
      </w:r>
      <w:r>
        <w:rPr>
          <w:rFonts w:ascii="Times New Roman" w:hAnsi="Times New Roman" w:cs="Times New Roman"/>
          <w:b/>
          <w:bCs/>
          <w:color w:val="000000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System Font" w:hAnsi="System Font" w:cs="System Font"/>
          <w:b/>
          <w:bCs/>
          <w:color w:val="000000"/>
          <w:kern w:val="0"/>
          <w:sz w:val="26"/>
          <w:szCs w:val="26"/>
        </w:rPr>
        <w:t>unknown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: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For classical, 110–170 Hz and 430–580 Hz fall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into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.unknown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. Similar gaps exist for the other types.</w:t>
      </w:r>
    </w:p>
    <w:p w14:paraId="5D490609" w14:textId="77777777" w:rsidR="00E62A46" w:rsidRDefault="00E62A46" w:rsidP="00E62A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92E8AE" w14:textId="557969FD" w:rsidR="005B0BEE" w:rsidRDefault="00E62A46" w:rsidP="00E62A4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Legacy cases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(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</w:rPr>
        <w:t>helmholtz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.cross​Grain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.long​Grain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.monopole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) have no frequency ranges — they only appear in saved data and are normalized to their modern equivalents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via </w:t>
      </w:r>
      <w:r>
        <w:rPr>
          <w:rFonts w:ascii="System Font" w:hAnsi="System Font" w:cs="System Font"/>
          <w:color w:val="000000"/>
          <w:kern w:val="0"/>
          <w:sz w:val="26"/>
          <w:szCs w:val="26"/>
        </w:rPr>
        <w:t>.normalized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.</w:t>
      </w:r>
    </w:p>
    <w:p w14:paraId="59BCE8CB" w14:textId="77777777" w:rsidR="00625B17" w:rsidRDefault="00625B17" w:rsidP="00E62A4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358D7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The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Guitar</w:t>
      </w:r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Mode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enum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uses a simplified, luthier-friendly classification that doesn't map 1:1 to the T(</w:t>
      </w:r>
      <w:proofErr w:type="spellStart"/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m,n</w:t>
      </w:r>
      <w:proofErr w:type="spellEnd"/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) plate mode notation. Here's how they relate:</w:t>
      </w:r>
    </w:p>
    <w:p w14:paraId="6054193A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1558C035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|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GuitarMode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| T(</w:t>
      </w:r>
      <w:proofErr w:type="spellStart"/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m,n</w:t>
      </w:r>
      <w:proofErr w:type="spellEnd"/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) | Notes |</w:t>
      </w:r>
    </w:p>
    <w:p w14:paraId="08D26795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|---|---|---|</w:t>
      </w:r>
    </w:p>
    <w:p w14:paraId="0ADC66B2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|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.air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|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1,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1)₁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Helmholtz | Coupled air resonance |</w:t>
      </w:r>
    </w:p>
    <w:p w14:paraId="445C6A8B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|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.top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|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1,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1)₂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Top | Top plate monopole (whole top moves in/out) |</w:t>
      </w:r>
    </w:p>
    <w:p w14:paraId="287032F6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|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.back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|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1,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1)₃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Back | Back plate monopole |</w:t>
      </w:r>
    </w:p>
    <w:p w14:paraId="735FC063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|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.dipole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|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2,1)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and/or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1,2)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| Both dipoles collapsed into one case |</w:t>
      </w:r>
    </w:p>
    <w:p w14:paraId="3B647892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|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.ring</w:t>
      </w:r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Mode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|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2,2)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Quadrupole | Likely maps here;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3,1) may also land here |</w:t>
      </w:r>
    </w:p>
    <w:p w14:paraId="18725461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|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.upper</w:t>
      </w:r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Modes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|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3,1)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and above | Catch-all for everything higher |</w:t>
      </w:r>
    </w:p>
    <w:p w14:paraId="751BD0D2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7270259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30"/>
          <w:szCs w:val="30"/>
        </w:rPr>
        <w:t>Key gaps</w:t>
      </w:r>
    </w:p>
    <w:p w14:paraId="3E91E620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7E3632A3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lastRenderedPageBreak/>
        <w:t>.dipole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 conflates two distinct modes.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2,1) (cross dipole) and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1,2) (long dipole) are physically different — they reflect cross-grain vs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along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-grain bending stiffness respectively. In a completed guitar they appear at different frequencies and the app can't distinguish them; whichever falls in the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dipole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frequency range gets that label.</w:t>
      </w:r>
    </w:p>
    <w:p w14:paraId="00418F54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6E244395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Quadrupole and cross-</w:t>
      </w:r>
      <w:proofErr w:type="spell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tripole</w:t>
      </w:r>
      <w:proofErr w:type="spell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share </w:t>
      </w:r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ringMode</w:t>
      </w:r>
      <w:proofErr w:type="spell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/</w:t>
      </w:r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upperModes</w:t>
      </w:r>
      <w:proofErr w:type="spellEnd"/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.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2,2) and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3,1) would both land in the upper range bands depending on the specific guitar.</w:t>
      </w:r>
    </w:p>
    <w:p w14:paraId="0041A292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6B1DE060" w14:textId="71066B11" w:rsidR="00625B17" w:rsidRDefault="00625B17" w:rsidP="00625B17">
      <w:pP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The T(</w:t>
      </w:r>
      <w:proofErr w:type="spellStart"/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m,n</w:t>
      </w:r>
      <w:proofErr w:type="spellEnd"/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) list you have is more physically precise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than the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Guitar</w:t>
      </w:r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Mode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enum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, which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prioritises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luthier workflow over acoustic physics completeness. The material measurement mode (two-tap L and C) is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actually closer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to the T(</w:t>
      </w:r>
      <w:proofErr w:type="spellStart"/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m,n</w:t>
      </w:r>
      <w:proofErr w:type="spellEnd"/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) approach — the longitudinal and cross-grain taps correspond roughly to the separate bending stiffness directions that define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1,2) and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2,1).</w:t>
      </w:r>
    </w:p>
    <w:p w14:paraId="47187865" w14:textId="77777777" w:rsidR="00625B17" w:rsidRDefault="00625B17" w:rsidP="00625B17">
      <w:pP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6A2FE174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The three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1,1) coupled modes dominate guitar acoustics. Everything else is secondary.</w:t>
      </w:r>
    </w:p>
    <w:p w14:paraId="49E91F45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6164C6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Primary Modes (Most Important)</w:t>
      </w:r>
    </w:p>
    <w:p w14:paraId="2663B714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3481D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1,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1)₁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— Air / Helmholtz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[</w:t>
      </w:r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.air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]</w:t>
      </w:r>
    </w:p>
    <w:p w14:paraId="13A2762D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Sets the lower bass cutoff; too low =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boomy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, too high = thin bass</w:t>
      </w:r>
    </w:p>
    <w:p w14:paraId="5A9C5691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Controls how efficiently the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soundhole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radiates low frequencies</w:t>
      </w:r>
    </w:p>
    <w:p w14:paraId="3AB1D7AF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Primarily determined by body volume and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soundhole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size</w:t>
      </w:r>
    </w:p>
    <w:p w14:paraId="53AC3AB3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1154D4F9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1,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1)₂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 — Top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[</w:t>
      </w:r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.top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]</w:t>
      </w:r>
    </w:p>
    <w:p w14:paraId="7E7B162A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• The single most important mode — largest influence on volume and bass character</w:t>
      </w:r>
    </w:p>
    <w:p w14:paraId="530E54EC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• Where fundamentals of E2–A3 strings radiate most strongly</w:t>
      </w:r>
    </w:p>
    <w:p w14:paraId="67DCD1C0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• Sets the "warmth vs brightness" character more than any other mode</w:t>
      </w:r>
    </w:p>
    <w:p w14:paraId="1D67A1CC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2BB6C9EE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1,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1)₃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 — Back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[</w:t>
      </w:r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.back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]</w:t>
      </w:r>
    </w:p>
    <w:p w14:paraId="1E6D797E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• Contributes midrange presence and overall loudness through coupling</w:t>
      </w:r>
    </w:p>
    <w:p w14:paraId="68DA9BEE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• Its relationship to Top is critical — typically should be 30–50 Hz higher than Top for classical</w:t>
      </w:r>
    </w:p>
    <w:p w14:paraId="259CEC67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1025F753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30"/>
          <w:szCs w:val="30"/>
        </w:rPr>
        <w:t>Critical Relationships (More Important Than Individual Frequencies)</w:t>
      </w:r>
    </w:p>
    <w:p w14:paraId="1B8DDEB5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2CA57808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Top/Air ratio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— already computed as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tap</w:t>
      </w:r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Tone</w:t>
      </w:r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​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Ratio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in your code. Ideally ~2.0–2.5 for classical. Too close = muddy bass, too far apart = uneven response across registers.</w:t>
      </w:r>
    </w:p>
    <w:p w14:paraId="62FAA02C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3DFACF3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Top/Back spacing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— if they sit too close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together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they interfere destructively; if Back is lower than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Top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the guitar sounds thin.</w:t>
      </w:r>
    </w:p>
    <w:p w14:paraId="76FAAE81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0A058EF7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Q factors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of Air and Top — a sharp, high-Q Air peak resonates efficiently but over a narrow band. Lower Q spreads energy more broadly. The app captures this per peak.</w:t>
      </w:r>
    </w:p>
    <w:p w14:paraId="124A5633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8D9AC68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30"/>
          <w:szCs w:val="30"/>
        </w:rPr>
        <w:t>Secondary Modes</w:t>
      </w:r>
    </w:p>
    <w:p w14:paraId="61B7EF5D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6866BDF7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2,1) /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1,2) — Dipole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[</w:t>
      </w:r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.dipole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]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— ~330–460 Hz</w:t>
      </w:r>
    </w:p>
    <w:p w14:paraId="48929E3F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• Both halves of the plate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move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in opposition, so they partially cancel and radiate less efficiently</w:t>
      </w:r>
    </w:p>
    <w:p w14:paraId="3BCDB7D8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• Create response notches in upper bass / lower midrange</w:t>
      </w:r>
    </w:p>
    <w:p w14:paraId="5E12B4F4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• Influence tonal balance but rarely a "fix this" metric for luthiers</w:t>
      </w:r>
    </w:p>
    <w:p w14:paraId="0EB4EC87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4DE2C27F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T(</w:t>
      </w:r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2,2) — Ring/Quadrupole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[</w:t>
      </w:r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ringMode</w:t>
      </w:r>
      <w:proofErr w:type="spellEnd"/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]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— ~580–880 Hz</w:t>
      </w:r>
    </w:p>
    <w:p w14:paraId="0F4C589B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• Affects upper midrange character ("nasal" quality)</w:t>
      </w:r>
    </w:p>
    <w:p w14:paraId="7EEFFD4F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• More important for violins than guitars; luthiers track it but don't optimize for it directly</w:t>
      </w:r>
    </w:p>
    <w:p w14:paraId="57D5B915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3D2A3E5C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 xml:space="preserve">Upper modes </w:t>
      </w:r>
      <w:proofErr w:type="gram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[</w:t>
      </w:r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.</w:t>
      </w:r>
      <w:proofErr w:type="spellStart"/>
      <w:r>
        <w:rPr>
          <w:rFonts w:ascii="System Font" w:eastAsia="System Font" w:hAnsi="Helvetica Neue" w:cs="System Font"/>
          <w:b/>
          <w:bCs/>
          <w:color w:val="000000"/>
          <w:kern w:val="0"/>
          <w:sz w:val="26"/>
          <w:szCs w:val="26"/>
        </w:rPr>
        <w:t>upperModes</w:t>
      </w:r>
      <w:proofErr w:type="spellEnd"/>
      <w:proofErr w:type="gramEnd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]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— treble shimmer, generally not individually targeted</w:t>
      </w:r>
    </w:p>
    <w:p w14:paraId="18A72033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5E8AF0A9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30"/>
          <w:szCs w:val="30"/>
        </w:rPr>
        <w:t>Practical Priority for Your App</w:t>
      </w:r>
    </w:p>
    <w:p w14:paraId="133F5CB6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00D47961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The metrics that matter most in practice:</w:t>
      </w:r>
    </w:p>
    <w:p w14:paraId="724127BF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1.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Air frequency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— body tuning</w:t>
      </w:r>
    </w:p>
    <w:p w14:paraId="489EBC5B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2.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Top frequency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— primary character</w:t>
      </w:r>
    </w:p>
    <w:p w14:paraId="0CACB891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3.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Top/Air ratio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— bass balance</w:t>
      </w:r>
    </w:p>
    <w:p w14:paraId="59314D6B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4.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Top Q factor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— sustain/projection efficiency</w:t>
      </w:r>
    </w:p>
    <w:p w14:paraId="5373EB4B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5.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Back frequency relative to Top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— coupling behavior</w:t>
      </w:r>
    </w:p>
    <w:p w14:paraId="21168BE4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6. </w:t>
      </w: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Decay time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— overall sustain</w:t>
      </w:r>
    </w:p>
    <w:p w14:paraId="79017607" w14:textId="77777777" w:rsidR="00625B17" w:rsidRDefault="00625B17" w:rsidP="00625B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080045E2" w14:textId="4819E054" w:rsidR="00625B17" w:rsidRDefault="00625B17" w:rsidP="00625B17"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The dipole and higher modes are worth displaying but aren't typically what a luthier adjusts bracing to optimize.</w:t>
      </w:r>
    </w:p>
    <w:sectPr w:rsidR="00625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88"/>
    <w:family w:val="auto"/>
    <w:pitch w:val="variable"/>
    <w:sig w:usb0="00000003" w:usb1="08080000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46"/>
    <w:rsid w:val="002B4C4C"/>
    <w:rsid w:val="005B0BEE"/>
    <w:rsid w:val="00625B17"/>
    <w:rsid w:val="008A2CE2"/>
    <w:rsid w:val="00AD051C"/>
    <w:rsid w:val="00D35980"/>
    <w:rsid w:val="00E105AF"/>
    <w:rsid w:val="00E6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90D43"/>
  <w15:chartTrackingRefBased/>
  <w15:docId w15:val="{5ADC2F8C-593F-254A-A34E-3676B46F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2</cp:revision>
  <dcterms:created xsi:type="dcterms:W3CDTF">2026-02-19T22:13:00Z</dcterms:created>
  <dcterms:modified xsi:type="dcterms:W3CDTF">2026-02-19T22:20:00Z</dcterms:modified>
</cp:coreProperties>
</file>