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0" w:line="256" w:lineRule="auto"/>
      </w:pPr>
      <w:r>
        <w:rPr>
          <w:b w:val="1"/>
          <w:bCs w:val="1"/>
          <w:color w:val="b73532"/>
          <w:sz w:val="24"/>
          <w:szCs w:val="24"/>
        </w:rPr>
        <w:t xml:space="preserve">KPN Corp — Downstream (Energi-up)</w:t>
      </w:r>
    </w:p>
    <w:p>
      <w:pPr>
        <w:pBdr>
          <w:bottom w:color="b73532" w:space="1" w:sz="12" w:val="single"/>
        </w:pBdr>
        <w:spacing w:after="240"/>
      </w:pPr>
    </w:p>
    <w:p>
      <w:pPr>
        <w:spacing w:after="40" w:line="256" w:lineRule="auto"/>
      </w:pPr>
      <w:r>
        <w:rPr>
          <w:b w:val="1"/>
          <w:bCs w:val="1"/>
          <w:color w:val="0e2841"/>
          <w:sz w:val="50"/>
          <w:szCs w:val="50"/>
        </w:rPr>
        <w:t xml:space="preserve">BC Inventory Reporting System</w:t>
      </w:r>
    </w:p>
    <w:p>
      <w:pPr>
        <w:spacing w:after="60" w:line="256" w:lineRule="auto"/>
      </w:pPr>
      <w:r>
        <w:rPr>
          <w:color w:val="444444"/>
          <w:sz w:val="30"/>
          <w:szCs w:val="30"/>
        </w:rPr>
        <w:t xml:space="preserve">Technical Documentation (TDD)</w:t>
      </w:r>
    </w:p>
    <w:p>
      <w:pPr>
        <w:spacing w:after="200" w:line="256" w:lineRule="auto"/>
      </w:pPr>
      <w:r>
        <w:rPr>
          <w:color w:val="6b6b6b"/>
          <w:sz w:val="21"/>
          <w:szCs w:val="21"/>
        </w:rPr>
        <w:t xml:space="preserve">System design for the replacement of the legacy Web IT Inventory / BC Reports application</w:t>
      </w:r>
    </w:p>
    <w:p>
      <w:pPr>
        <w:spacing w:after="300" w:line="256" w:lineRule="auto"/>
      </w:pPr>
      <w:r>
        <w:rPr>
          <w:color w:val="6b6b6b"/>
          <w:sz w:val="20"/>
          <w:szCs w:val="20"/>
        </w:rPr>
        <w:t xml:space="preserve">React SPA · ASP.NET Core API · PostgreSQL — Multi-entity, Multi-site, Multi-user</w:t>
      </w:r>
    </w:p>
    <w:p>
      <w:pPr>
        <w:spacing w:after="40" w:line="256" w:lineRule="auto"/>
      </w:pPr>
      <w:r>
        <w:rPr>
          <w:color w:val="222222"/>
          <w:sz w:val="21"/>
          <w:szCs w:val="21"/>
        </w:rPr>
        <w:t xml:space="preserve">Prepared for: Jerry Pratama, Head of IT</w:t>
      </w:r>
    </w:p>
    <w:p>
      <w:pPr>
        <w:spacing w:after="40" w:line="256" w:lineRule="auto"/>
      </w:pPr>
      <w:r>
        <w:rPr>
          <w:color w:val="222222"/>
          <w:sz w:val="21"/>
          <w:szCs w:val="21"/>
        </w:rPr>
        <w:t xml:space="preserve">Version: 1.1 (Draft)   ·   Date: 27 July 2026</w:t>
      </w:r>
    </w:p>
    <w:p>
      <w:pPr>
        <w:spacing w:after="200" w:line="256" w:lineRule="auto"/>
      </w:pPr>
      <w:r>
        <w:rPr>
          <w:color w:val="6b6b6b"/>
          <w:sz w:val="19"/>
          <w:szCs w:val="19"/>
        </w:rPr>
        <w:t xml:space="preserve">Basis: PRD v1.2 (27 Jul 2026) · UI Mockup · BC23 / BC40 upload template analysis</w:t>
      </w:r>
    </w:p>
    <w:p>
      <w:pPr>
        <w:pStyle w:val="Heading1"/>
      </w:pPr>
      <w:r>
        <w:t xml:space="preserve">Document Control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800"/>
        <w:gridCol w:w="7560"/>
      </w:tblGrid>
      <w:tr>
        <w:tc>
          <w:tcPr>
            <w:tcW w:w="18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w="75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Document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 Inventory Reporting System — Technical Documentation (TDD) v1.1 Draft — field names aligned verbatim to the upload column headers (PRD v1.2 App. D &amp; E)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Author / owner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IT — Energi-up / KPN Downstream (Jerry Pratama, Head of IT)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Audience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Development team, infrastructure/DevOps, security reviewers, project stakeholders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Basis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PRD v1.1 (incl. Appendices D &amp; E field mapping); BC_Inventory_System_Mockup.html; BC23/BC40 sample extracts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Key constraints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PostgreSQL database · separated Frontend and Backend · concurrent multi-user access · p95 latency ≤ 2 s for every interactive action (load, click, filter)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Traceability</w:t>
            </w:r>
          </w:p>
        </w:tc>
        <w:tc>
          <w:tcPr>
            <w:tcW w:w="75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Appendix C maps every PRD functional requirement to components, endpoints and tables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1. Introduction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This document translates PRD v1.1 into a buildable technical design: architecture, technology stack, database schema, API specification, security model, ingestion pipeline, and the engineering measures that guarantee the two hard non-functional constraints — </w:t>
      </w:r>
      <w:r>
        <w:rPr>
          <w:b w:val="1"/>
          <w:bCs w:val="1"/>
          <w:color w:val="222222"/>
          <w:sz w:val="20"/>
          <w:szCs w:val="20"/>
        </w:rPr>
        <w:t xml:space="preserve">concurrent multi-user access</w:t>
      </w:r>
      <w:r>
        <w:rPr>
          <w:color w:val="222222"/>
          <w:sz w:val="20"/>
          <w:szCs w:val="20"/>
        </w:rPr>
        <w:t xml:space="preserve"> and </w:t>
      </w:r>
      <w:r>
        <w:rPr>
          <w:b w:val="1"/>
          <w:bCs w:val="1"/>
          <w:color w:val="222222"/>
          <w:sz w:val="20"/>
          <w:szCs w:val="20"/>
        </w:rPr>
        <w:t xml:space="preserve">≤ 2 seconds p95 latency for every interactive action</w:t>
      </w:r>
      <w:r>
        <w:rPr>
          <w:color w:val="222222"/>
          <w:sz w:val="20"/>
          <w:szCs w:val="20"/>
        </w:rPr>
        <w:t xml:space="preserve"> (screen load, click, filter, sort, page).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It is deliberately concrete: table and endpoint names here are the names to use in code. Where the PRD leaves an open question (§13), this document states the working assumption and marks it.</w:t>
      </w:r>
    </w:p>
    <w:p>
      <w:pPr>
        <w:pStyle w:val="Heading3"/>
      </w:pPr>
      <w:r>
        <w:t xml:space="preserve">1.1 References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400"/>
        <w:gridCol w:w="7960"/>
      </w:tblGrid>
      <w:tr>
        <w:tc>
          <w:tcPr>
            <w:tcW w:w="14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w="79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Document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R1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BC_Inventory_System_PRD_v1.2.docx — requirements, roles, FR/NFR, Appendices A–E (incl. the verbatim field-naming rule)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R2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BC_Inventory_System_Mockup.html — UI reference incl. interactive report grid (FR-R9–R13)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R3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BC23 Report.xls / BC40 Report.xls — real upload templates (TSV / HTML disguised as .xls)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R4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SAP extract layout &amp; shared-folder handshake specification — separate document, pending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2. System Overview &amp; Architecture</w:t>
      </w:r>
    </w:p>
    <w:p>
      <w:pPr>
        <w:pStyle w:val="Heading2"/>
      </w:pPr>
      <w:r>
        <w:t xml:space="preserve">2.1 Architecture style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A </w:t>
      </w:r>
      <w:r>
        <w:rPr>
          <w:b w:val="1"/>
          <w:bCs w:val="1"/>
          <w:color w:val="222222"/>
          <w:sz w:val="20"/>
          <w:szCs w:val="20"/>
        </w:rPr>
        <w:t xml:space="preserve">separated frontend/backend</w:t>
      </w:r>
      <w:r>
        <w:rPr>
          <w:color w:val="222222"/>
          <w:sz w:val="20"/>
          <w:szCs w:val="20"/>
        </w:rPr>
        <w:t xml:space="preserve"> architecture: a React single-page application served as static assets, talking JSON over HTTPS to a stateless ASP.NET Core Web API, backed by a single PostgreSQL database. Long-running work (folder ingestion, parsing, exports, e-mail) runs in a separate background worker process so it can never consume the interactive request pool — this isolation is a load-bearing part of the ≤2 s guarantee.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The backend is a </w:t>
      </w:r>
      <w:r>
        <w:rPr>
          <w:b w:val="1"/>
          <w:bCs w:val="1"/>
          <w:color w:val="222222"/>
          <w:sz w:val="20"/>
          <w:szCs w:val="20"/>
        </w:rPr>
        <w:t xml:space="preserve">modular monolith</w:t>
      </w:r>
      <w:r>
        <w:rPr>
          <w:color w:val="222222"/>
          <w:sz w:val="20"/>
          <w:szCs w:val="20"/>
        </w:rPr>
        <w:t xml:space="preserve"> (one deployable API, strictly separated modules: Auth, Reporting, Ingestion, MasterData, Admin, Notifications, Audit). This fits a 6-entity / ~200-user system; modules can be split into services later without API changes.</w:t>
      </w:r>
    </w:p>
    <w:p>
      <w:pPr>
        <w:pStyle w:val="Heading3"/>
      </w:pPr>
      <w:r>
        <w:t xml:space="preserve">2.2 Component diagram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Users (HO + sites, concurrent)                SAP (per entity/site/TPB)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│  HTTPS                                        │ writes extract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▼                                                ▼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┌──────────────┐      ┌──────────────────┐      ┌─────────────┐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│ nginx        │      │ ASP.NET Core API   │      │ Shared folder│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│  static SPA  │ /api │  REST /api/v1      │      │ (SMB/NFS)   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│  reverse-    ├────▶│  + SignalR hub     │      └──────┬──────┘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│  proxy, TLS  │      │  (2+ replicas)     │             │ poll 60s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└──────────────┘      └─────┬────────────┘             ▼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          │              ┌────────────────────┐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          │ PgBouncer    │ Background worker 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          ▼              │ watcher · parser ·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┌──────────────┐       │ validator · export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│ PostgreSQL 16│◀──────┤ builder · e-mail ·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│ (+ WAL/repl) │       │ digests (Hangfire) │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└──────────────┘       └────────────────────┘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Corporate IdP (Entra) ◀─ OIDC ─ API        SMTP relay ◀─ e-mail alerts</w:t>
      </w:r>
    </w:p>
    <w:p>
      <w:pPr>
        <w:spacing w:after="40" w:line="256" w:lineRule="auto"/>
      </w:pPr>
    </w:p>
    <w:p>
      <w:pPr>
        <w:pStyle w:val="Heading3"/>
      </w:pPr>
      <w:r>
        <w:t xml:space="preserve">2.3 Technology stack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900"/>
        <w:gridCol w:w="3100"/>
        <w:gridCol w:w="4360"/>
      </w:tblGrid>
      <w:tr>
        <w:tc>
          <w:tcPr>
            <w:tcW w:w="19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w="31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w="43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React 18 + TypeScript + Vite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PRD recommendation; fast dev builds; code-splitting per screen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Data grid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AG Grid Community (MIT)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Column chooser, drag-reorder, multi-sort, virtualised rows out of the box — maps 1:1 to FR-R9–R13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FE server state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TanStack Query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Request caching/dedup, background refetch — contributes to ≤2 s on repeat actions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.NET 8 LTS, ASP.NET Core Web API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Reuses in-house ASP.NET skills (PRD §10); high-throughput async runtime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Report queries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Dapper (raw SQL)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Hand-tuned paged SQL for the grid; EF Core 8 elsewhere (CRUD, migrations)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Background jobs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Hangfire (PostgreSQL storage)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Folder polling, parsing, exports, e-mail, digests; retries + dashboard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Realtime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SignalR (WebSocket, fallback SSE)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In-app notification push without polling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PostgreSQL 16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Group direction (PRD §10); partitioning, JSONB, RLS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Pooling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PgBouncer (transaction mode)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Protects Postgres under concurrent load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AuthN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OIDC/PKCE to Entra ID + local accounts (Argon2id)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Hybrid model per PRD §6.1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Exports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ClosedXML (xlsx), CsvHelper, QuestPDF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Server-rendered exports, built in the worker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Edge</w:t>
            </w:r>
          </w:p>
        </w:tc>
        <w:tc>
          <w:tcPr>
            <w:tcW w:w="31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nginx</w:t>
            </w:r>
          </w:p>
        </w:tc>
        <w:tc>
          <w:tcPr>
            <w:tcW w:w="4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TLS termination, static SPA, reverse proxy, gzip/brotli, rate limiting</w:t>
            </w:r>
          </w:p>
        </w:tc>
      </w:tr>
    </w:tbl>
    <w:p>
      <w:pPr>
        <w:spacing w:after="60" w:line="256" w:lineRule="auto"/>
      </w:pPr>
    </w:p>
    <w:p>
      <w:pPr>
        <w:pStyle w:val="Heading3"/>
      </w:pPr>
      <w:r>
        <w:t xml:space="preserve">2.4 Key design decisions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500"/>
        <w:gridCol w:w="4200"/>
        <w:gridCol w:w="4660"/>
      </w:tblGrid>
      <w:tr>
        <w:tc>
          <w:tcPr>
            <w:tcW w:w="5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2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w="46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D1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Column projection end-to-end: the grid requests only the visible columns; SQL selects only those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Less I/O and serialization; adding/removing a column stays fast even on wide (80-field) datasets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D2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Keyset (cursor) pagination for grids; OFFSET only allowed for page numbers ≤ 40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Stable ≤2 s paging at any depth of a multi-year dataset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D3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 writes to staging tables, then set-based upsert into canonical tables in one transaction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Idempotency (FR-I6) and no partially-visible loads for report readers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D4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Scope enforcement in the API query builder + PostgreSQL RLS as defense-in-depth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 bug in one layer cannot leak out-of-scope rows (PRD §6.2)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D5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Dashboard KPIs read from materialized views refreshed after each ingestion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Dashboard ≤2 s without scanning fact tables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D6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Exports are asynchronous jobs with notification on completion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 4,812-row (or 500k-row) export never blocks an interactive request</w:t>
            </w:r>
          </w:p>
        </w:tc>
      </w:tr>
      <w:tr>
        <w:tc>
          <w:tcPr>
            <w:tcW w:w="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D7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Template-typed extension tables (pib_line_details, bc40_line_details) hold every upload field, with column names taken verbatim from the upload headers (repeated names qualified by their source group, e.g. “Amount After Facility / BM”, “Purchase Order / Qty”)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FR-I10: all fields captured, typed, under exactly the names users see in the source file — zero translation between upload and system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3. Frontend Design</w:t>
      </w:r>
    </w:p>
    <w:p>
      <w:pPr>
        <w:pStyle w:val="Heading2"/>
      </w:pPr>
      <w:r>
        <w:t xml:space="preserve">3.1 Application structure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src/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app/            routing, auth guard, layout (sidebar/topbar per mockup)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api/            typed API client (fetch + TanStack Query hooks)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features/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dashboard/    KPI cards, trend chart, latest ingestion, unread alerts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reports/      report shell, filter bar, ReportGrid, column chooser, saved views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ingestion/    recent ingestions, manual upload, validation results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notifications/ notification center (SignalR + read state)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admin/        users &amp; scope, master data, alert rules, audit log, settings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shared/         UI kit (KPN theme), formatters, i18n (id/EN), error boundary</w:t>
      </w:r>
    </w:p>
    <w:p>
      <w:pPr>
        <w:spacing w:after="40" w:line="256" w:lineRule="auto"/>
      </w:pP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Each feature is a lazy-loaded route chunk; the initial bundle contains only the shell and dashboard (~200 kB gzipped budget), so first meaningful paint stays inside the 2 s load SLO on the corporate WAN.</w:t>
      </w:r>
    </w:p>
    <w:p>
      <w:pPr>
        <w:pStyle w:val="Heading2"/>
      </w:pPr>
      <w:r>
        <w:t xml:space="preserve">3.2 Report grid (FR-R9–R13)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Server-side row model</w:t>
      </w:r>
      <w:r>
        <w:rPr>
          <w:color w:val="222222"/>
          <w:sz w:val="20"/>
          <w:szCs w:val="20"/>
        </w:rPr>
        <w:t xml:space="preserve">: AG Grid requests pages from POST /reports/{key}/query with the visible columns, sort array and filter set; rows are never all loaded client-side (NFR: multi-year ranges).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Column chooser</w:t>
      </w:r>
      <w:r>
        <w:rPr>
          <w:color w:val="222222"/>
          <w:sz w:val="20"/>
          <w:szCs w:val="20"/>
        </w:rPr>
        <w:t xml:space="preserve"> lists the report’s full field catalog from GET /reports/{key} — every stored field under its exact upload header name (PRD App. D/E), with source group labels; toggling visibility triggers a refetch with the new projection.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Sorting</w:t>
      </w:r>
      <w:r>
        <w:rPr>
          <w:color w:val="222222"/>
          <w:sz w:val="20"/>
          <w:szCs w:val="20"/>
        </w:rPr>
        <w:t xml:space="preserve">: header click = single sort, Shift+click appends (max 3 keys); sort is part of the query, executed in SQL.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Reordering</w:t>
      </w:r>
      <w:r>
        <w:rPr>
          <w:color w:val="222222"/>
          <w:sz w:val="20"/>
          <w:szCs w:val="20"/>
        </w:rPr>
        <w:t xml:space="preserve">: AG Grid drag-and-drop; order is client-side presentation plus persisted layout.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Persistence (FR-R12)</w:t>
      </w:r>
      <w:r>
        <w:rPr>
          <w:color w:val="222222"/>
          <w:sz w:val="20"/>
          <w:szCs w:val="20"/>
        </w:rPr>
        <w:t xml:space="preserve">: layout (columns, order, sorts, page size) auto-saves per user per report (debounced 2 s) to saved_views as the implicit “last layout”; users can also save named views and share them within scope.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Exports (FR-R13)</w:t>
      </w:r>
      <w:r>
        <w:rPr>
          <w:color w:val="222222"/>
          <w:sz w:val="20"/>
          <w:szCs w:val="20"/>
        </w:rPr>
        <w:t xml:space="preserve">: the export request carries the same projection/sort/filters as the grid; the UI shows a toast and a notification when the file is ready.</w:t>
      </w:r>
    </w:p>
    <w:p>
      <w:pPr>
        <w:pStyle w:val="Heading3"/>
      </w:pPr>
      <w:r>
        <w:t xml:space="preserve">3.3 State, errors, i18n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TanStack Query caches per (report, filters, columns, sort, cursor) key for 60 s — back/forward between pages is instant; mutations invalidate precisely.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All API errors render as inline problem banners with the correlation id; 401 triggers silent token refresh then redirect to login; 403 renders the scope message.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i18next with id (default) and en; all dates rendered dd.MM.yyyy, numbers with Indonesian grouping.</w:t>
      </w:r>
    </w:p>
    <w:p>
      <w:pPr>
        <w:pStyle w:val="Heading1"/>
      </w:pPr>
      <w:r>
        <w:t xml:space="preserve">4. Backend Design</w:t>
      </w:r>
    </w:p>
    <w:p>
      <w:pPr>
        <w:pStyle w:val="Heading2"/>
      </w:pPr>
      <w:r>
        <w:t xml:space="preserve">4.1 Solution layout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src/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Api/                 controllers, SignalR hub, middleware (auth, scope, problem+json)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Modules/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Auth/              OIDC handshake, local login, MFA, tokens, password reset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Reporting/         report catalog, query builder, saved views, export jobs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Ingestion/         folder watcher, format sniffing, parsers, validators, loader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MasterData/        entities, sites, TPB permits, materials (+ dedup rules)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Admin/             users, roles, scope, alert rules, system settings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Notifications/     rule engine, digests, e-mail (MailKit), in-app store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Audit/             append-only audit writer + query API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Infrastructure/      EF Core DbContext, Dapper, Hangfire, SMTP, file access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Worker/              Hangfire server host (separate process/container)</w:t>
      </w:r>
    </w:p>
    <w:p>
      <w:pPr>
        <w:spacing w:after="40" w:line="256" w:lineRule="auto"/>
      </w:pPr>
    </w:p>
    <w:p>
      <w:pPr>
        <w:pStyle w:val="Heading3"/>
      </w:pPr>
      <w:r>
        <w:t xml:space="preserve">4.2 Request pipeline</w:t>
      </w:r>
    </w:p>
    <w:p>
      <w:pPr>
        <w:numPr>
          <w:ilvl w:val="0"/>
          <w:numId w:val="3"/>
        </w:numPr>
        <w:spacing w:after="40" w:line="256" w:lineRule="auto"/>
      </w:pPr>
      <w:r>
        <w:rPr>
          <w:color w:val="222222"/>
          <w:sz w:val="20"/>
          <w:szCs w:val="20"/>
        </w:rPr>
        <w:t xml:space="preserve">nginx: TLS, gzip, rate limit, forwards /api and /hubs to an API replica (round-robin).</w:t>
      </w:r>
    </w:p>
    <w:p>
      <w:pPr>
        <w:numPr>
          <w:ilvl w:val="0"/>
          <w:numId w:val="3"/>
        </w:numPr>
        <w:spacing w:after="40" w:line="256" w:lineRule="auto"/>
      </w:pPr>
      <w:r>
        <w:rPr>
          <w:color w:val="222222"/>
          <w:sz w:val="20"/>
          <w:szCs w:val="20"/>
        </w:rPr>
        <w:t xml:space="preserve">Middleware: correlation id → JWT validation → user/scope resolution (in-memory cache, 60 s TTL, busted on admin change) → module endpoint.</w:t>
      </w:r>
    </w:p>
    <w:p>
      <w:pPr>
        <w:numPr>
          <w:ilvl w:val="0"/>
          <w:numId w:val="3"/>
        </w:numPr>
        <w:spacing w:after="40" w:line="256" w:lineRule="auto"/>
      </w:pPr>
      <w:r>
        <w:rPr>
          <w:color w:val="222222"/>
          <w:sz w:val="20"/>
          <w:szCs w:val="20"/>
        </w:rPr>
        <w:t xml:space="preserve">Endpoint: FluentValidation on the DTO → handler → Dapper/EF → envelope response. Every handler sets PostgreSQL app.user_id for RLS defense-in-depth.</w:t>
      </w:r>
    </w:p>
    <w:p>
      <w:pPr>
        <w:numPr>
          <w:ilvl w:val="0"/>
          <w:numId w:val="3"/>
        </w:numPr>
        <w:spacing w:after="40" w:line="256" w:lineRule="auto"/>
      </w:pPr>
      <w:r>
        <w:rPr>
          <w:color w:val="222222"/>
          <w:sz w:val="20"/>
          <w:szCs w:val="20"/>
        </w:rPr>
        <w:t xml:space="preserve">Unhandled errors return RFC 7807 problem+json with correlation id; details go to logs only.</w:t>
      </w:r>
    </w:p>
    <w:p>
      <w:pPr>
        <w:pStyle w:val="Heading2"/>
      </w:pPr>
      <w:r>
        <w:t xml:space="preserve">4.3 Report query builder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The reporting module owns a </w:t>
      </w:r>
      <w:r>
        <w:rPr>
          <w:b w:val="1"/>
          <w:bCs w:val="1"/>
          <w:color w:val="222222"/>
          <w:sz w:val="20"/>
          <w:szCs w:val="20"/>
        </w:rPr>
        <w:t xml:space="preserve">field catalog</w:t>
      </w:r>
      <w:r>
        <w:rPr>
          <w:color w:val="222222"/>
          <w:sz w:val="20"/>
          <w:szCs w:val="20"/>
        </w:rPr>
        <w:t xml:space="preserve"> per report, keyed by the </w:t>
      </w:r>
      <w:r>
        <w:rPr>
          <w:b w:val="1"/>
          <w:bCs w:val="1"/>
          <w:color w:val="222222"/>
          <w:sz w:val="20"/>
          <w:szCs w:val="20"/>
        </w:rPr>
        <w:t xml:space="preserve">exact upload header name</w:t>
      </w:r>
      <w:r>
        <w:rPr>
          <w:color w:val="222222"/>
          <w:sz w:val="20"/>
          <w:szCs w:val="20"/>
        </w:rPr>
        <w:t xml:space="preserve"> (“No. PIB”, “NoHS”, “Amount After Facility / BM”, “BC / Qty” …): field name → SQL expression, type, sortable/filterable flags, source group (mirrors PRD Appendices D &amp; E verbatim). The query builder:</w:t>
      </w:r>
    </w:p>
    <w:p>
      <w:pPr>
        <w:numPr>
          <w:ilvl w:val="0"/>
          <w:numId w:val="4"/>
        </w:numPr>
        <w:spacing w:after="40" w:line="256" w:lineRule="auto"/>
      </w:pPr>
      <w:r>
        <w:rPr>
          <w:color w:val="222222"/>
          <w:sz w:val="20"/>
          <w:szCs w:val="20"/>
        </w:rPr>
        <w:t xml:space="preserve">Validates requested columns/sorts/filters against the catalog (unknown field → 400; nothing is ever string-concatenated into SQL — parameterised only).</w:t>
      </w:r>
    </w:p>
    <w:p>
      <w:pPr>
        <w:numPr>
          <w:ilvl w:val="0"/>
          <w:numId w:val="4"/>
        </w:numPr>
        <w:spacing w:after="40" w:line="256" w:lineRule="auto"/>
      </w:pPr>
      <w:r>
        <w:rPr>
          <w:color w:val="222222"/>
          <w:sz w:val="20"/>
          <w:szCs w:val="20"/>
        </w:rPr>
        <w:t xml:space="preserve">Injects the caller’s scope predicate: (entity_id, site_id, tpb_id) IN (SELECT ... FROM user_scope) — a blank filter means “all within my scope”, never all rows (FR-R2a).</w:t>
      </w:r>
    </w:p>
    <w:p>
      <w:pPr>
        <w:numPr>
          <w:ilvl w:val="0"/>
          <w:numId w:val="4"/>
        </w:numPr>
        <w:spacing w:after="40" w:line="256" w:lineRule="auto"/>
      </w:pPr>
      <w:r>
        <w:rPr>
          <w:color w:val="222222"/>
          <w:sz w:val="20"/>
          <w:szCs w:val="20"/>
        </w:rPr>
        <w:t xml:space="preserve">Builds SELECT &lt;projected columns&gt; FROM &lt;report source&gt; WHERE &lt;filters+scope&gt; ORDER BY &lt;sorts, tie-broken by id&gt; with keyset pagination.</w:t>
      </w:r>
    </w:p>
    <w:p>
      <w:pPr>
        <w:numPr>
          <w:ilvl w:val="0"/>
          <w:numId w:val="4"/>
        </w:numPr>
        <w:spacing w:after="40" w:line="256" w:lineRule="auto"/>
      </w:pPr>
      <w:r>
        <w:rPr>
          <w:color w:val="222222"/>
          <w:sz w:val="20"/>
          <w:szCs w:val="20"/>
        </w:rPr>
        <w:t xml:space="preserve">Returns rows + nextCursor + a fast estimated total (EXPLAIN row estimate; exact count only on demand ≤ count-limit 100k).</w:t>
      </w:r>
    </w:p>
    <w:p>
      <w:pPr>
        <w:pStyle w:val="Heading2"/>
      </w:pPr>
      <w:r>
        <w:t xml:space="preserve">4.4 Background worker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500"/>
        <w:gridCol w:w="1900"/>
        <w:gridCol w:w="5060"/>
      </w:tblGrid>
      <w:tr>
        <w:tc>
          <w:tcPr>
            <w:tcW w:w="25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w="19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w="50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Folder watcher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every 60 s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Polls the SAP shared folder (SMB-safe; FileSystemWatcher is unreliable on shares). New file = not seen hash. Advisory lock per hash prevents double processing.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Parse &amp; load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on file detected / manual upload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Format sniffing → template parser → staging → validate → upsert → refresh matviews → emit events. Target &lt; 3 min for a 31 MB BC40 file.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Extract-not-received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 cut-off calendar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Raises the FR-N “Extract not received” alert when an expected file is missing.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Export builder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on demand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Streams the same query the grid ran into xlsx/csv/pdf; stores to exports/; notifies.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E-mail &amp; digests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immediate / 15 min / 1 h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 alert-rule throttle; retries with backoff; delivery logged (FR-N6).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Reconciliation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after each load + nightly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Computes saldo equation per period/TPB/material; writes variances; alerts beyond tolerance.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Housekeeping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nightly</w:t>
            </w:r>
          </w:p>
        </w:tc>
        <w:tc>
          <w:tcPr>
            <w:tcW w:w="50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Token/session purge, export retention (14 days), audit partition creation.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5. Database Design (PostgreSQL 16)</w:t>
      </w:r>
    </w:p>
    <w:p>
      <w:pPr>
        <w:pStyle w:val="Heading3"/>
      </w:pPr>
      <w:r>
        <w:t xml:space="preserve">5.1 Conventions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snake_case; bigint identity PKs; created_at/created_by, updated_at/updated_by on mutable tables; all timestamps timestamptz (UTC), rendered in WIB/WITA by the frontend.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Every report-data row carries lineage: ingestion_file_id + ingested_at (FR-I7) and scope keys entity_id, site_id, tpb_id (PRD §6.2).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Identifier-like values (PIB no, SSPCP, NTPN, NPWP, Map no, material codes) are text — never numeric (FR-I11).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Schemas: master, auth, ingest, bc (report data), app (views/alerts/notifications), audit.</w:t>
      </w:r>
    </w:p>
    <w:p>
      <w:pPr>
        <w:pStyle w:val="Heading2"/>
      </w:pPr>
      <w:r>
        <w:t xml:space="preserve">5.2 Schema map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800"/>
        <w:gridCol w:w="2700"/>
        <w:gridCol w:w="3760"/>
      </w:tblGrid>
      <w:tr>
        <w:tc>
          <w:tcPr>
            <w:tcW w:w="28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Schema.table</w:t>
            </w:r>
          </w:p>
        </w:tc>
        <w:tc>
          <w:tcPr>
            <w:tcW w:w="27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w="37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Key columns / constraints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master.entities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Legal entities (PT), de-duplicated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 UK, name, npwp, status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master.sites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Plants/sites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entity_id FK, code UK(entity), name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master.customs_offices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KPBC/WBC offices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 UK (e.g. WBC.16), name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master.tpb_permits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Bonded permits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permit_no UK, entity_id, site_id, customs_office_id, regime (KB/PLB), valid_from/to, status; no test entries (FR-A4 check constraint + validation)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master.materials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Item / HS catalog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 UK, description, hs_code, material_type, base_uom, density_factor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auth.users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Accounts (hybrid)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email UK, auth_type (sso|local), password_hash (local, Argon2id), mfa_enabled/secret, status, failed_attempts, locked_until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auth.roles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Six predefined roles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 UK; seeded, not user-editable (FR-A2)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auth.scope_assignments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User → role → scope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user_id, role_id, all_entities bool, entity_id?, site_id?, tpb_id? (narrowest non-null wins)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auth.refresh_tokens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Session continuation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token_hash UK, user_id, expires_at, revoked_at, rotated_from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auth.password_reset_tokens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Forgot-password (§6.3)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token_hash UK, user_id, expires_at, used_at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ingest.ingestion_files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Every ingested file (FR-I3)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file_hash UK (sha-256), name, size, source (sap|manual), template, entity_id, tpb_id, status, rows_total/loaded/quarantined, header_meta jsonb, footer_totals jsonb, uploaded_by, received_at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ingest.quarantine_rows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Bad rows w/ reasons (FR-I5)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ingestion_file_id, row_no, raw_data jsonb, reasons text[], status (open|resolved|discarded)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bc.documents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Canonical customs doc header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doc_type, aju_number, doc_number, doc_date, entity_id, site_id, tpb_id, counterparty block, UK (doc_type, aju_number, coalesce(doc_number,’’))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bc.document_lines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Canonical line (§8.1 schema)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document_id FK, line_no, material/hs block, qty/uom/tolerance, valuation block, gr/po refs, balance_qty; UK (document_id, line_no)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bc.pib_line_details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 2.3/PIB full field set (App. D)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1:1 with document_lines; typed columns for STO/WBS/AFCE, duty rates, after/before-facility &amp; saving blocks, SSPCP payment block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bc.bc40_line_details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 4.0 full field set (App. E)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1:1 with document_lines; contract &amp; PO pricing (DPP/PPN), TP/GR/DO/STO refs, weights, GR realisation, FP1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bc.saldo_movements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LPM saldo per period (FR-R8)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entity/site/tpb/material/period, opening, qty_in, qty_out, adjustment, closing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bc.reconciliation_variances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Variance flags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period, tpb_id, material_id, expected, actual, variance_pct, tolerance_pct, status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app.saved_views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Grid layouts &amp; named views (FR-R12)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user_id, report_key, name (null = implicit last layout), columns jsonb, sorts jsonb, filters jsonb, shared_scope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app.alert_rules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Event → recipients → channel (FR-A5)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event_type, recipients jsonb (roles/users/scope), email bool, inapp bool, throttle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app.notifications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Alert instances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event_type, title, body, payload jsonb, entity_id?, site_id?, tpb_id?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app.notification_deliveries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Per-recipient state (FR-N3/N6)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notification_id, user_id, channel, status (pending|sent|failed|read), sent_at, read_at, retry_count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app.export_jobs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Async exports (D6)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user_id, report_key, request jsonb, status, file_path, expires_at</w:t>
            </w:r>
          </w:p>
        </w:tc>
      </w:tr>
      <w:tr>
        <w:tc>
          <w:tcPr>
            <w:tcW w:w="2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audit.audit_events</w:t>
            </w:r>
          </w:p>
        </w:tc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Immutable trail (FR-A7)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occurred_at, actor_id, actor_email, action, target_type, target_id, before jsonb, after jsonb, ip; monthly partitions; INSERT-only role</w:t>
            </w:r>
          </w:p>
        </w:tc>
      </w:tr>
    </w:tbl>
    <w:p>
      <w:pPr>
        <w:spacing w:after="60" w:line="256" w:lineRule="auto"/>
      </w:pPr>
    </w:p>
    <w:p>
      <w:pPr>
        <w:pStyle w:val="Heading3"/>
      </w:pPr>
      <w:r>
        <w:t xml:space="preserve">5.3 Core table detail — bc.documents / bc.document_lines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700"/>
        <w:gridCol w:w="1900"/>
        <w:gridCol w:w="4760"/>
      </w:tblGrid>
      <w:tr>
        <w:tc>
          <w:tcPr>
            <w:tcW w:w="27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w="19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7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bigint identity PK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doc_type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BC23, BC40, BC27, … (PRD Appendix A); observed data may mix (BC 2.0 rows in a BC23 file) — stored per row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aju_number / doc_number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Leading zeros preserved; UK with doc_type for idempotent re-ingestion (FR-I6)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doc_date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Parsed from dd.mm.yyyy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entity_id / site_id / tpb_id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bigint FK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Scope keys — present on header and denormalised onto lines for index locality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supplier/customer block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text columns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code, name, country, address, npwp — union of BC23/BC40 counterparty fields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shipping block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text/date columns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vessel_voyage, ports, kpbc offices, bl_awb_number/date, eta_date, fc_date (BC23; null for BC40)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ingestion_file_id / ingested_at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bigint FK / timestamptz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Lineage on every row (FR-I7, FR-R6)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lines: “Material Code”, “Commodity” / “Material / Description”, “NoHS”, “M.Type”, “Negara Asal Barang”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“NoHS” nullable — the BC40 template has no HS column (PRD §13 / FR-I13)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lines: qty, uom, tolerance_pct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numeric(18,3), text, numeric(7,4)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lines: currency, unit_price, amount, freight, insurance, cif_fc, exchange_rate, cif_idr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numeric(18,2/6)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Valuation block (§8.1)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lines: balance_qty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numeric(18,3)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Running balance for the report schema</w:t>
            </w:r>
          </w:p>
        </w:tc>
      </w:tr>
      <w:tr>
        <w:tc>
          <w:tcPr>
            <w:tcW w:w="27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lines: template_details</w:t>
            </w:r>
          </w:p>
        </w:tc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→ extension tables</w:t>
            </w:r>
          </w:p>
        </w:tc>
        <w:tc>
          <w:tcPr>
            <w:tcW w:w="4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pib_line_details / bc40_line_details 1:1 by line id — every remaining Appendix D/E field, typed, named exactly as uploaded</w:t>
            </w:r>
          </w:p>
        </w:tc>
      </w:tr>
    </w:tbl>
    <w:p>
      <w:pPr>
        <w:spacing w:after="60" w:line="256" w:lineRule="auto"/>
      </w:pPr>
    </w:p>
    <w:p>
      <w:pPr>
        <w:pStyle w:val="Heading2"/>
      </w:pPr>
      <w:r>
        <w:t xml:space="preserve">5.4 Indexing &amp; partitioning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bc.document_lines: composite b-tree (entity_id, site_id, tpb_id, doc_date DESC, id) — the grid’s scope+date access path; partial indexes per doc_type if skew appears.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bc.documents: (doc_type, aju_number) UK; trigram (pg_trgm) GIN on doc_number, supplier_name for the grid’s text search (FR-R4).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BRIN on ingested_at for lineage scans; GIN on quarantine raw_data.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audit.audit_events and app.notification_deliveries: monthly range partitions; created by the housekeeping job.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bc.document_lines partitioned by year of doc_date once volume exceeds ~10 M rows; the query path is unchanged.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Autovacuum tuned on hot tables; REINDEX CONCURRENTLY window monthly.</w:t>
      </w:r>
    </w:p>
    <w:p>
      <w:pPr>
        <w:pStyle w:val="Heading3"/>
      </w:pPr>
      <w:r>
        <w:t xml:space="preserve">5.5 Migrations &amp; seed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EF Core migrations are the single source of schema truth, run by CI before deploy (never at app start in prod). Seed: 6 roles, event types, default alert rules (PRD §7.6 table), report field catalogs. Master data arrives via the cleaned migration described in PRD §12.</w:t>
      </w:r>
    </w:p>
    <w:p>
      <w:pPr>
        <w:pStyle w:val="Heading1"/>
      </w:pPr>
      <w:r>
        <w:t xml:space="preserve">6. API Specification</w:t>
      </w:r>
    </w:p>
    <w:p>
      <w:pPr>
        <w:pStyle w:val="Heading3"/>
      </w:pPr>
      <w:r>
        <w:t xml:space="preserve">6.1 Conventions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Base path /api/v1; JSON camelCase; UTF-8; gzip/brotli; all endpoints require a Bearer access token except /auth/* and /health/*.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Success envelope: { data, meta } · errors: RFC 7807 problem+json { type, title, status, detail, correlationId, errors[] }.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Cursor pagination: meta.nextCursor (opaque, signed); page size 25–100.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Mutating endpoints accept Idempotency-Key; uploads are deduplicated by content hash regardless (FR-I6).</w:t>
      </w:r>
    </w:p>
    <w:p>
      <w:pPr>
        <w:pStyle w:val="Heading2"/>
      </w:pPr>
      <w:r>
        <w:t xml:space="preserve">6.2 Endpoints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4400"/>
        <w:gridCol w:w="4960"/>
      </w:tblGrid>
      <w:tr>
        <w:tc>
          <w:tcPr>
            <w:tcW w:w="44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Method &amp; path</w:t>
            </w:r>
          </w:p>
        </w:tc>
        <w:tc>
          <w:tcPr>
            <w:tcW w:w="49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/auth/login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Local login (email+password [+ MFA code]) → access (15 min) + rotating refresh cookie (8 h)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/auth/sso/start · POST /auth/sso/callback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OIDC/PKCE to Entra ID for HO users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/auth/refresh · POST /auth/logout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Rotate / revoke session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/auth/forgot-password · POST /auth/reset-password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Standalone accounts only (PRD §6.3); single-use time-limited token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/me · GET /me/scope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Profile, role, effective scope grants (drives filter locking, FR-R2a)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/reports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Report catalog: 16 reports, each with its field catalog — field names identical to the upload headers (key = label, source group, type, sortable) — and default columns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/reports/{key}/query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The grid query: filters + columns projection + sorts + cursor → rows, nextCursor, totalEstimate, asOf lineage (FR-R4/R6/R9/R10)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/reports/{key}/export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Async export honouring the same request shape + format (xlsx|csv|pdf) → jobId (FR-R5/R13)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/exports/{jobId}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Status; when done: signed download URL (14-day retention)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GET|POST|PUT|DELETE /reports/{key}/views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Saved views incl. implicit last layout (FR-R7/R12)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/dashboard/summary · GET /dashboard/trend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KPI cards + inbound/outbound trend from materialized views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/ingestions · GET /ingestions/{id}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 log incl. validation summary (FR-I3, §7.3)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/ingestions/upload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Multipart manual upload (template, entity, TPB declared) → 202 + ingestion id (FR-I2)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/ingestions/{id}/quarantine · POST /quarantine/{rowId}/resolve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Review &amp; resolve rejected rows (FR-I5)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CRUD /entities /sites /tpb-permits /materials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 data with dedup + test-entry blocking (FR-A3/A4)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CRUD /users · POST /users/{id}/disable|enable|force-reset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User lifecycle; no hard delete (PRD §6.3)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/roles · CRUD /alert-rules · GET|PUT /settings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Roles read-only; alert rules (FR-A5); system config (FR-A6)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/notifications?unread · POST /notifications/{id}/read · POST /notifications/read-all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In-app center (FR-N3); live push via /hubs/notifications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/audit-events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Filterable audit viewer (FR-A7), scope-bounded</w:t>
            </w:r>
          </w:p>
        </w:tc>
      </w:tr>
      <w:tr>
        <w:tc>
          <w:tcPr>
            <w:tcW w:w="4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GET /health/live · GET /health/ready</w:t>
            </w:r>
          </w:p>
        </w:tc>
        <w:tc>
          <w:tcPr>
            <w:tcW w:w="4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Liveness/readiness (DB, folder reachability, SMTP)</w:t>
            </w:r>
          </w:p>
        </w:tc>
      </w:tr>
    </w:tbl>
    <w:p>
      <w:pPr>
        <w:spacing w:after="60" w:line="256" w:lineRule="auto"/>
      </w:pPr>
    </w:p>
    <w:p>
      <w:pPr>
        <w:pStyle w:val="Heading3"/>
      </w:pPr>
      <w:r>
        <w:t xml:space="preserve">6.3 Report query — request/response example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POST /api/v1/reports/inbound/query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{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"filters": { "entityId": 3, "siteId": null, "tpbId": null,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"dateFrom": "2026-07-01", "dateTo": "2026-07-24",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"dateBasis": "BC", "docTypes": ["BC23"], "search": "olein" },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"columns": ["Status","Tipe PIB","No. PIB","PibDate","Supplier Name",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"Material Code","Commodity","NoHS","Unit","Qty",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"Nilai PIB","Ccy PIB","Kurs PIB","(IDR) CIF Amount"],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"sort": [ { "field": "PibDate", "dir": "desc" },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{ "field": "No. PIB", "dir": "asc" } ],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"page": { "size": 25, "cursor": null }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}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/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200 OK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{ "data": { "rows": [ { "Status": "New", "Tipe PIB": "BC 2.3",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            "No. PIB": "434951", "PibDate": "2026-07-06", ... } ] },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"meta": { "nextCursor": "eyJkb2NfZGF0ZSI6...","totalEstimate": 4812,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"asOf": "2026-07-24T06:15:00+07:00",</w:t>
      </w:r>
    </w:p>
    <w:p>
      <w:pPr>
        <w:shd w:fill="f6f8fa" w:val="clear"/>
        <w:spacing w:after="0" w:line="240" w:lineRule="auto"/>
      </w:pPr>
      <w:r>
        <w:rPr>
          <w:rFonts w:ascii="Consolas" w:hAnsi="Consolas" w:cs="Consolas"/>
          <w:color w:val="1f2733"/>
          <w:sz w:val="15"/>
          <w:szCs w:val="15"/>
        </w:rPr>
        <w:t xml:space="preserve">            "sourceFile": "SAP_EXTRACT_20260724.csv" } }</w:t>
      </w:r>
    </w:p>
    <w:p>
      <w:pPr>
        <w:spacing w:after="40" w:line="256" w:lineRule="auto"/>
      </w:pPr>
    </w:p>
    <w:p>
      <w:pPr>
        <w:pStyle w:val="Heading3"/>
      </w:pPr>
      <w:r>
        <w:t xml:space="preserve">6.4 Error codes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800"/>
        <w:gridCol w:w="900"/>
        <w:gridCol w:w="6660"/>
      </w:tblGrid>
      <w:tr>
        <w:tc>
          <w:tcPr>
            <w:tcW w:w="18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w="9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w="66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401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Invalid credentials / expired token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AUTH-002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423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Account locked (failed attempts)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AUTH-003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Capability denied for role (PRD §6.4 matrix)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SCOPE-001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403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Requested entity/site/TPB outside caller scope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VAL-001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DTO validation failed (field list in errors[])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RPT-001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Unknown report key / column / sort field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Duplicate file (hash already ingested)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ING-002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Unrecognised template / unreadable format (FR-I8)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MD-001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Master-data duplicate or blocked test entry (FR-A4)</w:t>
            </w:r>
          </w:p>
        </w:tc>
      </w:tr>
      <w:tr>
        <w:tc>
          <w:tcPr>
            <w:tcW w:w="18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SYS-001</w:t>
            </w:r>
          </w:p>
        </w:tc>
        <w:tc>
          <w:tcPr>
            <w:tcW w:w="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500</w:t>
            </w:r>
          </w:p>
        </w:tc>
        <w:tc>
          <w:tcPr>
            <w:tcW w:w="6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Unhandled — correlation id returned, details in logs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7. Authentication &amp; Authorization</w:t>
      </w:r>
    </w:p>
    <w:p>
      <w:pPr>
        <w:pStyle w:val="Heading2"/>
      </w:pPr>
      <w:r>
        <w:t xml:space="preserve">7.1 Hybrid authentication (PRD §6.1)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SSO (HO users)</w:t>
      </w:r>
      <w:r>
        <w:rPr>
          <w:color w:val="222222"/>
          <w:sz w:val="20"/>
          <w:szCs w:val="20"/>
        </w:rPr>
        <w:t xml:space="preserve">: OIDC authorization-code + PKCE against Entra ID. The API maps the directory identity to auth.users by email; no password stored. SSO users hitting forgot-password get IdP guidance (§6.3).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Standalone (site/external BC)</w:t>
      </w:r>
      <w:r>
        <w:rPr>
          <w:color w:val="222222"/>
          <w:sz w:val="20"/>
          <w:szCs w:val="20"/>
        </w:rPr>
        <w:t xml:space="preserve">: Argon2id password hashes; policy — min 12 chars, complexity, history 5, max age configurable; activation e-mail with one-time link.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MFA</w:t>
      </w:r>
      <w:r>
        <w:rPr>
          <w:color w:val="222222"/>
          <w:sz w:val="20"/>
          <w:szCs w:val="20"/>
        </w:rPr>
        <w:t xml:space="preserve">: TOTP, required for Admin/Super Admin, optional otherwise; enrolment at first login.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Lockout</w:t>
      </w:r>
      <w:r>
        <w:rPr>
          <w:color w:val="222222"/>
          <w:sz w:val="20"/>
          <w:szCs w:val="20"/>
        </w:rPr>
        <w:t xml:space="preserve">: 5 failed attempts → 15 min lock (configurable); resets and locks are audited and alerted (FR-N event “Access / security change”).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Sessions</w:t>
      </w:r>
      <w:r>
        <w:rPr>
          <w:color w:val="222222"/>
          <w:sz w:val="20"/>
          <w:szCs w:val="20"/>
        </w:rPr>
        <w:t xml:space="preserve">: access JWT 15 min (RS256, kid-rotated); refresh token 8 h sliding, rotating, revocable, httpOnly+Secure cookie. Password reset revokes all sessions.</w:t>
      </w:r>
    </w:p>
    <w:p>
      <w:pPr>
        <w:pStyle w:val="Heading2"/>
      </w:pPr>
      <w:r>
        <w:t xml:space="preserve">7.2 Authorization — role × scope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Role capabilities implement the PRD §6.4 matrix as ASP.NET authorization policies (one per capability). Scope is orthogonal: auth.scope_assignments rows expand to an effective set of (entity_id, site_id, tpb_id) grants, cached 60 s.</w:t>
      </w:r>
    </w:p>
    <w:p>
      <w:pPr>
        <w:numPr>
          <w:ilvl w:val="0"/>
          <w:numId w:val="5"/>
        </w:numPr>
        <w:spacing w:after="40" w:line="256" w:lineRule="auto"/>
      </w:pPr>
      <w:r>
        <w:rPr>
          <w:color w:val="222222"/>
          <w:sz w:val="20"/>
          <w:szCs w:val="20"/>
        </w:rPr>
        <w:t xml:space="preserve">Every report/master/audit query joins the effective-scope set — blank filters resolve to “all within scope” (FR-R2a); requests naming out-of-scope ids get SCOPE-001.</w:t>
      </w:r>
    </w:p>
    <w:p>
      <w:pPr>
        <w:numPr>
          <w:ilvl w:val="0"/>
          <w:numId w:val="5"/>
        </w:numPr>
        <w:spacing w:after="40" w:line="256" w:lineRule="auto"/>
      </w:pPr>
      <w:r>
        <w:rPr>
          <w:color w:val="222222"/>
          <w:sz w:val="20"/>
          <w:szCs w:val="20"/>
        </w:rPr>
        <w:t xml:space="preserve">Defense-in-depth: PostgreSQL RLS policies on bc.* and ingest.* compare row scope keys to session GUC app.user_id’s grants; the app role has no BYPASSRLS. A query-builder bug therefore still cannot leak rows.</w:t>
      </w:r>
    </w:p>
    <w:p>
      <w:pPr>
        <w:numPr>
          <w:ilvl w:val="0"/>
          <w:numId w:val="5"/>
        </w:numPr>
        <w:spacing w:after="40" w:line="256" w:lineRule="auto"/>
      </w:pPr>
      <w:r>
        <w:rPr>
          <w:color w:val="222222"/>
          <w:sz w:val="20"/>
          <w:szCs w:val="20"/>
        </w:rPr>
        <w:t xml:space="preserve">Admins’ admin actions are bounded by their own scope (PRD §6.4 note) — enforced in handlers and covered by integration tests.</w:t>
      </w:r>
    </w:p>
    <w:p>
      <w:pPr>
        <w:pStyle w:val="Heading1"/>
      </w:pPr>
      <w:r>
        <w:t xml:space="preserve">8. Ingestion Pipeline</w:t>
      </w:r>
    </w:p>
    <w:p>
      <w:pPr>
        <w:pStyle w:val="Heading2"/>
      </w:pPr>
      <w:r>
        <w:t xml:space="preserve">8.1 Flow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Detect</w:t>
      </w:r>
      <w:r>
        <w:rPr>
          <w:color w:val="222222"/>
          <w:sz w:val="20"/>
          <w:szCs w:val="20"/>
        </w:rPr>
        <w:t xml:space="preserve">: watcher finds a new file (hash unseen) in the shared folder, or a manual upload arrives → ingest.ingestion_files row (status received), advisory lock taken on the hash.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Sniff format (FR-I8)</w:t>
      </w:r>
      <w:r>
        <w:rPr>
          <w:color w:val="222222"/>
          <w:sz w:val="20"/>
          <w:szCs w:val="20"/>
        </w:rPr>
        <w:t xml:space="preserve">: by content — OLE2/ZIP magic (real xls/xlsx), leading “&lt;html” (HTML table), tab-density heuristics (TSV), delimiter detection (CSV). Extension is ignored. Encoding sniffed (UTF-8 BOM / ISO-8859-1 fallback).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Identify template</w:t>
      </w:r>
      <w:r>
        <w:rPr>
          <w:color w:val="222222"/>
          <w:sz w:val="20"/>
          <w:szCs w:val="20"/>
        </w:rPr>
        <w:t xml:space="preserve">: header fingerprint match against the template registry (BC23/PIB 80-col, BC40 56-col, + the other report layouts as they are specified). Unknown → ING-002 + alert.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Parse (FR-I9)</w:t>
      </w:r>
      <w:r>
        <w:rPr>
          <w:color w:val="222222"/>
          <w:sz w:val="20"/>
          <w:szCs w:val="20"/>
        </w:rPr>
        <w:t xml:space="preserve">: template parser normalises merged multi-row headers, folds continuation rows into the parent record, skips blank separators and repeated header blocks, recognises the grand-total footer (stored in footer_totals, excluded from data), unwraps ="..." text guards, parses dd.mm.yyyy dates, thousand separators and “11 %” rates. Streams row-by-row; the 31 MB BC40 HTML is parsed with a SAX-style reader, never loaded whole.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Stage</w:t>
      </w:r>
      <w:r>
        <w:rPr>
          <w:color w:val="222222"/>
          <w:sz w:val="20"/>
          <w:szCs w:val="20"/>
        </w:rPr>
        <w:t xml:space="preserve">: parsed rows bulk-COPY into a staging table with raw + typed columns.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Validate (FR-I4/I12/I13)</w:t>
      </w:r>
      <w:r>
        <w:rPr>
          <w:color w:val="222222"/>
          <w:sz w:val="20"/>
          <w:szCs w:val="20"/>
        </w:rPr>
        <w:t xml:space="preserve">: per-template mandatory fields, type/domain checks, UoM/tolerance checks, header-metadata vs rows vs declared entity/TPB, footer totals vs sum of rows. Failures → quarantine_rows with reasons (FR-I5); never dropped.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Load</w:t>
      </w:r>
      <w:r>
        <w:rPr>
          <w:color w:val="222222"/>
          <w:sz w:val="20"/>
          <w:szCs w:val="20"/>
        </w:rPr>
        <w:t xml:space="preserve">: one transaction upserts documents (UK doc_type+aju+doc_number) and lines (UK document_id+line_no) — re-ingesting a corrected file updates in place (FR-I6); every row stamped with lineage (FR-I7).</w:t>
      </w:r>
    </w:p>
    <w:p>
      <w:pPr>
        <w:numPr>
          <w:ilvl w:val="0"/>
          <w:numId w:val="6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Publish</w:t>
      </w:r>
      <w:r>
        <w:rPr>
          <w:color w:val="222222"/>
          <w:sz w:val="20"/>
          <w:szCs w:val="20"/>
        </w:rPr>
        <w:t xml:space="preserve">: refresh dashboard matviews, run reconciliation, emit events (“New file uploaded”, “Data updated / re-ingested”, errors) to the notification engine.</w:t>
      </w:r>
    </w:p>
    <w:p>
      <w:pPr>
        <w:pStyle w:val="Heading3"/>
      </w:pPr>
      <w:r>
        <w:t xml:space="preserve">8.2 Guarantees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Idempotent at three levels: file (hash UK), document (natural UK), line (document+line UK).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Report readers never see a half-loaded file (single load transaction; matview refresh CONCURRENTLY).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Every unknown extra column is captured into raw jsonb and warned on — no silent field loss (FR-I10).</w:t>
      </w:r>
    </w:p>
    <w:p>
      <w:pPr>
        <w:pStyle w:val="Heading1"/>
      </w:pPr>
      <w:r>
        <w:t xml:space="preserve">9. Performance, Concurrency &amp; the ≤2 s SLO</w:t>
      </w:r>
    </w:p>
    <w:p>
      <w:pPr>
        <w:pStyle w:val="Heading2"/>
      </w:pPr>
      <w:r>
        <w:t xml:space="preserve">9.1 SLO definition</w:t>
      </w:r>
    </w:p>
    <w:p>
      <w:pPr>
        <w:spacing w:after="8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SLO: p95 ≤ 2,000 ms, measured in the browser from user action to rendered data, for every interactive action</w:t>
      </w:r>
      <w:r>
        <w:rPr>
          <w:color w:val="222222"/>
          <w:sz w:val="20"/>
          <w:szCs w:val="20"/>
        </w:rPr>
        <w:t xml:space="preserve"> — first screen load, navigation click, report run, filter change, sort, page, column add/remove — at the reference load of 100 concurrent active users / 25 interactive requests per second, on the corporate WAN. Exports and file ingestion are explicitly asynchronous and excluded (the user gets an immediate acknowledgement ≤ 2 s and a notification on completion).</w:t>
      </w:r>
    </w:p>
    <w:p>
      <w:pPr>
        <w:pStyle w:val="Heading3"/>
      </w:pPr>
      <w:r>
        <w:t xml:space="preserve">9.2 Latency budget (p95, report query path)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3000"/>
        <w:gridCol w:w="1200"/>
        <w:gridCol w:w="5160"/>
      </w:tblGrid>
      <w:tr>
        <w:tc>
          <w:tcPr>
            <w:tcW w:w="30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w="12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w="51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How it is met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nginx + TLS + routing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50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Keep-alive, HTTP/2, no per-request TLS handshake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AuthN/AuthZ + scope resolve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30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JWT local validation; scope set cached in-memory 60 s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SQL (paged 25–100 rows)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600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Composite scope+date index, keyset pagination, column projection, PgBouncer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Serialization + compression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50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Projected columns only; System.Text.Json source-gen; brotli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Network (WAN RTT + payload)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250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Payload ≤ 150 kB/page; CDN-style caching of static assets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SPA render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300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AG Grid virtualised rows; no full-page re-render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Headroom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720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Buffer for cold cache / contention</w:t>
            </w:r>
          </w:p>
        </w:tc>
      </w:tr>
      <w:tr>
        <w:tc>
          <w:tcPr>
            <w:tcW w:w="3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w="1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≤ 2,000 ms</w:t>
            </w:r>
          </w:p>
        </w:tc>
        <w:tc>
          <w:tcPr>
            <w:tcW w:w="51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</w:p>
        </w:tc>
      </w:tr>
    </w:tbl>
    <w:p>
      <w:pPr>
        <w:spacing w:after="60" w:line="256" w:lineRule="auto"/>
      </w:pPr>
    </w:p>
    <w:p>
      <w:pPr>
        <w:pStyle w:val="Heading3"/>
      </w:pPr>
      <w:r>
        <w:t xml:space="preserve">9.3 Action-level targets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3300"/>
        <w:gridCol w:w="1400"/>
        <w:gridCol w:w="4660"/>
      </w:tblGrid>
      <w:tr>
        <w:tc>
          <w:tcPr>
            <w:tcW w:w="33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w="14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Target p95</w:t>
            </w:r>
          </w:p>
        </w:tc>
        <w:tc>
          <w:tcPr>
            <w:tcW w:w="46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First app load (cold)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2.0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Code-split shell ~200 kB gz; immutable hashed assets cached; API warm-up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Screen navigation (warm)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0.8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Lazy chunks prefetched on idle; TanStack cache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Run report / change filter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1.5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Indexed scope+date path; debounced input (300 ms, excluded from SLO clock)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Sort / next page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1.2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Keyset cursor — no OFFSET scans at depth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Add/remove/reorder column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1.2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Projection refetch of the current page only; reorder is client-side (~0 ms)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1.5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Materialized views — no fact-table scans on read</w:t>
            </w:r>
          </w:p>
        </w:tc>
      </w:tr>
      <w:tr>
        <w:tc>
          <w:tcPr>
            <w:tcW w:w="33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Export / upload acknowledgement</w:t>
            </w:r>
          </w:p>
        </w:tc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2.0 s</w:t>
            </w:r>
          </w:p>
        </w:tc>
        <w:tc>
          <w:tcPr>
            <w:tcW w:w="46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Enqueue + 202; the work itself is async (D6)</w:t>
            </w:r>
          </w:p>
        </w:tc>
      </w:tr>
    </w:tbl>
    <w:p>
      <w:pPr>
        <w:spacing w:after="60" w:line="256" w:lineRule="auto"/>
      </w:pPr>
    </w:p>
    <w:p>
      <w:pPr>
        <w:pStyle w:val="Heading2"/>
      </w:pPr>
      <w:r>
        <w:t xml:space="preserve">9.4 Concurrency &amp; capacity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Stateless API</w:t>
      </w:r>
      <w:r>
        <w:rPr>
          <w:color w:val="222222"/>
          <w:sz w:val="20"/>
          <w:szCs w:val="20"/>
        </w:rPr>
        <w:t xml:space="preserve">: JWT auth, no server session affinity — 2 replicas at launch, horizontally scalable behind nginx; SignalR uses the Postgres backplane (or Redis if replicas &gt; 4).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Connection management</w:t>
      </w:r>
      <w:r>
        <w:rPr>
          <w:color w:val="222222"/>
          <w:sz w:val="20"/>
          <w:szCs w:val="20"/>
        </w:rPr>
        <w:t xml:space="preserve">: PgBouncer transaction pooling; each API replica pool = 25, worker = 10; Postgres max_connections = 200 with headroom; interactive and batch workloads use separate database roles so ingestion can be throttled independently.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Isolation</w:t>
      </w:r>
      <w:r>
        <w:rPr>
          <w:color w:val="222222"/>
          <w:sz w:val="20"/>
          <w:szCs w:val="20"/>
        </w:rPr>
        <w:t xml:space="preserve">: read-committed for grids; ingestion loads in a single transaction; master-data edits use optimistic concurrency (xmin) — concurrent admins get a friendly conflict, not lost updates.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Sizing assumption</w:t>
      </w:r>
      <w:r>
        <w:rPr>
          <w:color w:val="222222"/>
          <w:sz w:val="20"/>
          <w:szCs w:val="20"/>
        </w:rPr>
        <w:t xml:space="preserve"> (validated by load test): ~200 named users, 100 concurrent, 25 RPS interactive + 1 ingestion in flight. Reference hardware: 2× API (2 vCPU/4 GB), 1× worker (2 vCPU/4 GB), PostgreSQL 8 vCPU/32 GB/NVMe, expected &lt; 40% utilisation at reference load.</w:t>
      </w:r>
    </w:p>
    <w:p>
      <w:pPr>
        <w:numPr>
          <w:ilvl w:val="0"/>
          <w:numId w:val="1"/>
        </w:numPr>
        <w:spacing w:after="4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Data volume</w:t>
      </w:r>
      <w:r>
        <w:rPr>
          <w:color w:val="222222"/>
          <w:sz w:val="20"/>
          <w:szCs w:val="20"/>
        </w:rPr>
        <w:t xml:space="preserve">: ~4,800 rows/day/entity observed → ~10 M lines/year group-wide at full rollout; the index + partition plan (§5.4) is designed for 10× that.</w:t>
      </w:r>
    </w:p>
    <w:p>
      <w:pPr>
        <w:pStyle w:val="Heading3"/>
      </w:pPr>
      <w:r>
        <w:t xml:space="preserve">9.5 Verification</w:t>
      </w:r>
    </w:p>
    <w:p>
      <w:pPr>
        <w:numPr>
          <w:ilvl w:val="0"/>
          <w:numId w:val="7"/>
        </w:numPr>
        <w:spacing w:after="40" w:line="256" w:lineRule="auto"/>
      </w:pPr>
      <w:r>
        <w:rPr>
          <w:color w:val="222222"/>
          <w:sz w:val="20"/>
          <w:szCs w:val="20"/>
        </w:rPr>
        <w:t xml:space="preserve">k6 load suite in CI: report query mix at 100 VUs for 10 min — gate fails the build if p95 &gt; 1.5 s at the API (leaving 0.5 s for network+render).</w:t>
      </w:r>
    </w:p>
    <w:p>
      <w:pPr>
        <w:numPr>
          <w:ilvl w:val="0"/>
          <w:numId w:val="7"/>
        </w:numPr>
        <w:spacing w:after="40" w:line="256" w:lineRule="auto"/>
      </w:pPr>
      <w:r>
        <w:rPr>
          <w:color w:val="222222"/>
          <w:sz w:val="20"/>
          <w:szCs w:val="20"/>
        </w:rPr>
        <w:t xml:space="preserve">Real-user monitoring: the SPA reports action timings (web-vitals + custom marks) to the metrics endpoint; Grafana SLO dashboard with alerting at p95 &gt; 2 s for 5 min (burn-rate).</w:t>
      </w:r>
    </w:p>
    <w:p>
      <w:pPr>
        <w:numPr>
          <w:ilvl w:val="0"/>
          <w:numId w:val="7"/>
        </w:numPr>
        <w:spacing w:after="40" w:line="256" w:lineRule="auto"/>
      </w:pPr>
      <w:r>
        <w:rPr>
          <w:color w:val="222222"/>
          <w:sz w:val="20"/>
          <w:szCs w:val="20"/>
        </w:rPr>
        <w:t xml:space="preserve">EXPLAIN ANALYZE regression tests for the top 10 grid queries run in CI against a seeded 10 M-row dataset.</w:t>
      </w:r>
    </w:p>
    <w:p>
      <w:pPr>
        <w:pStyle w:val="Heading1"/>
      </w:pPr>
      <w:r>
        <w:t xml:space="preserve">10. Security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TLS 1.2+ everywhere (fixes legacy plain-HTTP); HSTS; secure/samesite cookies; CSP (self + API origin), X-Frame-Options DENY.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Secrets (DB, SMTP, OIDC client, JWT keys) from environment/secret store — never in the repo; JWT signing keys rotated quarterly.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Input: parameterised SQL only; DTO validation; upload cap 100 MB + content sniffing + antivirus hook; export downloads via short-lived signed URLs.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Rate limits: login 5/min/IP + progressive lockout; API 60 req/min/user default (grid paging fits comfortably).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Encryption at rest: disk-level (LUKS/cloud) + pgcrypto for MFA secrets and reset-token hashes.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OWASP ASVS L2 checklist at UAT; dependency and container scanning in CI; annual penetration test before DJBC audit season.</w:t>
      </w:r>
    </w:p>
    <w:p>
      <w:pPr>
        <w:numPr>
          <w:ilvl w:val="0"/>
          <w:numId w:val="1"/>
        </w:numPr>
        <w:spacing w:after="40" w:line="256" w:lineRule="auto"/>
      </w:pPr>
      <w:r>
        <w:rPr>
          <w:color w:val="222222"/>
          <w:sz w:val="20"/>
          <w:szCs w:val="20"/>
        </w:rPr>
        <w:t xml:space="preserve">Auditability: every report run/export, ingestion event, master-data change, user/access change and alert delivery written to audit.audit_events (append-only, partitioned, 10-year retention per DJBC needs).</w:t>
      </w:r>
    </w:p>
    <w:p>
      <w:pPr>
        <w:pStyle w:val="Heading1"/>
      </w:pPr>
      <w:r>
        <w:t xml:space="preserve">11. Observability &amp; Operations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2500"/>
        <w:gridCol w:w="6860"/>
      </w:tblGrid>
      <w:tr>
        <w:tc>
          <w:tcPr>
            <w:tcW w:w="25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w="68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Logging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Serilog structured JSON → Seq (or ELK); correlation id from edge to SQL; PII scrubbed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Metrics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OpenTelemetry → Prometheus → Grafana: p50/p95/p99 per endpoint, DB pool saturation, queue depths, ingestion durations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Tracing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OTel traces across API → Dapper → Postgres; sampled 10%, always-on for errors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Health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/health/live (process), /health/ready (DB, shared folder reachable, SMTP, Hangfire heartbeat) — wired to the LB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Job monitoring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Hangfire dashboard (admin-only); “Extract not received” doubles as a business heartbeat (FR-N)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Backup / DR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Nightly base backup + continuous WAL archiving (pgBackRest): RPO 15 min, RTO 4 h; monthly restore drill; 35-day operational retention + monthly archives 10 y</w:t>
            </w:r>
          </w:p>
        </w:tc>
      </w:tr>
      <w:tr>
        <w:tc>
          <w:tcPr>
            <w:tcW w:w="25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Runbooks</w:t>
            </w:r>
          </w:p>
        </w:tc>
        <w:tc>
          <w:tcPr>
            <w:tcW w:w="6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 failure triage, quarantine resolution, permit expiry, key rotation, restore procedure — kept in the ops wiki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12. Deployment &amp; Environments</w:t>
      </w:r>
    </w:p>
    <w:p>
      <w:pPr>
        <w:pStyle w:val="Heading3"/>
      </w:pPr>
      <w:r>
        <w:t xml:space="preserve">12.1 Topology</w:t>
      </w:r>
    </w:p>
    <w:p>
      <w:pPr>
        <w:spacing w:after="80" w:line="256" w:lineRule="auto"/>
      </w:pPr>
      <w:r>
        <w:rPr>
          <w:color w:val="222222"/>
          <w:sz w:val="20"/>
          <w:szCs w:val="20"/>
        </w:rPr>
        <w:t xml:space="preserve">Docker Compose stack at launch (portable to Kubernetes later): nginx (SPA + proxy), api ×2, worker ×1, pgbouncer, PostgreSQL (managed instance preferred per group direction; self-hosted container acceptable for DEV/UAT), seq + prometheus + grafana. The shared SAP folder is mounted read-only into the worker container only.</w:t>
      </w:r>
    </w:p>
    <w:p>
      <w:pPr>
        <w:pStyle w:val="Heading3"/>
      </w:pPr>
      <w:r>
        <w:t xml:space="preserve">12.2 Environments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400"/>
        <w:gridCol w:w="4200"/>
        <w:gridCol w:w="3760"/>
      </w:tblGrid>
      <w:tr>
        <w:tc>
          <w:tcPr>
            <w:tcW w:w="14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Env</w:t>
            </w:r>
          </w:p>
        </w:tc>
        <w:tc>
          <w:tcPr>
            <w:tcW w:w="42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w="37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DEV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Feature work, migration testing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Synthetic + anonymised extracts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UAT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Parity reconciliation vs legacy (PRD §12), load tests, DJBC user acceptance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Real extracts, masked personal data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PROD</w:t>
            </w:r>
          </w:p>
        </w:tc>
        <w:tc>
          <w:tcPr>
            <w:tcW w:w="42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Live; parallel-run with legacy for one reporting period</w:t>
            </w:r>
          </w:p>
        </w:tc>
        <w:tc>
          <w:tcPr>
            <w:tcW w:w="37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Real</w:t>
            </w:r>
          </w:p>
        </w:tc>
      </w:tr>
    </w:tbl>
    <w:p>
      <w:pPr>
        <w:spacing w:after="60" w:line="256" w:lineRule="auto"/>
      </w:pPr>
    </w:p>
    <w:p>
      <w:pPr>
        <w:pStyle w:val="Heading3"/>
      </w:pPr>
      <w:r>
        <w:t xml:space="preserve">12.3 CI/CD</w:t>
      </w:r>
    </w:p>
    <w:p>
      <w:pPr>
        <w:numPr>
          <w:ilvl w:val="0"/>
          <w:numId w:val="8"/>
        </w:numPr>
        <w:spacing w:after="40" w:line="256" w:lineRule="auto"/>
      </w:pPr>
      <w:r>
        <w:rPr>
          <w:color w:val="222222"/>
          <w:sz w:val="20"/>
          <w:szCs w:val="20"/>
        </w:rPr>
        <w:t xml:space="preserve">Pipeline: build → unit tests → integration tests (Testcontainers PostgreSQL) → k6 latency gate → image build/scan → EF migrations against target → blue-green deploy of api/worker → smoke tests.</w:t>
      </w:r>
    </w:p>
    <w:p>
      <w:pPr>
        <w:numPr>
          <w:ilvl w:val="0"/>
          <w:numId w:val="8"/>
        </w:numPr>
        <w:spacing w:after="40" w:line="256" w:lineRule="auto"/>
      </w:pPr>
      <w:r>
        <w:rPr>
          <w:color w:val="222222"/>
          <w:sz w:val="20"/>
          <w:szCs w:val="20"/>
        </w:rPr>
        <w:t xml:space="preserve">Config via environment variables (12-factor); one artifact promoted DEV→UAT→PROD; rollback = previous image + backward-compatible migrations (expand/contract pattern).</w:t>
      </w:r>
    </w:p>
    <w:p>
      <w:pPr>
        <w:pStyle w:val="Heading1"/>
      </w:pPr>
      <w:r>
        <w:t xml:space="preserve">13. Testing Strategy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900"/>
        <w:gridCol w:w="2600"/>
        <w:gridCol w:w="4860"/>
      </w:tblGrid>
      <w:tr>
        <w:tc>
          <w:tcPr>
            <w:tcW w:w="19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w="26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Tooling</w:t>
            </w:r>
          </w:p>
        </w:tc>
        <w:tc>
          <w:tcPr>
            <w:tcW w:w="48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Unit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xUnit / Vitest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Parsers (golden files from real BC23/BC40 extracts), query builder, validators, scope expansion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Integration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Testcontainers (PostgreSQL)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Ingestion end-to-end incl. idempotent re-load; RLS leak tests; capability matrix per role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E2E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Playwright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Mockup-derived flows: login (both auth types), scoped filters, grid column chooser/sort/reorder, upload+quarantine, alerts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Load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k6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100 VUs mixed action profile; CI gate p95 ≤ 1.5 s API-side; soak 2 h for pool leaks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Parity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Reconciliation harness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Legacy report output vs new system for one period per module (PRD §12 exit criterion)</w:t>
            </w:r>
          </w:p>
        </w:tc>
      </w:tr>
      <w:tr>
        <w:tc>
          <w:tcPr>
            <w:tcW w:w="19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Security</w:t>
            </w:r>
          </w:p>
        </w:tc>
        <w:tc>
          <w:tcPr>
            <w:tcW w:w="26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ZAP, dependency &amp; container scans</w:t>
            </w:r>
          </w:p>
        </w:tc>
        <w:tc>
          <w:tcPr>
            <w:tcW w:w="48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 release; ASVS L2 checklist at UAT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Appendix A — Working assumptions (from PRD §13)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4000"/>
        <w:gridCol w:w="5360"/>
      </w:tblGrid>
      <w:tr>
        <w:tc>
          <w:tcPr>
            <w:tcW w:w="40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Open question (PRD)</w:t>
            </w:r>
          </w:p>
        </w:tc>
        <w:tc>
          <w:tcPr>
            <w:tcW w:w="53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Working assumption in this design</w:t>
            </w:r>
          </w:p>
        </w:tc>
      </w:tr>
      <w:tr>
        <w:tc>
          <w:tcPr>
            <w:tcW w:w="4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Saldo source of truth</w:t>
            </w:r>
          </w:p>
        </w:tc>
        <w:tc>
          <w:tcPr>
            <w:tcW w:w="5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Computed here (bc.saldo_movements) from loaded documents; recalculated per load; flagged if SAP later supplies its own saldo extract</w:t>
            </w:r>
          </w:p>
        </w:tc>
      </w:tr>
      <w:tr>
        <w:tc>
          <w:tcPr>
            <w:tcW w:w="4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BC40 lacks HS code</w:t>
            </w:r>
          </w:p>
        </w:tc>
        <w:tc>
          <w:tcPr>
            <w:tcW w:w="5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hs_code nullable on lines; per-template mandatory rules (FR-I13); enrichment join from master.materials when material code matches</w:t>
            </w:r>
          </w:p>
        </w:tc>
      </w:tr>
      <w:tr>
        <w:tc>
          <w:tcPr>
            <w:tcW w:w="4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“No. Co” / “FC Date” / “O/N On Behalf” semantics</w:t>
            </w:r>
          </w:p>
        </w:tc>
        <w:tc>
          <w:tcPr>
            <w:tcW w:w="5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Stored and displayed under their exact upload names “No. Co”, “FC Date”, “O/N On Behalf”; business meaning to confirm — clarification changes documentation only, never the field name</w:t>
            </w:r>
          </w:p>
        </w:tc>
      </w:tr>
      <w:tr>
        <w:tc>
          <w:tcPr>
            <w:tcW w:w="4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SAP native format</w:t>
            </w:r>
          </w:p>
        </w:tc>
        <w:tc>
          <w:tcPr>
            <w:tcW w:w="5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Parsers built for TSV/HTML as observed; if SAP emits CSV/XLSX the sniffing layer routes to simpler parsers unchanged</w:t>
            </w:r>
          </w:p>
        </w:tc>
      </w:tr>
      <w:tr>
        <w:tc>
          <w:tcPr>
            <w:tcW w:w="40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Site users e-mail reachability</w:t>
            </w:r>
          </w:p>
        </w:tc>
        <w:tc>
          <w:tcPr>
            <w:tcW w:w="53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Standalone accounts require a working e-mail (activation + reset); exceptions handled by admin-set temporary passwords, flagged in audit</w:t>
            </w:r>
          </w:p>
        </w:tc>
      </w:tr>
    </w:tbl>
    <w:p>
      <w:pPr>
        <w:spacing w:after="60" w:line="256" w:lineRule="auto"/>
      </w:pPr>
    </w:p>
    <w:p>
      <w:pPr>
        <w:pStyle w:val="Heading1"/>
      </w:pPr>
      <w:r>
        <w:t xml:space="preserve">Appendix B — Key sequence flows</w:t>
      </w:r>
    </w:p>
    <w:p>
      <w:pPr>
        <w:spacing w:after="8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B.1 Run a report (grid)</w:t>
      </w:r>
    </w:p>
    <w:p>
      <w:pPr>
        <w:numPr>
          <w:ilvl w:val="0"/>
          <w:numId w:val="9"/>
        </w:numPr>
        <w:spacing w:after="40" w:line="256" w:lineRule="auto"/>
      </w:pPr>
      <w:r>
        <w:rPr>
          <w:color w:val="222222"/>
          <w:sz w:val="20"/>
          <w:szCs w:val="20"/>
        </w:rPr>
        <w:t xml:space="preserve">SPA sends POST /reports/inbound/query with filters, visible columns, sorts, cursor.</w:t>
      </w:r>
    </w:p>
    <w:p>
      <w:pPr>
        <w:numPr>
          <w:ilvl w:val="0"/>
          <w:numId w:val="9"/>
        </w:numPr>
        <w:spacing w:after="40" w:line="256" w:lineRule="auto"/>
      </w:pPr>
      <w:r>
        <w:rPr>
          <w:color w:val="222222"/>
          <w:sz w:val="20"/>
          <w:szCs w:val="20"/>
        </w:rPr>
        <w:t xml:space="preserve">API validates fields against the catalog, resolves the caller’s scope set (cache), builds parameterised SQL with projection + keyset pagination.</w:t>
      </w:r>
    </w:p>
    <w:p>
      <w:pPr>
        <w:numPr>
          <w:ilvl w:val="0"/>
          <w:numId w:val="9"/>
        </w:numPr>
        <w:spacing w:after="40" w:line="256" w:lineRule="auto"/>
      </w:pPr>
      <w:r>
        <w:rPr>
          <w:color w:val="222222"/>
          <w:sz w:val="20"/>
          <w:szCs w:val="20"/>
        </w:rPr>
        <w:t xml:space="preserve">PostgreSQL serves the page via the (entity, site, tpb, doc_date) index; RLS re-checks scope.</w:t>
      </w:r>
    </w:p>
    <w:p>
      <w:pPr>
        <w:numPr>
          <w:ilvl w:val="0"/>
          <w:numId w:val="9"/>
        </w:numPr>
        <w:spacing w:after="40" w:line="256" w:lineRule="auto"/>
      </w:pPr>
      <w:r>
        <w:rPr>
          <w:color w:val="222222"/>
          <w:sz w:val="20"/>
          <w:szCs w:val="20"/>
        </w:rPr>
        <w:t xml:space="preserve">API returns rows + nextCursor + as-of lineage; AG Grid renders the virtualised page. Total p95 ≤ 1.5 s.</w:t>
      </w:r>
    </w:p>
    <w:p>
      <w:pPr>
        <w:spacing w:after="8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B.2 SAP file ingestion</w:t>
      </w:r>
    </w:p>
    <w:p>
      <w:pPr>
        <w:numPr>
          <w:ilvl w:val="0"/>
          <w:numId w:val="10"/>
        </w:numPr>
        <w:spacing w:after="40" w:line="256" w:lineRule="auto"/>
      </w:pPr>
      <w:r>
        <w:rPr>
          <w:color w:val="222222"/>
          <w:sz w:val="20"/>
          <w:szCs w:val="20"/>
        </w:rPr>
        <w:t xml:space="preserve">Watcher hashes the new file; unseen → ingestion_files (received) + advisory lock.</w:t>
      </w:r>
    </w:p>
    <w:p>
      <w:pPr>
        <w:numPr>
          <w:ilvl w:val="0"/>
          <w:numId w:val="10"/>
        </w:numPr>
        <w:spacing w:after="40" w:line="256" w:lineRule="auto"/>
      </w:pPr>
      <w:r>
        <w:rPr>
          <w:color w:val="222222"/>
          <w:sz w:val="20"/>
          <w:szCs w:val="20"/>
        </w:rPr>
        <w:t xml:space="preserve">Sniff format → identify template → stream-parse → bulk COPY to staging.</w:t>
      </w:r>
    </w:p>
    <w:p>
      <w:pPr>
        <w:numPr>
          <w:ilvl w:val="0"/>
          <w:numId w:val="10"/>
        </w:numPr>
        <w:spacing w:after="40" w:line="256" w:lineRule="auto"/>
      </w:pPr>
      <w:r>
        <w:rPr>
          <w:color w:val="222222"/>
          <w:sz w:val="20"/>
          <w:szCs w:val="20"/>
        </w:rPr>
        <w:t xml:space="preserve">Validate (mandatory/type/UoM/header-vs-rows/footer-checksum); bad rows → quarantine with reasons.</w:t>
      </w:r>
    </w:p>
    <w:p>
      <w:pPr>
        <w:numPr>
          <w:ilvl w:val="0"/>
          <w:numId w:val="10"/>
        </w:numPr>
        <w:spacing w:after="40" w:line="256" w:lineRule="auto"/>
      </w:pPr>
      <w:r>
        <w:rPr>
          <w:color w:val="222222"/>
          <w:sz w:val="20"/>
          <w:szCs w:val="20"/>
        </w:rPr>
        <w:t xml:space="preserve">Transactional upsert into documents/lines (+ extension tables); matviews refreshed; reconciliation runs.</w:t>
      </w:r>
    </w:p>
    <w:p>
      <w:pPr>
        <w:numPr>
          <w:ilvl w:val="0"/>
          <w:numId w:val="10"/>
        </w:numPr>
        <w:spacing w:after="40" w:line="256" w:lineRule="auto"/>
      </w:pPr>
      <w:r>
        <w:rPr>
          <w:color w:val="222222"/>
          <w:sz w:val="20"/>
          <w:szCs w:val="20"/>
        </w:rPr>
        <w:t xml:space="preserve">Events emitted → alert rules → in-app (SignalR) + e-mail (throttled); dashboard “Latest ingestion” updates.</w:t>
      </w:r>
    </w:p>
    <w:p>
      <w:pPr>
        <w:spacing w:after="8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B.3 Standalone password reset</w:t>
      </w:r>
    </w:p>
    <w:p>
      <w:pPr>
        <w:numPr>
          <w:ilvl w:val="0"/>
          <w:numId w:val="11"/>
        </w:numPr>
        <w:spacing w:after="40" w:line="256" w:lineRule="auto"/>
      </w:pPr>
      <w:r>
        <w:rPr>
          <w:color w:val="222222"/>
          <w:sz w:val="20"/>
          <w:szCs w:val="20"/>
        </w:rPr>
        <w:t xml:space="preserve">POST /auth/forgot-password (always 200, no user enumeration); token hash stored, 30-min expiry, prior tokens invalidated.</w:t>
      </w:r>
    </w:p>
    <w:p>
      <w:pPr>
        <w:numPr>
          <w:ilvl w:val="0"/>
          <w:numId w:val="11"/>
        </w:numPr>
        <w:spacing w:after="40" w:line="256" w:lineRule="auto"/>
      </w:pPr>
      <w:r>
        <w:rPr>
          <w:color w:val="222222"/>
          <w:sz w:val="20"/>
          <w:szCs w:val="20"/>
        </w:rPr>
        <w:t xml:space="preserve">E-mail link → POST /auth/reset-password (policy enforced) → all sessions revoked → confirmation e-mail → audit + security-change alert.</w:t>
      </w:r>
    </w:p>
    <w:p>
      <w:pPr>
        <w:spacing w:after="80" w:line="256" w:lineRule="auto"/>
      </w:pPr>
      <w:r>
        <w:rPr>
          <w:b w:val="1"/>
          <w:bCs w:val="1"/>
          <w:color w:val="222222"/>
          <w:sz w:val="20"/>
          <w:szCs w:val="20"/>
        </w:rPr>
        <w:t xml:space="preserve">B.4 Export</w:t>
      </w:r>
    </w:p>
    <w:p>
      <w:pPr>
        <w:numPr>
          <w:ilvl w:val="0"/>
          <w:numId w:val="12"/>
        </w:numPr>
        <w:spacing w:after="40" w:line="256" w:lineRule="auto"/>
      </w:pPr>
      <w:r>
        <w:rPr>
          <w:color w:val="222222"/>
          <w:sz w:val="20"/>
          <w:szCs w:val="20"/>
        </w:rPr>
        <w:t xml:space="preserve">POST /reports/{key}/export with the grid’s exact request shape + format → 202 + jobId.</w:t>
      </w:r>
    </w:p>
    <w:p>
      <w:pPr>
        <w:numPr>
          <w:ilvl w:val="0"/>
          <w:numId w:val="12"/>
        </w:numPr>
        <w:spacing w:after="40" w:line="256" w:lineRule="auto"/>
      </w:pPr>
      <w:r>
        <w:rPr>
          <w:color w:val="222222"/>
          <w:sz w:val="20"/>
          <w:szCs w:val="20"/>
        </w:rPr>
        <w:t xml:space="preserve">Worker streams the query into xlsx/csv/pdf with the projected columns in grid order (FR-R13), stores it, notifies the user; download via signed URL, 14-day retention.</w:t>
      </w:r>
    </w:p>
    <w:p>
      <w:pPr>
        <w:pStyle w:val="Heading1"/>
      </w:pPr>
      <w:r>
        <w:t xml:space="preserve">Appendix C — Requirements traceability (PRD → design)</w:t>
      </w:r>
    </w:p>
    <w:tbl>
      <w:tblPr>
        <w:tblStyle w:val="Table8"/>
        <w:tblW w:w="9360" w:type="dxa"/>
        <w:jc w:val="left"/>
        <w:tblBorders>
          <w:top w:color="d9d2c5" w:space="0" w:sz="4" w:val="single"/>
          <w:left w:color="d9d2c5" w:space="0" w:sz="4" w:val="single"/>
          <w:bottom w:color="d9d2c5" w:space="0" w:sz="4" w:val="single"/>
          <w:right w:color="d9d2c5" w:space="0" w:sz="4" w:val="single"/>
          <w:insideH w:color="d9d2c5" w:space="0" w:sz="4" w:val="single"/>
          <w:insideV w:color="d9d2c5" w:space="0" w:sz="4" w:val="single"/>
        </w:tblBorders>
        <w:tblLayout w:type="fixed"/>
        <w:tblLook w:val="0000"/>
      </w:tblPr>
      <w:tblGrid>
        <w:gridCol w:w="1400"/>
        <w:gridCol w:w="7960"/>
      </w:tblGrid>
      <w:tr>
        <w:tc>
          <w:tcPr>
            <w:tcW w:w="140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FR</w:t>
            </w:r>
          </w:p>
        </w:tc>
        <w:tc>
          <w:tcPr>
            <w:tcW w:w="7960" w:type="dxa"/>
            <w:shd w:fill="0e2841" w:val="clear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b w:val="1"/>
                <w:bCs w:val="1"/>
                <w:color w:val="ffffff"/>
                <w:sz w:val="18"/>
                <w:szCs w:val="18"/>
              </w:rPr>
              <w:t xml:space="preserve">Realised by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FR-R1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Report catalog (16 keys) + per-template field catalogs; canonical bc.* schema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FR-R2/R2a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Query builder scope injection + /me/scope-driven filter locking in SPA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FR-R3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Report-specific filter DTOs (date-basis toggle, BC-type chips, material-type split)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FR-R4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/reports/{key}/query — server-side paging/sorting/search (Dapper SQL)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FR-R5/R13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POST /reports/{key}/export + worker export builder honouring projection/order/sort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FR-R6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meta.asOf + meta.sourceFile from lineage columns on every query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FR-R7/R12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app.saved_views (implicit last layout + named, shareable views)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FR-R8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bc.saldo_movements + reconciliation job + variance flags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FR-R9–R11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AG Grid column chooser / multi-sort / drag-reorder bound to field catalog + projection API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FR-I1/I2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Worker folder watcher (60 s poll) + POST /ingestions/upload — same validate→load path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FR-I3/I7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ingest.ingestion_files (hash, size, source, user, timestamps) + lineage on every row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FR-I4/I13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Per-template validation rule sets in the template registry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FR-I5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ingest.quarantine_rows + review/resolve endpoints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FR-I6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File-hash UK + natural-key upserts (document, line)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FR-I8/I9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Content sniffing + template parsers (merged headers, continuation rows, footers, text guards, locales)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FR-I10/I11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Typed extension tables per template, columns named verbatim after upload headers; raw jsonb for unknowns; text identifiers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FR-I12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Header metadata &amp; footer totals parsed, validated, stored on ingestion_files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FR-A1–A7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Admin module: users/scope endpoints, seeded roles, master-data CRUD with dedup+test blocking, alert-rule CRUD, settings, audit viewer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FR-N1–N6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Notification engine: alert_rules → notifications → deliveries (e-mail w/ retry + SignalR in-app, throttle/digest, delivery log)</w:t>
            </w:r>
          </w:p>
        </w:tc>
      </w:tr>
      <w:tr>
        <w:tc>
          <w:tcPr>
            <w:tcW w:w="140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NFR ≤2 s / multi-user</w:t>
            </w:r>
          </w:p>
        </w:tc>
        <w:tc>
          <w:tcPr>
            <w:tcW w:w="7960" w:type="dxa"/>
            <w:tcMar>
              <w:top w:w="52" w:type="dxa"/>
              <w:left w:w="82" w:type="dxa"/>
              <w:bottom w:w="52" w:type="dxa"/>
              <w:right w:w="82" w:type="dxa"/>
            </w:tcMar>
          </w:tcPr>
          <w:p>
            <w:pPr>
              <w:spacing w:after="20" w:line="256" w:lineRule="auto"/>
            </w:pPr>
            <w:r>
              <w:rPr>
                <w:color w:val="222222"/>
                <w:sz w:val="18"/>
                <w:szCs w:val="18"/>
              </w:rPr>
              <w:t xml:space="preserve">Section 9: latency budget, keyset pagination, projection, matviews, PgBouncer, stateless replicas, k6 gate + RUM</w:t>
            </w:r>
          </w:p>
        </w:tc>
      </w:tr>
    </w:tbl>
    <w:p>
      <w:pPr>
        <w:spacing w:after="60" w:line="256" w:lineRule="auto"/>
      </w:pPr>
    </w:p>
    <w:sectPr>
      <w:footerReference r:id="rId6" w:type="default"/>
      <w:headerReference w:type="default" r:id="rId7"/>
      <w:footerReference w:type="first" r:id="rId8"/>
      <w:headerReference w:type="first" r:id="rId9"/>
      <w:footerReference w:type="even" r:id="rId10"/>
      <w:headerReference w:type="even" r:id="rId11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jc w:val="center"/>
      <w:rPr/>
    </w:pPr>
    <w:r w:rsidDel="00000000" w:rsidR="00000000" w:rsidRPr="00000000">
      <w:rPr>
        <w:color w:val="6b6b6b"/>
        <w:sz w:val="16"/>
        <w:szCs w:val="16"/>
        <w:rtl w:val="0"/>
      </w:rPr>
      <w:t xml:space="preserve">BC Inventory Reporting System — Technical Documentation v1.1  ·  Page </w:t>
    </w:r>
    <w:r w:rsidDel="00000000" w:rsidR="00000000" w:rsidRPr="00000000"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6b6b"/>
        <w:sz w:val="16"/>
        <w:szCs w:val="16"/>
        <w:rtl w:val="0"/>
      </w:rPr>
      <w:t xml:space="preserve"> of </w:t>
    </w:r>
    <w:r w:rsidDel="00000000" w:rsidR="00000000" w:rsidRPr="00000000"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e2841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b73532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7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a3a3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