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E2841"/>
          <w:sz w:val="44"/>
          <w:szCs w:val="44"/>
        </w:rPr>
        <w:t xml:space="preserve">BC Inventory Reporting System</w:t>
      </w:r>
    </w:p>
    <w:p>
      <w:pPr>
        <w:spacing w:after="240"/>
      </w:pPr>
      <w:r>
        <w:rPr>
          <w:rFonts w:ascii="Calibri" w:cs="Calibri" w:eastAsia="Calibri" w:hAnsi="Calibri"/>
          <w:color w:val="B73532"/>
          <w:sz w:val="30"/>
          <w:szCs w:val="30"/>
        </w:rPr>
        <w:t xml:space="preserve">End-to-End Functional Test Scenarios</w:t>
      </w:r>
    </w:p>
    <w:p>
      <w:pPr>
        <w:spacing w:after="240" w:before="0"/>
      </w:pPr>
      <w:r>
        <w:rPr>
          <w:rFonts w:ascii="Calibri" w:cs="Calibri" w:eastAsia="Calibri" w:hAnsi="Calibri"/>
          <w:i/>
          <w:iCs/>
          <w:color w:val="6B7683"/>
          <w:sz w:val="21"/>
          <w:szCs w:val="21"/>
        </w:rPr>
        <w:t xml:space="preserve">Staging acceptance test pack — front end and back end, positive and negative, covering every page, report and administrative function.</w:t>
      </w:r>
    </w:p>
    <w:tbl>
      <w:tblPr>
        <w:tblW w:type="dxa" w:w="10200"/>
        <w:tblBorders>
          <w:top w:val="single" w:color="D6DCE4" w:sz="2"/>
          <w:left w:val="single" w:color="D6DCE4" w:sz="2"/>
          <w:bottom w:val="single" w:color="D6DCE4" w:sz="2"/>
          <w:right w:val="single" w:color="D6DCE4" w:sz="2"/>
          <w:insideH w:val="single" w:color="D6DCE4" w:sz="2"/>
          <w:insideV w:val="single" w:color="D6DCE4" w:sz="2"/>
        </w:tblBorders>
      </w:tblPr>
      <w:tblGrid>
        <w:gridCol w:w="3000"/>
        <w:gridCol w:w="7200"/>
      </w:tblGrid>
      <w:tr>
        <w:trPr>
          <w:tblHeader/>
        </w:trPr>
        <w:tc>
          <w:tcPr>
            <w:tcW w:type="dxa" w:w="30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Field</w:t>
            </w:r>
          </w:p>
        </w:tc>
        <w:tc>
          <w:tcPr>
            <w:tcW w:type="dxa" w:w="72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Value</w:t>
            </w:r>
          </w:p>
        </w:tc>
      </w:tr>
      <w:tr>
        <w:tc>
          <w:tcPr>
            <w:tcW w:type="dxa" w:w="3000"/>
            <w:tcMar>
              <w:top w:type="dxa" w:w="60"/>
              <w:left w:type="dxa" w:w="90"/>
              <w:bottom w:type="dxa" w:w="60"/>
              <w:right w:type="dxa" w:w="90"/>
            </w:tcMar>
          </w:tcPr>
          <w:p>
            <w:pPr>
              <w:spacing w:after="0"/>
            </w:pPr>
            <w:r>
              <w:rPr>
                <w:rFonts w:ascii="Calibri" w:cs="Calibri" w:eastAsia="Calibri" w:hAnsi="Calibri"/>
                <w:b/>
                <w:bCs/>
                <w:sz w:val="17"/>
                <w:szCs w:val="17"/>
              </w:rPr>
              <w:t xml:space="preserve">Document</w:t>
            </w:r>
          </w:p>
        </w:tc>
        <w:tc>
          <w:tcPr>
            <w:tcW w:type="dxa" w:w="7200"/>
            <w:tcMar>
              <w:top w:type="dxa" w:w="60"/>
              <w:left w:type="dxa" w:w="90"/>
              <w:bottom w:type="dxa" w:w="60"/>
              <w:right w:type="dxa" w:w="90"/>
            </w:tcMar>
          </w:tcPr>
          <w:p>
            <w:pPr>
              <w:spacing w:after="0"/>
            </w:pPr>
            <w:r>
              <w:rPr>
                <w:rFonts w:ascii="Calibri" w:cs="Calibri" w:eastAsia="Calibri" w:hAnsi="Calibri"/>
                <w:sz w:val="17"/>
                <w:szCs w:val="17"/>
              </w:rPr>
              <w:t xml:space="preserve">End-to-End Functional Test Scenarios</w:t>
            </w:r>
          </w:p>
        </w:tc>
      </w:tr>
      <w:tr>
        <w:tc>
          <w:tcPr>
            <w:tcW w:type="dxa" w:w="30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Version</w:t>
            </w:r>
          </w:p>
        </w:tc>
        <w:tc>
          <w:tcPr>
            <w:tcW w:type="dxa" w:w="7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1.0</w:t>
            </w:r>
          </w:p>
        </w:tc>
      </w:tr>
      <w:tr>
        <w:tc>
          <w:tcPr>
            <w:tcW w:type="dxa" w:w="3000"/>
            <w:tcMar>
              <w:top w:type="dxa" w:w="60"/>
              <w:left w:type="dxa" w:w="90"/>
              <w:bottom w:type="dxa" w:w="60"/>
              <w:right w:type="dxa" w:w="90"/>
            </w:tcMar>
          </w:tcPr>
          <w:p>
            <w:pPr>
              <w:spacing w:after="0"/>
            </w:pPr>
            <w:r>
              <w:rPr>
                <w:rFonts w:ascii="Calibri" w:cs="Calibri" w:eastAsia="Calibri" w:hAnsi="Calibri"/>
                <w:b/>
                <w:bCs/>
                <w:sz w:val="17"/>
                <w:szCs w:val="17"/>
              </w:rPr>
              <w:t xml:space="preserve">Status</w:t>
            </w:r>
          </w:p>
        </w:tc>
        <w:tc>
          <w:tcPr>
            <w:tcW w:type="dxa" w:w="7200"/>
            <w:tcMar>
              <w:top w:type="dxa" w:w="60"/>
              <w:left w:type="dxa" w:w="90"/>
              <w:bottom w:type="dxa" w:w="60"/>
              <w:right w:type="dxa" w:w="90"/>
            </w:tcMar>
          </w:tcPr>
          <w:p>
            <w:pPr>
              <w:spacing w:after="0"/>
            </w:pPr>
            <w:r>
              <w:rPr>
                <w:rFonts w:ascii="Calibri" w:cs="Calibri" w:eastAsia="Calibri" w:hAnsi="Calibri"/>
                <w:sz w:val="17"/>
                <w:szCs w:val="17"/>
              </w:rPr>
              <w:t xml:space="preserve">For execution</w:t>
            </w:r>
          </w:p>
        </w:tc>
      </w:tr>
      <w:tr>
        <w:tc>
          <w:tcPr>
            <w:tcW w:type="dxa" w:w="30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Environment</w:t>
            </w:r>
          </w:p>
        </w:tc>
        <w:tc>
          <w:tcPr>
            <w:tcW w:type="dxa" w:w="7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Staging — http://test-it-inventory.kpndomain.com</w:t>
            </w:r>
          </w:p>
        </w:tc>
      </w:tr>
      <w:tr>
        <w:tc>
          <w:tcPr>
            <w:tcW w:type="dxa" w:w="3000"/>
            <w:tcMar>
              <w:top w:type="dxa" w:w="60"/>
              <w:left w:type="dxa" w:w="90"/>
              <w:bottom w:type="dxa" w:w="60"/>
              <w:right w:type="dxa" w:w="90"/>
            </w:tcMar>
          </w:tcPr>
          <w:p>
            <w:pPr>
              <w:spacing w:after="0"/>
            </w:pPr>
            <w:r>
              <w:rPr>
                <w:rFonts w:ascii="Calibri" w:cs="Calibri" w:eastAsia="Calibri" w:hAnsi="Calibri"/>
                <w:b/>
                <w:bCs/>
                <w:sz w:val="17"/>
                <w:szCs w:val="17"/>
              </w:rPr>
              <w:t xml:space="preserve">Application</w:t>
            </w:r>
          </w:p>
        </w:tc>
        <w:tc>
          <w:tcPr>
            <w:tcW w:type="dxa" w:w="7200"/>
            <w:tcMar>
              <w:top w:type="dxa" w:w="60"/>
              <w:left w:type="dxa" w:w="90"/>
              <w:bottom w:type="dxa" w:w="60"/>
              <w:right w:type="dxa" w:w="90"/>
            </w:tcMar>
          </w:tcPr>
          <w:p>
            <w:pPr>
              <w:spacing w:after="0"/>
            </w:pPr>
            <w:r>
              <w:rPr>
                <w:rFonts w:ascii="Calibri" w:cs="Calibri" w:eastAsia="Calibri" w:hAnsi="Calibri"/>
                <w:sz w:val="17"/>
                <w:szCs w:val="17"/>
              </w:rPr>
              <w:t xml:space="preserve">BC Inventory Reporting System (replaces Web IT Inventory / BC Reports)</w:t>
            </w:r>
          </w:p>
        </w:tc>
      </w:tr>
      <w:tr>
        <w:tc>
          <w:tcPr>
            <w:tcW w:type="dxa" w:w="30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Database</w:t>
            </w:r>
          </w:p>
        </w:tc>
        <w:tc>
          <w:tcPr>
            <w:tcW w:type="dxa" w:w="7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ApsaraDB RDS for PostgreSQL</w:t>
            </w:r>
          </w:p>
        </w:tc>
      </w:tr>
      <w:tr>
        <w:tc>
          <w:tcPr>
            <w:tcW w:type="dxa" w:w="3000"/>
            <w:tcMar>
              <w:top w:type="dxa" w:w="60"/>
              <w:left w:type="dxa" w:w="90"/>
              <w:bottom w:type="dxa" w:w="60"/>
              <w:right w:type="dxa" w:w="90"/>
            </w:tcMar>
          </w:tcPr>
          <w:p>
            <w:pPr>
              <w:spacing w:after="0"/>
            </w:pPr>
            <w:r>
              <w:rPr>
                <w:rFonts w:ascii="Calibri" w:cs="Calibri" w:eastAsia="Calibri" w:hAnsi="Calibri"/>
                <w:b/>
                <w:bCs/>
                <w:sz w:val="17"/>
                <w:szCs w:val="17"/>
              </w:rPr>
              <w:t xml:space="preserve">Prepared for</w:t>
            </w:r>
          </w:p>
        </w:tc>
        <w:tc>
          <w:tcPr>
            <w:tcW w:type="dxa" w:w="7200"/>
            <w:tcMar>
              <w:top w:type="dxa" w:w="60"/>
              <w:left w:type="dxa" w:w="90"/>
              <w:bottom w:type="dxa" w:w="60"/>
              <w:right w:type="dxa" w:w="90"/>
            </w:tcMar>
          </w:tcPr>
          <w:p>
            <w:pPr>
              <w:spacing w:after="0"/>
            </w:pPr>
            <w:r>
              <w:rPr>
                <w:rFonts w:ascii="Calibri" w:cs="Calibri" w:eastAsia="Calibri" w:hAnsi="Calibri"/>
                <w:sz w:val="17"/>
                <w:szCs w:val="17"/>
              </w:rPr>
              <w:t xml:space="preserve">PT SPC — KPN Corp</w:t>
            </w:r>
          </w:p>
        </w:tc>
      </w:tr>
    </w:tbl>
    <w:p>
      <w:r>
        <w:br w:type="page"/>
      </w:r>
    </w:p>
    <w:p>
      <w:pPr>
        <w:pStyle w:val="Heading1"/>
        <w:spacing w:after="130" w:before="260"/>
      </w:pPr>
      <w:r>
        <w:rPr>
          <w:rFonts w:ascii="Calibri" w:cs="Calibri" w:eastAsia="Calibri" w:hAnsi="Calibri"/>
          <w:b/>
          <w:bCs/>
          <w:color w:val="0E2841"/>
          <w:sz w:val="30"/>
          <w:szCs w:val="30"/>
        </w:rPr>
        <w:t xml:space="preserve">1. Purpose and scope</w:t>
      </w:r>
    </w:p>
    <w:p>
      <w:pPr>
        <w:spacing w:after="100" w:before="0"/>
      </w:pPr>
      <w:r>
        <w:rPr>
          <w:rFonts w:ascii="Calibri" w:cs="Calibri" w:eastAsia="Calibri" w:hAnsi="Calibri"/>
          <w:sz w:val="19"/>
          <w:szCs w:val="19"/>
        </w:rPr>
        <w:t xml:space="preserve">This pack defines the functional test scenarios to be executed against the staging environment before the system is accepted for user testing. It covers every page of the application, every report type, and both the browser front end and the API behind it.</w:t>
      </w:r>
    </w:p>
    <w:p>
      <w:pPr>
        <w:spacing w:after="100" w:before="0"/>
      </w:pPr>
      <w:r>
        <w:rPr>
          <w:rFonts w:ascii="Calibri" w:cs="Calibri" w:eastAsia="Calibri" w:hAnsi="Calibri"/>
          <w:sz w:val="19"/>
          <w:szCs w:val="19"/>
        </w:rPr>
        <w:t xml:space="preserve">Each area is tested from two directions. Positive scenarios confirm the system does what it should when used correctly. Negative scenarios confirm it refuses, clearly and safely, what it should not accept — bad input, missing data, duplicate uploads, and access outside a user’s permission or entity scope.</w:t>
      </w:r>
    </w:p>
    <w:p>
      <w:pPr>
        <w:spacing w:after="60" w:before="0"/>
      </w:pPr>
      <w:r>
        <w:rPr>
          <w:rFonts w:ascii="Calibri" w:cs="Calibri" w:eastAsia="Calibri" w:hAnsi="Calibri"/>
          <w:sz w:val="19"/>
          <w:szCs w:val="19"/>
        </w:rPr>
        <w:t xml:space="preserve">Two principles govern the negative cases and should be applied throughout:</w:t>
      </w:r>
    </w:p>
    <w:p>
      <w:pPr>
        <w:pStyle w:val="ListParagraph"/>
        <w:numPr>
          <w:ilvl w:val="0"/>
          <w:numId w:val="2"/>
        </w:numPr>
        <w:spacing w:after="60"/>
      </w:pPr>
      <w:r>
        <w:rPr>
          <w:rFonts w:ascii="Calibri" w:cs="Calibri" w:eastAsia="Calibri" w:hAnsi="Calibri"/>
          <w:sz w:val="19"/>
          <w:szCs w:val="19"/>
        </w:rPr>
        <w:t xml:space="preserve">A control that exists only in the browser is not a control. Where a scenario says access must be refused, verify it by calling the API directly as well as by using the screen — hiding a menu item proves nothing.</w:t>
      </w:r>
    </w:p>
    <w:p>
      <w:pPr>
        <w:pStyle w:val="ListParagraph"/>
        <w:numPr>
          <w:ilvl w:val="0"/>
          <w:numId w:val="2"/>
        </w:numPr>
        <w:spacing w:after="60"/>
      </w:pPr>
      <w:r>
        <w:rPr>
          <w:rFonts w:ascii="Calibri" w:cs="Calibri" w:eastAsia="Calibri" w:hAnsi="Calibri"/>
          <w:sz w:val="19"/>
          <w:szCs w:val="19"/>
        </w:rPr>
        <w:t xml:space="preserve">A refusal must be readable. Rejections should name what was wrong in language an operator can act on, and must never expose a stack trace, SQL, a file path or a connection string.</w:t>
      </w:r>
    </w:p>
    <w:p>
      <w:pPr>
        <w:spacing w:after="100" w:before="100"/>
      </w:pPr>
      <w:r>
        <w:rPr>
          <w:rFonts w:ascii="Calibri" w:cs="Calibri" w:eastAsia="Calibri" w:hAnsi="Calibri"/>
          <w:sz w:val="19"/>
          <w:szCs w:val="19"/>
        </w:rPr>
        <w:t xml:space="preserve">Out of scope: infrastructure failover, database backup and restore, penetration testing, and load testing beyond the concurrency checks in TS-18.</w:t>
      </w:r>
    </w:p>
    <w:p>
      <w:pPr>
        <w:pStyle w:val="Heading1"/>
        <w:spacing w:after="130" w:before="260"/>
      </w:pPr>
      <w:r>
        <w:rPr>
          <w:rFonts w:ascii="Calibri" w:cs="Calibri" w:eastAsia="Calibri" w:hAnsi="Calibri"/>
          <w:b/>
          <w:bCs/>
          <w:color w:val="0E2841"/>
          <w:sz w:val="30"/>
          <w:szCs w:val="30"/>
        </w:rPr>
        <w:t xml:space="preserve">2. Test environment</w:t>
      </w:r>
    </w:p>
    <w:tbl>
      <w:tblPr>
        <w:tblW w:type="dxa" w:w="11200"/>
        <w:tblBorders>
          <w:top w:val="single" w:color="D6DCE4" w:sz="2"/>
          <w:left w:val="single" w:color="D6DCE4" w:sz="2"/>
          <w:bottom w:val="single" w:color="D6DCE4" w:sz="2"/>
          <w:right w:val="single" w:color="D6DCE4" w:sz="2"/>
          <w:insideH w:val="single" w:color="D6DCE4" w:sz="2"/>
          <w:insideV w:val="single" w:color="D6DCE4" w:sz="2"/>
        </w:tblBorders>
      </w:tblPr>
      <w:tblGrid>
        <w:gridCol w:w="3200"/>
        <w:gridCol w:w="8000"/>
      </w:tblGrid>
      <w:tr>
        <w:trPr>
          <w:tblHeader/>
        </w:trPr>
        <w:tc>
          <w:tcPr>
            <w:tcW w:type="dxa" w:w="32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Component</w:t>
            </w:r>
          </w:p>
        </w:tc>
        <w:tc>
          <w:tcPr>
            <w:tcW w:type="dxa" w:w="80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Detail</w:t>
            </w:r>
          </w:p>
        </w:tc>
      </w:tr>
      <w:tr>
        <w:tc>
          <w:tcPr>
            <w:tcW w:type="dxa" w:w="3200"/>
            <w:tcMar>
              <w:top w:type="dxa" w:w="60"/>
              <w:left w:type="dxa" w:w="90"/>
              <w:bottom w:type="dxa" w:w="60"/>
              <w:right w:type="dxa" w:w="90"/>
            </w:tcMar>
          </w:tcPr>
          <w:p>
            <w:pPr>
              <w:spacing w:after="0"/>
            </w:pPr>
            <w:r>
              <w:rPr>
                <w:rFonts w:ascii="Calibri" w:cs="Calibri" w:eastAsia="Calibri" w:hAnsi="Calibri"/>
                <w:b/>
                <w:bCs/>
                <w:sz w:val="17"/>
                <w:szCs w:val="17"/>
              </w:rPr>
              <w:t xml:space="preserve">Application URL</w:t>
            </w:r>
          </w:p>
        </w:tc>
        <w:tc>
          <w:tcPr>
            <w:tcW w:type="dxa" w:w="8000"/>
            <w:tcMar>
              <w:top w:type="dxa" w:w="60"/>
              <w:left w:type="dxa" w:w="90"/>
              <w:bottom w:type="dxa" w:w="60"/>
              <w:right w:type="dxa" w:w="90"/>
            </w:tcMar>
          </w:tcPr>
          <w:p>
            <w:pPr>
              <w:spacing w:after="0"/>
            </w:pPr>
            <w:r>
              <w:rPr>
                <w:rFonts w:ascii="Calibri" w:cs="Calibri" w:eastAsia="Calibri" w:hAnsi="Calibri"/>
                <w:sz w:val="17"/>
                <w:szCs w:val="17"/>
              </w:rPr>
              <w:t xml:space="preserve">http://test-it-inventory.kpndomain.com</w:t>
            </w:r>
          </w:p>
        </w:tc>
      </w:tr>
      <w:tr>
        <w:tc>
          <w:tcPr>
            <w:tcW w:type="dxa" w:w="32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Front end</w:t>
            </w:r>
          </w:p>
        </w:tc>
        <w:tc>
          <w:tcPr>
            <w:tcW w:type="dxa" w:w="8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React single-page application served by nginx</w:t>
            </w:r>
          </w:p>
        </w:tc>
      </w:tr>
      <w:tr>
        <w:tc>
          <w:tcPr>
            <w:tcW w:type="dxa" w:w="3200"/>
            <w:tcMar>
              <w:top w:type="dxa" w:w="60"/>
              <w:left w:type="dxa" w:w="90"/>
              <w:bottom w:type="dxa" w:w="60"/>
              <w:right w:type="dxa" w:w="90"/>
            </w:tcMar>
          </w:tcPr>
          <w:p>
            <w:pPr>
              <w:spacing w:after="0"/>
            </w:pPr>
            <w:r>
              <w:rPr>
                <w:rFonts w:ascii="Calibri" w:cs="Calibri" w:eastAsia="Calibri" w:hAnsi="Calibri"/>
                <w:b/>
                <w:bCs/>
                <w:sz w:val="17"/>
                <w:szCs w:val="17"/>
              </w:rPr>
              <w:t xml:space="preserve">Back end</w:t>
            </w:r>
          </w:p>
        </w:tc>
        <w:tc>
          <w:tcPr>
            <w:tcW w:type="dxa" w:w="8000"/>
            <w:tcMar>
              <w:top w:type="dxa" w:w="60"/>
              <w:left w:type="dxa" w:w="90"/>
              <w:bottom w:type="dxa" w:w="60"/>
              <w:right w:type="dxa" w:w="90"/>
            </w:tcMar>
          </w:tcPr>
          <w:p>
            <w:pPr>
              <w:spacing w:after="0"/>
            </w:pPr>
            <w:r>
              <w:rPr>
                <w:rFonts w:ascii="Calibri" w:cs="Calibri" w:eastAsia="Calibri" w:hAnsi="Calibri"/>
                <w:sz w:val="17"/>
                <w:szCs w:val="17"/>
              </w:rPr>
              <w:t xml:space="preserve">REST API under /api/v1, JWT authentication</w:t>
            </w:r>
          </w:p>
        </w:tc>
      </w:tr>
      <w:tr>
        <w:tc>
          <w:tcPr>
            <w:tcW w:type="dxa" w:w="32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Database</w:t>
            </w:r>
          </w:p>
        </w:tc>
        <w:tc>
          <w:tcPr>
            <w:tcW w:type="dxa" w:w="8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ApsaraDB RDS for PostgreSQL</w:t>
            </w:r>
          </w:p>
        </w:tc>
      </w:tr>
      <w:tr>
        <w:tc>
          <w:tcPr>
            <w:tcW w:type="dxa" w:w="3200"/>
            <w:tcMar>
              <w:top w:type="dxa" w:w="60"/>
              <w:left w:type="dxa" w:w="90"/>
              <w:bottom w:type="dxa" w:w="60"/>
              <w:right w:type="dxa" w:w="90"/>
            </w:tcMar>
          </w:tcPr>
          <w:p>
            <w:pPr>
              <w:spacing w:after="0"/>
            </w:pPr>
            <w:r>
              <w:rPr>
                <w:rFonts w:ascii="Calibri" w:cs="Calibri" w:eastAsia="Calibri" w:hAnsi="Calibri"/>
                <w:b/>
                <w:bCs/>
                <w:sz w:val="17"/>
                <w:szCs w:val="17"/>
              </w:rPr>
              <w:t xml:space="preserve">Upload limit</w:t>
            </w:r>
          </w:p>
        </w:tc>
        <w:tc>
          <w:tcPr>
            <w:tcW w:type="dxa" w:w="8000"/>
            <w:tcMar>
              <w:top w:type="dxa" w:w="60"/>
              <w:left w:type="dxa" w:w="90"/>
              <w:bottom w:type="dxa" w:w="60"/>
              <w:right w:type="dxa" w:w="90"/>
            </w:tcMar>
          </w:tcPr>
          <w:p>
            <w:pPr>
              <w:spacing w:after="0"/>
            </w:pPr>
            <w:r>
              <w:rPr>
                <w:rFonts w:ascii="Calibri" w:cs="Calibri" w:eastAsia="Calibri" w:hAnsi="Calibri"/>
                <w:sz w:val="17"/>
                <w:szCs w:val="17"/>
              </w:rPr>
              <w:t xml:space="preserve">100 MB per file at the API</w:t>
            </w:r>
          </w:p>
        </w:tc>
      </w:tr>
      <w:tr>
        <w:tc>
          <w:tcPr>
            <w:tcW w:type="dxa" w:w="32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E-mail</w:t>
            </w:r>
          </w:p>
        </w:tc>
        <w:tc>
          <w:tcPr>
            <w:tcW w:type="dxa" w:w="8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Only sent when an SMTP relay is configured; in-app notifications always work</w:t>
            </w:r>
          </w:p>
        </w:tc>
      </w:tr>
      <w:tr>
        <w:tc>
          <w:tcPr>
            <w:tcW w:type="dxa" w:w="3200"/>
            <w:tcMar>
              <w:top w:type="dxa" w:w="60"/>
              <w:left w:type="dxa" w:w="90"/>
              <w:bottom w:type="dxa" w:w="60"/>
              <w:right w:type="dxa" w:w="90"/>
            </w:tcMar>
          </w:tcPr>
          <w:p>
            <w:pPr>
              <w:spacing w:after="0"/>
            </w:pPr>
            <w:r>
              <w:rPr>
                <w:rFonts w:ascii="Calibri" w:cs="Calibri" w:eastAsia="Calibri" w:hAnsi="Calibri"/>
                <w:b/>
                <w:bCs/>
                <w:sz w:val="17"/>
                <w:szCs w:val="17"/>
              </w:rPr>
              <w:t xml:space="preserve">Browsers</w:t>
            </w:r>
          </w:p>
        </w:tc>
        <w:tc>
          <w:tcPr>
            <w:tcW w:type="dxa" w:w="8000"/>
            <w:tcMar>
              <w:top w:type="dxa" w:w="60"/>
              <w:left w:type="dxa" w:w="90"/>
              <w:bottom w:type="dxa" w:w="60"/>
              <w:right w:type="dxa" w:w="90"/>
            </w:tcMar>
          </w:tcPr>
          <w:p>
            <w:pPr>
              <w:spacing w:after="0"/>
            </w:pPr>
            <w:r>
              <w:rPr>
                <w:rFonts w:ascii="Calibri" w:cs="Calibri" w:eastAsia="Calibri" w:hAnsi="Calibri"/>
                <w:sz w:val="17"/>
                <w:szCs w:val="17"/>
              </w:rPr>
              <w:t xml:space="preserve">Test on the browsers the business actually uses; record which was used for each cycle</w:t>
            </w:r>
          </w:p>
        </w:tc>
      </w:tr>
    </w:tbl>
    <w:p>
      <w:pPr>
        <w:spacing w:after="100" w:before="100"/>
      </w:pPr>
      <w:r>
        <w:rPr>
          <w:rFonts w:ascii="Calibri" w:cs="Calibri" w:eastAsia="Calibri" w:hAnsi="Calibri"/>
          <w:sz w:val="19"/>
          <w:szCs w:val="19"/>
        </w:rPr>
        <w:t xml:space="preserve">Before starting a cycle, confirm the deployed build matches the intended release and record it in the test log. A stale cached front end is a common cause of false failures.</w:t>
      </w:r>
    </w:p>
    <w:p>
      <w:pPr>
        <w:pStyle w:val="Heading1"/>
        <w:spacing w:after="130" w:before="260"/>
      </w:pPr>
      <w:r>
        <w:rPr>
          <w:rFonts w:ascii="Calibri" w:cs="Calibri" w:eastAsia="Calibri" w:hAnsi="Calibri"/>
          <w:b/>
          <w:bCs/>
          <w:color w:val="0E2841"/>
          <w:sz w:val="30"/>
          <w:szCs w:val="30"/>
        </w:rPr>
        <w:t xml:space="preserve">3. Test accounts</w:t>
      </w:r>
    </w:p>
    <w:p>
      <w:pPr>
        <w:spacing w:after="100" w:before="0"/>
      </w:pPr>
      <w:r>
        <w:rPr>
          <w:rFonts w:ascii="Calibri" w:cs="Calibri" w:eastAsia="Calibri" w:hAnsi="Calibri"/>
          <w:sz w:val="19"/>
          <w:szCs w:val="19"/>
        </w:rPr>
        <w:t xml:space="preserve">One account per role is needed. Scope at least one Site BC User to a single entity — several negative scenarios depend on a user who must not see everything.</w:t>
      </w:r>
    </w:p>
    <w:tbl>
      <w:tblPr>
        <w:tblW w:type="dxa" w:w="11200"/>
        <w:tblBorders>
          <w:top w:val="single" w:color="D6DCE4" w:sz="2"/>
          <w:left w:val="single" w:color="D6DCE4" w:sz="2"/>
          <w:bottom w:val="single" w:color="D6DCE4" w:sz="2"/>
          <w:right w:val="single" w:color="D6DCE4" w:sz="2"/>
          <w:insideH w:val="single" w:color="D6DCE4" w:sz="2"/>
          <w:insideV w:val="single" w:color="D6DCE4" w:sz="2"/>
        </w:tblBorders>
      </w:tblPr>
      <w:tblGrid>
        <w:gridCol w:w="3000"/>
        <w:gridCol w:w="2900"/>
        <w:gridCol w:w="5300"/>
      </w:tblGrid>
      <w:tr>
        <w:trPr>
          <w:tblHeader/>
        </w:trPr>
        <w:tc>
          <w:tcPr>
            <w:tcW w:type="dxa" w:w="30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Role</w:t>
            </w:r>
          </w:p>
        </w:tc>
        <w:tc>
          <w:tcPr>
            <w:tcW w:type="dxa" w:w="29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Scope for testing</w:t>
            </w:r>
          </w:p>
        </w:tc>
        <w:tc>
          <w:tcPr>
            <w:tcW w:type="dxa" w:w="53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Used mainly for</w:t>
            </w:r>
          </w:p>
        </w:tc>
      </w:tr>
      <w:tr>
        <w:tc>
          <w:tcPr>
            <w:tcW w:type="dxa" w:w="3000"/>
            <w:tcMar>
              <w:top w:type="dxa" w:w="60"/>
              <w:left w:type="dxa" w:w="90"/>
              <w:bottom w:type="dxa" w:w="60"/>
              <w:right w:type="dxa" w:w="90"/>
            </w:tcMar>
          </w:tcPr>
          <w:p>
            <w:pPr>
              <w:spacing w:after="0"/>
            </w:pPr>
            <w:r>
              <w:rPr>
                <w:rFonts w:ascii="Calibri" w:cs="Calibri" w:eastAsia="Calibri" w:hAnsi="Calibri"/>
                <w:b/>
                <w:bCs/>
                <w:sz w:val="17"/>
                <w:szCs w:val="17"/>
              </w:rPr>
              <w:t xml:space="preserve">Super Admin</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All entities</w:t>
            </w:r>
          </w:p>
        </w:tc>
        <w:tc>
          <w:tcPr>
            <w:tcW w:type="dxa" w:w="5300"/>
            <w:tcMar>
              <w:top w:type="dxa" w:w="60"/>
              <w:left w:type="dxa" w:w="90"/>
              <w:bottom w:type="dxa" w:w="60"/>
              <w:right w:type="dxa" w:w="90"/>
            </w:tcMar>
          </w:tcPr>
          <w:p>
            <w:pPr>
              <w:spacing w:after="0"/>
            </w:pPr>
            <w:r>
              <w:rPr>
                <w:rFonts w:ascii="Calibri" w:cs="Calibri" w:eastAsia="Calibri" w:hAnsi="Calibri"/>
                <w:sz w:val="17"/>
                <w:szCs w:val="17"/>
              </w:rPr>
              <w:t xml:space="preserve">Role management, full-access baseline</w:t>
            </w:r>
          </w:p>
        </w:tc>
      </w:tr>
      <w:tr>
        <w:tc>
          <w:tcPr>
            <w:tcW w:type="dxa" w:w="30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Admin</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All entities</w:t>
            </w:r>
          </w:p>
        </w:tc>
        <w:tc>
          <w:tcPr>
            <w:tcW w:type="dxa" w:w="5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User and master data administration, escalation guards</w:t>
            </w:r>
          </w:p>
        </w:tc>
      </w:tr>
      <w:tr>
        <w:tc>
          <w:tcPr>
            <w:tcW w:type="dxa" w:w="3000"/>
            <w:tcMar>
              <w:top w:type="dxa" w:w="60"/>
              <w:left w:type="dxa" w:w="90"/>
              <w:bottom w:type="dxa" w:w="60"/>
              <w:right w:type="dxa" w:w="90"/>
            </w:tcMar>
          </w:tcPr>
          <w:p>
            <w:pPr>
              <w:spacing w:after="0"/>
            </w:pPr>
            <w:r>
              <w:rPr>
                <w:rFonts w:ascii="Calibri" w:cs="Calibri" w:eastAsia="Calibri" w:hAnsi="Calibri"/>
                <w:b/>
                <w:bCs/>
                <w:sz w:val="17"/>
                <w:szCs w:val="17"/>
              </w:rPr>
              <w:t xml:space="preserve">HO BC User</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All entities</w:t>
            </w:r>
          </w:p>
        </w:tc>
        <w:tc>
          <w:tcPr>
            <w:tcW w:type="dxa" w:w="5300"/>
            <w:tcMar>
              <w:top w:type="dxa" w:w="60"/>
              <w:left w:type="dxa" w:w="90"/>
              <w:bottom w:type="dxa" w:w="60"/>
              <w:right w:type="dxa" w:w="90"/>
            </w:tcMar>
          </w:tcPr>
          <w:p>
            <w:pPr>
              <w:spacing w:after="0"/>
            </w:pPr>
            <w:r>
              <w:rPr>
                <w:rFonts w:ascii="Calibri" w:cs="Calibri" w:eastAsia="Calibri" w:hAnsi="Calibri"/>
                <w:sz w:val="17"/>
                <w:szCs w:val="17"/>
              </w:rPr>
              <w:t xml:space="preserve">Reports and movement across entities</w:t>
            </w:r>
          </w:p>
        </w:tc>
      </w:tr>
      <w:tr>
        <w:tc>
          <w:tcPr>
            <w:tcW w:type="dxa" w:w="30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Site BC User</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One entity only</w:t>
            </w:r>
          </w:p>
        </w:tc>
        <w:tc>
          <w:tcPr>
            <w:tcW w:type="dxa" w:w="5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Scope isolation and cross-entity refusals</w:t>
            </w:r>
          </w:p>
        </w:tc>
      </w:tr>
      <w:tr>
        <w:tc>
          <w:tcPr>
            <w:tcW w:type="dxa" w:w="3000"/>
            <w:tcMar>
              <w:top w:type="dxa" w:w="60"/>
              <w:left w:type="dxa" w:w="90"/>
              <w:bottom w:type="dxa" w:w="60"/>
              <w:right w:type="dxa" w:w="90"/>
            </w:tcMar>
          </w:tcPr>
          <w:p>
            <w:pPr>
              <w:spacing w:after="0"/>
            </w:pPr>
            <w:r>
              <w:rPr>
                <w:rFonts w:ascii="Calibri" w:cs="Calibri" w:eastAsia="Calibri" w:hAnsi="Calibri"/>
                <w:b/>
                <w:bCs/>
                <w:sz w:val="17"/>
                <w:szCs w:val="17"/>
              </w:rPr>
              <w:t xml:space="preserve">Data Steward</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One entity</w:t>
            </w:r>
          </w:p>
        </w:tc>
        <w:tc>
          <w:tcPr>
            <w:tcW w:type="dxa" w:w="5300"/>
            <w:tcMar>
              <w:top w:type="dxa" w:w="60"/>
              <w:left w:type="dxa" w:w="90"/>
              <w:bottom w:type="dxa" w:w="60"/>
              <w:right w:type="dxa" w:w="90"/>
            </w:tcMar>
          </w:tcPr>
          <w:p>
            <w:pPr>
              <w:spacing w:after="0"/>
            </w:pPr>
            <w:r>
              <w:rPr>
                <w:rFonts w:ascii="Calibri" w:cs="Calibri" w:eastAsia="Calibri" w:hAnsi="Calibri"/>
                <w:sz w:val="17"/>
                <w:szCs w:val="17"/>
              </w:rPr>
              <w:t xml:space="preserve">Ingestion, quarantine handling</w:t>
            </w:r>
          </w:p>
        </w:tc>
      </w:tr>
      <w:tr>
        <w:tc>
          <w:tcPr>
            <w:tcW w:type="dxa" w:w="30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Auditor</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All entities</w:t>
            </w:r>
          </w:p>
        </w:tc>
        <w:tc>
          <w:tcPr>
            <w:tcW w:type="dxa" w:w="5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Read-only access, audit log, landing-page behaviour</w:t>
            </w:r>
          </w:p>
        </w:tc>
      </w:tr>
    </w:tbl>
    <w:p>
      <w:pPr>
        <w:spacing w:after="100" w:before="100"/>
      </w:pPr>
      <w:r>
        <w:rPr>
          <w:rFonts w:ascii="Calibri" w:cs="Calibri" w:eastAsia="Calibri" w:hAnsi="Calibri"/>
          <w:i/>
          <w:iCs/>
          <w:color w:val="6B7683"/>
          <w:sz w:val="19"/>
          <w:szCs w:val="19"/>
        </w:rPr>
        <w:t xml:space="preserve">Record the passwords used in the cycle’s own secure note, not in this document.</w:t>
      </w:r>
    </w:p>
    <w:p>
      <w:pPr>
        <w:pStyle w:val="Heading1"/>
        <w:spacing w:after="130" w:before="260"/>
      </w:pPr>
      <w:r>
        <w:rPr>
          <w:rFonts w:ascii="Calibri" w:cs="Calibri" w:eastAsia="Calibri" w:hAnsi="Calibri"/>
          <w:b/>
          <w:bCs/>
          <w:color w:val="0E2841"/>
          <w:sz w:val="30"/>
          <w:szCs w:val="30"/>
        </w:rPr>
        <w:t xml:space="preserve">4. Test data</w:t>
      </w:r>
    </w:p>
    <w:p>
      <w:pPr>
        <w:spacing w:after="100" w:before="0"/>
      </w:pPr>
      <w:r>
        <w:rPr>
          <w:rFonts w:ascii="Calibri" w:cs="Calibri" w:eastAsia="Calibri" w:hAnsi="Calibri"/>
          <w:sz w:val="19"/>
          <w:szCs w:val="19"/>
        </w:rPr>
        <w:t xml:space="preserve">The following files are needed. Where a scenario requires a deliberately invalid file, produce it by editing a copy of a valid one — do not use production data for the corrupted cases.</w:t>
      </w:r>
    </w:p>
    <w:p>
      <w:pPr>
        <w:pStyle w:val="ListParagraph"/>
        <w:numPr>
          <w:ilvl w:val="0"/>
          <w:numId w:val="2"/>
        </w:numPr>
        <w:spacing w:after="60"/>
      </w:pPr>
      <w:r>
        <w:rPr>
          <w:rFonts w:ascii="Calibri" w:cs="Calibri" w:eastAsia="Calibri" w:hAnsi="Calibri"/>
          <w:sz w:val="19"/>
          <w:szCs w:val="19"/>
        </w:rPr>
        <w:t xml:space="preserve">One genuine vendor extract for each of the twelve upload templates listed in section 6.</w:t>
      </w:r>
    </w:p>
    <w:p>
      <w:pPr>
        <w:pStyle w:val="ListParagraph"/>
        <w:numPr>
          <w:ilvl w:val="0"/>
          <w:numId w:val="2"/>
        </w:numPr>
        <w:spacing w:after="60"/>
      </w:pPr>
      <w:r>
        <w:rPr>
          <w:rFonts w:ascii="Calibri" w:cs="Calibri" w:eastAsia="Calibri" w:hAnsi="Calibri"/>
          <w:sz w:val="19"/>
          <w:szCs w:val="19"/>
        </w:rPr>
        <w:t xml:space="preserve">A file containing a Kode Barang beginning 912 inside the Laporan Aset dan Sparepart layout — required for the routing scenarios in TS-05.</w:t>
      </w:r>
    </w:p>
    <w:p>
      <w:pPr>
        <w:pStyle w:val="ListParagraph"/>
        <w:numPr>
          <w:ilvl w:val="0"/>
          <w:numId w:val="2"/>
        </w:numPr>
        <w:spacing w:after="60"/>
      </w:pPr>
      <w:r>
        <w:rPr>
          <w:rFonts w:ascii="Calibri" w:cs="Calibri" w:eastAsia="Calibri" w:hAnsi="Calibri"/>
          <w:sz w:val="19"/>
          <w:szCs w:val="19"/>
        </w:rPr>
        <w:t xml:space="preserve">A file containing at least one Kode Barang that does not begin with 9 — without it, Laporan Aset will legitimately be empty and TS-05-05 cannot be judged.</w:t>
      </w:r>
    </w:p>
    <w:p>
      <w:pPr>
        <w:pStyle w:val="ListParagraph"/>
        <w:numPr>
          <w:ilvl w:val="0"/>
          <w:numId w:val="2"/>
        </w:numPr>
        <w:spacing w:after="60"/>
      </w:pPr>
      <w:r>
        <w:rPr>
          <w:rFonts w:ascii="Calibri" w:cs="Calibri" w:eastAsia="Calibri" w:hAnsi="Calibri"/>
          <w:sz w:val="19"/>
          <w:szCs w:val="19"/>
        </w:rPr>
        <w:t xml:space="preserve">A copy of a valid file with one non-numeric quantity and one unparseable date, for the quarantine scenarios in TS-09.</w:t>
      </w:r>
    </w:p>
    <w:p>
      <w:pPr>
        <w:pStyle w:val="ListParagraph"/>
        <w:numPr>
          <w:ilvl w:val="0"/>
          <w:numId w:val="2"/>
        </w:numPr>
        <w:spacing w:after="60"/>
      </w:pPr>
      <w:r>
        <w:rPr>
          <w:rFonts w:ascii="Calibri" w:cs="Calibri" w:eastAsia="Calibri" w:hAnsi="Calibri"/>
          <w:sz w:val="19"/>
          <w:szCs w:val="19"/>
        </w:rPr>
        <w:t xml:space="preserve">A Bahan Baku file whose sheet is named Sheet1 and whose file name says neither Bahan Baku nor Barang Jadi, for the ambiguity scenario TS-08-11.</w:t>
      </w:r>
    </w:p>
    <w:p>
      <w:pPr>
        <w:pStyle w:val="ListParagraph"/>
        <w:numPr>
          <w:ilvl w:val="0"/>
          <w:numId w:val="2"/>
        </w:numPr>
        <w:spacing w:after="60"/>
      </w:pPr>
      <w:r>
        <w:rPr>
          <w:rFonts w:ascii="Calibri" w:cs="Calibri" w:eastAsia="Calibri" w:hAnsi="Calibri"/>
          <w:sz w:val="19"/>
          <w:szCs w:val="19"/>
        </w:rPr>
        <w:t xml:space="preserve">A file larger than 100 MB, for TS-08-12.</w:t>
      </w:r>
    </w:p>
    <w:p>
      <w:pPr>
        <w:pStyle w:val="ListParagraph"/>
        <w:numPr>
          <w:ilvl w:val="0"/>
          <w:numId w:val="2"/>
        </w:numPr>
        <w:spacing w:after="60"/>
      </w:pPr>
      <w:r>
        <w:rPr>
          <w:rFonts w:ascii="Calibri" w:cs="Calibri" w:eastAsia="Calibri" w:hAnsi="Calibri"/>
          <w:sz w:val="19"/>
          <w:szCs w:val="19"/>
        </w:rPr>
        <w:t xml:space="preserve">A non-spreadsheet file, for TS-08-10.</w:t>
      </w:r>
    </w:p>
    <w:p>
      <w:pPr>
        <w:pStyle w:val="Heading1"/>
        <w:spacing w:after="130" w:before="260"/>
      </w:pPr>
      <w:r>
        <w:rPr>
          <w:rFonts w:ascii="Calibri" w:cs="Calibri" w:eastAsia="Calibri" w:hAnsi="Calibri"/>
          <w:b/>
          <w:bCs/>
          <w:color w:val="0E2841"/>
          <w:sz w:val="30"/>
          <w:szCs w:val="30"/>
        </w:rPr>
        <w:t xml:space="preserve">5. How to use this pack</w:t>
      </w:r>
    </w:p>
    <w:p>
      <w:pPr>
        <w:spacing w:after="100" w:before="0"/>
      </w:pPr>
      <w:r>
        <w:rPr>
          <w:rFonts w:ascii="Calibri" w:cs="Calibri" w:eastAsia="Calibri" w:hAnsi="Calibri"/>
          <w:sz w:val="19"/>
          <w:szCs w:val="19"/>
        </w:rPr>
        <w:t xml:space="preserve">Each suite is a table of test cases. Execute them in order within a suite; suites themselves may be run in any order once the test data is loaded.</w:t>
      </w:r>
    </w:p>
    <w:tbl>
      <w:tblPr>
        <w:tblW w:type="dxa" w:w="11200"/>
        <w:tblBorders>
          <w:top w:val="single" w:color="D6DCE4" w:sz="2"/>
          <w:left w:val="single" w:color="D6DCE4" w:sz="2"/>
          <w:bottom w:val="single" w:color="D6DCE4" w:sz="2"/>
          <w:right w:val="single" w:color="D6DCE4" w:sz="2"/>
          <w:insideH w:val="single" w:color="D6DCE4" w:sz="2"/>
          <w:insideV w:val="single" w:color="D6DCE4" w:sz="2"/>
        </w:tblBorders>
      </w:tblPr>
      <w:tblGrid>
        <w:gridCol w:w="2200"/>
        <w:gridCol w:w="9000"/>
      </w:tblGrid>
      <w:tr>
        <w:trPr>
          <w:tblHeader/>
        </w:trPr>
        <w:tc>
          <w:tcPr>
            <w:tcW w:type="dxa" w:w="22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Column</w:t>
            </w:r>
          </w:p>
        </w:tc>
        <w:tc>
          <w:tcPr>
            <w:tcW w:type="dxa" w:w="90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Meaning</w:t>
            </w:r>
          </w:p>
        </w:tc>
      </w:tr>
      <w:tr>
        <w:tc>
          <w:tcPr>
            <w:tcW w:type="dxa" w:w="2200"/>
            <w:tcMar>
              <w:top w:type="dxa" w:w="60"/>
              <w:left w:type="dxa" w:w="90"/>
              <w:bottom w:type="dxa" w:w="60"/>
              <w:right w:type="dxa" w:w="90"/>
            </w:tcMar>
          </w:tcPr>
          <w:p>
            <w:pPr>
              <w:spacing w:after="0"/>
            </w:pPr>
            <w:r>
              <w:rPr>
                <w:rFonts w:ascii="Calibri" w:cs="Calibri" w:eastAsia="Calibri" w:hAnsi="Calibri"/>
                <w:b/>
                <w:bCs/>
                <w:sz w:val="17"/>
                <w:szCs w:val="17"/>
              </w:rPr>
              <w:t xml:space="preserve">Test ID</w:t>
            </w:r>
          </w:p>
        </w:tc>
        <w:tc>
          <w:tcPr>
            <w:tcW w:type="dxa" w:w="9000"/>
            <w:tcMar>
              <w:top w:type="dxa" w:w="60"/>
              <w:left w:type="dxa" w:w="90"/>
              <w:bottom w:type="dxa" w:w="60"/>
              <w:right w:type="dxa" w:w="90"/>
            </w:tcMar>
          </w:tcPr>
          <w:p>
            <w:pPr>
              <w:spacing w:after="0"/>
            </w:pPr>
            <w:r>
              <w:rPr>
                <w:rFonts w:ascii="Calibri" w:cs="Calibri" w:eastAsia="Calibri" w:hAnsi="Calibri"/>
                <w:sz w:val="17"/>
                <w:szCs w:val="17"/>
              </w:rPr>
              <w:t xml:space="preserve">Unique reference. Quote it in every defect report.</w:t>
            </w:r>
          </w:p>
        </w:tc>
      </w:tr>
      <w:tr>
        <w:tc>
          <w:tcPr>
            <w:tcW w:type="dxa" w:w="22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Type</w:t>
            </w:r>
          </w:p>
        </w:tc>
        <w:tc>
          <w:tcPr>
            <w:tcW w:type="dxa" w:w="9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Positive — correct use should succeed. Negative — incorrect use must be refused clearly.</w:t>
            </w:r>
          </w:p>
        </w:tc>
      </w:tr>
      <w:tr>
        <w:tc>
          <w:tcPr>
            <w:tcW w:type="dxa" w:w="2200"/>
            <w:tcMar>
              <w:top w:type="dxa" w:w="60"/>
              <w:left w:type="dxa" w:w="90"/>
              <w:bottom w:type="dxa" w:w="60"/>
              <w:right w:type="dxa" w:w="90"/>
            </w:tcMar>
          </w:tcPr>
          <w:p>
            <w:pPr>
              <w:spacing w:after="0"/>
            </w:pPr>
            <w:r>
              <w:rPr>
                <w:rFonts w:ascii="Calibri" w:cs="Calibri" w:eastAsia="Calibri" w:hAnsi="Calibri"/>
                <w:b/>
                <w:bCs/>
                <w:sz w:val="17"/>
                <w:szCs w:val="17"/>
              </w:rPr>
              <w:t xml:space="preserve">Pre-condition</w:t>
            </w:r>
          </w:p>
        </w:tc>
        <w:tc>
          <w:tcPr>
            <w:tcW w:type="dxa" w:w="9000"/>
            <w:tcMar>
              <w:top w:type="dxa" w:w="60"/>
              <w:left w:type="dxa" w:w="90"/>
              <w:bottom w:type="dxa" w:w="60"/>
              <w:right w:type="dxa" w:w="90"/>
            </w:tcMar>
          </w:tcPr>
          <w:p>
            <w:pPr>
              <w:spacing w:after="0"/>
            </w:pPr>
            <w:r>
              <w:rPr>
                <w:rFonts w:ascii="Calibri" w:cs="Calibri" w:eastAsia="Calibri" w:hAnsi="Calibri"/>
                <w:sz w:val="17"/>
                <w:szCs w:val="17"/>
              </w:rPr>
              <w:t xml:space="preserve">The state the system must be in before the steps are performed.</w:t>
            </w:r>
          </w:p>
        </w:tc>
      </w:tr>
      <w:tr>
        <w:tc>
          <w:tcPr>
            <w:tcW w:type="dxa" w:w="22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Steps</w:t>
            </w:r>
          </w:p>
        </w:tc>
        <w:tc>
          <w:tcPr>
            <w:tcW w:type="dxa" w:w="9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What the tester does.</w:t>
            </w:r>
          </w:p>
        </w:tc>
      </w:tr>
      <w:tr>
        <w:tc>
          <w:tcPr>
            <w:tcW w:type="dxa" w:w="2200"/>
            <w:tcMar>
              <w:top w:type="dxa" w:w="60"/>
              <w:left w:type="dxa" w:w="90"/>
              <w:bottom w:type="dxa" w:w="60"/>
              <w:right w:type="dxa" w:w="90"/>
            </w:tcMar>
          </w:tcPr>
          <w:p>
            <w:pPr>
              <w:spacing w:after="0"/>
            </w:pPr>
            <w:r>
              <w:rPr>
                <w:rFonts w:ascii="Calibri" w:cs="Calibri" w:eastAsia="Calibri" w:hAnsi="Calibri"/>
                <w:b/>
                <w:bCs/>
                <w:sz w:val="17"/>
                <w:szCs w:val="17"/>
              </w:rPr>
              <w:t xml:space="preserve">Expected result</w:t>
            </w:r>
          </w:p>
        </w:tc>
        <w:tc>
          <w:tcPr>
            <w:tcW w:type="dxa" w:w="9000"/>
            <w:tcMar>
              <w:top w:type="dxa" w:w="60"/>
              <w:left w:type="dxa" w:w="90"/>
              <w:bottom w:type="dxa" w:w="60"/>
              <w:right w:type="dxa" w:w="90"/>
            </w:tcMar>
          </w:tcPr>
          <w:p>
            <w:pPr>
              <w:spacing w:after="0"/>
            </w:pPr>
            <w:r>
              <w:rPr>
                <w:rFonts w:ascii="Calibri" w:cs="Calibri" w:eastAsia="Calibri" w:hAnsi="Calibri"/>
                <w:sz w:val="17"/>
                <w:szCs w:val="17"/>
              </w:rPr>
              <w:t xml:space="preserve">What must be observed for a pass. Anything else is a fail, including a correct outcome reached with an error in the console.</w:t>
            </w:r>
          </w:p>
        </w:tc>
      </w:tr>
    </w:tbl>
    <w:p>
      <w:pPr>
        <w:spacing w:after="100" w:before="100"/>
      </w:pPr>
      <w:r>
        <w:rPr>
          <w:rFonts w:ascii="Calibri" w:cs="Calibri" w:eastAsia="Calibri" w:hAnsi="Calibri"/>
          <w:sz w:val="19"/>
          <w:szCs w:val="19"/>
        </w:rPr>
        <w:t xml:space="preserve">Record for each execution: date, tester, build, result (Pass / Fail / Blocked / Not run), and for a failure the defect reference. Use the result sheet in section 8.</w:t>
      </w:r>
    </w:p>
    <w:p>
      <w:pPr>
        <w:spacing w:after="100" w:before="0"/>
      </w:pPr>
      <w:r>
        <w:rPr>
          <w:rFonts w:ascii="Calibri" w:cs="Calibri" w:eastAsia="Calibri" w:hAnsi="Calibri"/>
          <w:sz w:val="19"/>
          <w:szCs w:val="19"/>
        </w:rPr>
        <w:t xml:space="preserve">A case is only a Pass if the expected result is met exactly. If the outcome is right but the experience is wrong — a stack trace in the console, a five-second wait, an error message that names an internal table — record it as a Fail with a note, not a Pass.</w:t>
      </w:r>
    </w:p>
    <w:p>
      <w:pPr>
        <w:pStyle w:val="Heading1"/>
        <w:spacing w:after="130" w:before="260"/>
      </w:pPr>
      <w:r>
        <w:rPr>
          <w:rFonts w:ascii="Calibri" w:cs="Calibri" w:eastAsia="Calibri" w:hAnsi="Calibri"/>
          <w:b/>
          <w:bCs/>
          <w:color w:val="0E2841"/>
          <w:sz w:val="30"/>
          <w:szCs w:val="30"/>
        </w:rPr>
        <w:t xml:space="preserve">6. Report coverage</w:t>
      </w:r>
    </w:p>
    <w:p>
      <w:pPr>
        <w:spacing w:after="100" w:before="0"/>
      </w:pPr>
      <w:r>
        <w:rPr>
          <w:rFonts w:ascii="Calibri" w:cs="Calibri" w:eastAsia="Calibri" w:hAnsi="Calibri"/>
          <w:sz w:val="19"/>
          <w:szCs w:val="19"/>
        </w:rPr>
        <w:t xml:space="preserve">Suites TS-04 and TS-05 are written once and executed against every report below. Record the report name against each execution so a failure is traceable to a single type.</w:t>
      </w:r>
    </w:p>
    <w:tbl>
      <w:tblPr>
        <w:tblW w:type="dxa" w:w="13200"/>
        <w:tblBorders>
          <w:top w:val="single" w:color="D6DCE4" w:sz="2"/>
          <w:left w:val="single" w:color="D6DCE4" w:sz="2"/>
          <w:bottom w:val="single" w:color="D6DCE4" w:sz="2"/>
          <w:right w:val="single" w:color="D6DCE4" w:sz="2"/>
          <w:insideH w:val="single" w:color="D6DCE4" w:sz="2"/>
          <w:insideV w:val="single" w:color="D6DCE4" w:sz="2"/>
        </w:tblBorders>
      </w:tblPr>
      <w:tblGrid>
        <w:gridCol w:w="1900"/>
        <w:gridCol w:w="1500"/>
        <w:gridCol w:w="1500"/>
        <w:gridCol w:w="4200"/>
        <w:gridCol w:w="4100"/>
      </w:tblGrid>
      <w:tr>
        <w:trPr>
          <w:tblHeader/>
        </w:trPr>
        <w:tc>
          <w:tcPr>
            <w:tcW w:type="dxa" w:w="19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Report key</w:t>
            </w:r>
          </w:p>
        </w:tc>
        <w:tc>
          <w:tcPr>
            <w:tcW w:type="dxa" w:w="15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Template</w:t>
            </w:r>
          </w:p>
        </w:tc>
        <w:tc>
          <w:tcPr>
            <w:tcW w:type="dxa" w:w="15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Page</w:t>
            </w:r>
          </w:p>
        </w:tc>
        <w:tc>
          <w:tcPr>
            <w:tcW w:type="dxa" w:w="42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Title shown to users</w:t>
            </w:r>
          </w:p>
        </w:tc>
        <w:tc>
          <w:tcPr>
            <w:tcW w:type="dxa" w:w="41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Notes for testing</w:t>
            </w:r>
          </w:p>
        </w:tc>
      </w:tr>
      <w:tr>
        <w:tc>
          <w:tcPr>
            <w:tcW w:type="dxa" w:w="1900"/>
            <w:tcMar>
              <w:top w:type="dxa" w:w="60"/>
              <w:left w:type="dxa" w:w="90"/>
              <w:bottom w:type="dxa" w:w="60"/>
              <w:right w:type="dxa" w:w="90"/>
            </w:tcMar>
          </w:tcPr>
          <w:p>
            <w:pPr>
              <w:spacing w:after="0"/>
            </w:pPr>
            <w:r>
              <w:rPr>
                <w:rFonts w:ascii="Calibri" w:cs="Calibri" w:eastAsia="Calibri" w:hAnsi="Calibri"/>
                <w:b/>
                <w:bCs/>
                <w:sz w:val="17"/>
                <w:szCs w:val="17"/>
              </w:rPr>
              <w:t xml:space="preserve">pib-import</w:t>
            </w:r>
          </w:p>
        </w:tc>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BC23</w:t>
            </w:r>
          </w:p>
        </w:tc>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Reports</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Pemasukan Barang — PIB Import (BC 2.3)</w:t>
            </w:r>
          </w:p>
        </w:tc>
        <w:tc>
          <w:tcPr>
            <w:tcW w:type="dxa" w:w="4100"/>
            <w:tcMar>
              <w:top w:type="dxa" w:w="60"/>
              <w:left w:type="dxa" w:w="90"/>
              <w:bottom w:type="dxa" w:w="60"/>
              <w:right w:type="dxa" w:w="90"/>
            </w:tcMar>
          </w:tcPr>
          <w:p>
            <w:pPr>
              <w:spacing w:after="0"/>
            </w:pPr>
            <w:r>
              <w:rPr>
                <w:rFonts w:ascii="Calibri" w:cs="Calibri" w:eastAsia="Calibri" w:hAnsi="Calibri"/>
                <w:sz w:val="17"/>
                <w:szCs w:val="17"/>
              </w:rPr>
              <w:t xml:space="preserve">TSV with .xls extension</w:t>
            </w:r>
          </w:p>
        </w:tc>
      </w:tr>
      <w:tr>
        <w:tc>
          <w:tcPr>
            <w:tcW w:type="dxa" w:w="19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bc40-receipt</w:t>
            </w:r>
          </w:p>
        </w:tc>
        <w:tc>
          <w:tcPr>
            <w:tcW w:type="dxa" w:w="15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BC40</w:t>
            </w:r>
          </w:p>
        </w:tc>
        <w:tc>
          <w:tcPr>
            <w:tcW w:type="dxa" w:w="15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Reports</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Pemasukan Barang — BC 4.0</w:t>
            </w:r>
          </w:p>
        </w:tc>
        <w:tc>
          <w:tcPr>
            <w:tcW w:type="dxa" w:w="41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HTML table with .xls extension</w:t>
            </w:r>
          </w:p>
        </w:tc>
      </w:tr>
      <w:tr>
        <w:tc>
          <w:tcPr>
            <w:tcW w:type="dxa" w:w="1900"/>
            <w:tcMar>
              <w:top w:type="dxa" w:w="60"/>
              <w:left w:type="dxa" w:w="90"/>
              <w:bottom w:type="dxa" w:w="60"/>
              <w:right w:type="dxa" w:w="90"/>
            </w:tcMar>
          </w:tcPr>
          <w:p>
            <w:pPr>
              <w:spacing w:after="0"/>
            </w:pPr>
            <w:r>
              <w:rPr>
                <w:rFonts w:ascii="Calibri" w:cs="Calibri" w:eastAsia="Calibri" w:hAnsi="Calibri"/>
                <w:b/>
                <w:bCs/>
                <w:sz w:val="17"/>
                <w:szCs w:val="17"/>
              </w:rPr>
              <w:t xml:space="preserve">bc30-export</w:t>
            </w:r>
          </w:p>
        </w:tc>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BC30</w:t>
            </w:r>
          </w:p>
        </w:tc>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Reports</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Pengeluaran Barang — BC 3.0 (PEB)</w:t>
            </w:r>
          </w:p>
        </w:tc>
        <w:tc>
          <w:tcPr>
            <w:tcW w:type="dxa" w:w="4100"/>
            <w:tcMar>
              <w:top w:type="dxa" w:w="60"/>
              <w:left w:type="dxa" w:w="90"/>
              <w:bottom w:type="dxa" w:w="60"/>
              <w:right w:type="dxa" w:w="90"/>
            </w:tcMar>
          </w:tcPr>
          <w:p>
            <w:pPr>
              <w:spacing w:after="0"/>
            </w:pPr>
            <w:r>
              <w:rPr>
                <w:rFonts w:ascii="Calibri" w:cs="Calibri" w:eastAsia="Calibri" w:hAnsi="Calibri"/>
                <w:sz w:val="17"/>
                <w:szCs w:val="17"/>
              </w:rPr>
              <w:t xml:space="preserve">XLSX</w:t>
            </w:r>
          </w:p>
        </w:tc>
      </w:tr>
      <w:tr>
        <w:tc>
          <w:tcPr>
            <w:tcW w:type="dxa" w:w="19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bc27-in</w:t>
            </w:r>
          </w:p>
        </w:tc>
        <w:tc>
          <w:tcPr>
            <w:tcW w:type="dxa" w:w="15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BC27IN</w:t>
            </w:r>
          </w:p>
        </w:tc>
        <w:tc>
          <w:tcPr>
            <w:tcW w:type="dxa" w:w="15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Reports</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Pemasukan Barang — BC 2.7</w:t>
            </w:r>
          </w:p>
        </w:tc>
        <w:tc>
          <w:tcPr>
            <w:tcW w:type="dxa" w:w="41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XLSX</w:t>
            </w:r>
          </w:p>
        </w:tc>
      </w:tr>
      <w:tr>
        <w:tc>
          <w:tcPr>
            <w:tcW w:type="dxa" w:w="1900"/>
            <w:tcMar>
              <w:top w:type="dxa" w:w="60"/>
              <w:left w:type="dxa" w:w="90"/>
              <w:bottom w:type="dxa" w:w="60"/>
              <w:right w:type="dxa" w:w="90"/>
            </w:tcMar>
          </w:tcPr>
          <w:p>
            <w:pPr>
              <w:spacing w:after="0"/>
            </w:pPr>
            <w:r>
              <w:rPr>
                <w:rFonts w:ascii="Calibri" w:cs="Calibri" w:eastAsia="Calibri" w:hAnsi="Calibri"/>
                <w:b/>
                <w:bCs/>
                <w:sz w:val="17"/>
                <w:szCs w:val="17"/>
              </w:rPr>
              <w:t xml:space="preserve">bc27-out</w:t>
            </w:r>
          </w:p>
        </w:tc>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BC27OUT</w:t>
            </w:r>
          </w:p>
        </w:tc>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Reports</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Pengeluaran Barang — BC 2.7</w:t>
            </w:r>
          </w:p>
        </w:tc>
        <w:tc>
          <w:tcPr>
            <w:tcW w:type="dxa" w:w="4100"/>
            <w:tcMar>
              <w:top w:type="dxa" w:w="60"/>
              <w:left w:type="dxa" w:w="90"/>
              <w:bottom w:type="dxa" w:w="60"/>
              <w:right w:type="dxa" w:w="90"/>
            </w:tcMar>
          </w:tcPr>
          <w:p>
            <w:pPr>
              <w:spacing w:after="0"/>
            </w:pPr>
            <w:r>
              <w:rPr>
                <w:rFonts w:ascii="Calibri" w:cs="Calibri" w:eastAsia="Calibri" w:hAnsi="Calibri"/>
                <w:sz w:val="17"/>
                <w:szCs w:val="17"/>
              </w:rPr>
              <w:t xml:space="preserve">XLSX — layout shared, name disambiguates</w:t>
            </w:r>
          </w:p>
        </w:tc>
      </w:tr>
      <w:tr>
        <w:tc>
          <w:tcPr>
            <w:tcW w:type="dxa" w:w="19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bc25-out</w:t>
            </w:r>
          </w:p>
        </w:tc>
        <w:tc>
          <w:tcPr>
            <w:tcW w:type="dxa" w:w="15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BC25</w:t>
            </w:r>
          </w:p>
        </w:tc>
        <w:tc>
          <w:tcPr>
            <w:tcW w:type="dxa" w:w="15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Reports</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Pengeluaran Barang — BC 2.5</w:t>
            </w:r>
          </w:p>
        </w:tc>
        <w:tc>
          <w:tcPr>
            <w:tcW w:type="dxa" w:w="41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XLSX — layout shared, name disambiguates</w:t>
            </w:r>
          </w:p>
        </w:tc>
      </w:tr>
      <w:tr>
        <w:tc>
          <w:tcPr>
            <w:tcW w:type="dxa" w:w="1900"/>
            <w:tcMar>
              <w:top w:type="dxa" w:w="60"/>
              <w:left w:type="dxa" w:w="90"/>
              <w:bottom w:type="dxa" w:w="60"/>
              <w:right w:type="dxa" w:w="90"/>
            </w:tcMar>
          </w:tcPr>
          <w:p>
            <w:pPr>
              <w:spacing w:after="0"/>
            </w:pPr>
            <w:r>
              <w:rPr>
                <w:rFonts w:ascii="Calibri" w:cs="Calibri" w:eastAsia="Calibri" w:hAnsi="Calibri"/>
                <w:b/>
                <w:bCs/>
                <w:sz w:val="17"/>
                <w:szCs w:val="17"/>
              </w:rPr>
              <w:t xml:space="preserve">bc41-out</w:t>
            </w:r>
          </w:p>
        </w:tc>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BC41</w:t>
            </w:r>
          </w:p>
        </w:tc>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Reports</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Pengeluaran Barang — BC 4.1</w:t>
            </w:r>
          </w:p>
        </w:tc>
        <w:tc>
          <w:tcPr>
            <w:tcW w:type="dxa" w:w="4100"/>
            <w:tcMar>
              <w:top w:type="dxa" w:w="60"/>
              <w:left w:type="dxa" w:w="90"/>
              <w:bottom w:type="dxa" w:w="60"/>
              <w:right w:type="dxa" w:w="90"/>
            </w:tcMar>
          </w:tcPr>
          <w:p>
            <w:pPr>
              <w:spacing w:after="0"/>
            </w:pPr>
            <w:r>
              <w:rPr>
                <w:rFonts w:ascii="Calibri" w:cs="Calibri" w:eastAsia="Calibri" w:hAnsi="Calibri"/>
                <w:sz w:val="17"/>
                <w:szCs w:val="17"/>
              </w:rPr>
              <w:t xml:space="preserve">XLSX — layout shared, name disambiguates</w:t>
            </w:r>
          </w:p>
        </w:tc>
      </w:tr>
      <w:tr>
        <w:tc>
          <w:tcPr>
            <w:tcW w:type="dxa" w:w="19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wip</w:t>
            </w:r>
          </w:p>
        </w:tc>
        <w:tc>
          <w:tcPr>
            <w:tcW w:type="dxa" w:w="15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WIP</w:t>
            </w:r>
          </w:p>
        </w:tc>
        <w:tc>
          <w:tcPr>
            <w:tcW w:type="dxa" w:w="15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Movement</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Laporan WIP</w:t>
            </w:r>
          </w:p>
        </w:tc>
        <w:tc>
          <w:tcPr>
            <w:tcW w:type="dxa" w:w="41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XLSX</w:t>
            </w:r>
          </w:p>
        </w:tc>
      </w:tr>
      <w:tr>
        <w:tc>
          <w:tcPr>
            <w:tcW w:type="dxa" w:w="1900"/>
            <w:tcMar>
              <w:top w:type="dxa" w:w="60"/>
              <w:left w:type="dxa" w:w="90"/>
              <w:bottom w:type="dxa" w:w="60"/>
              <w:right w:type="dxa" w:w="90"/>
            </w:tcMar>
          </w:tcPr>
          <w:p>
            <w:pPr>
              <w:spacing w:after="0"/>
            </w:pPr>
            <w:r>
              <w:rPr>
                <w:rFonts w:ascii="Calibri" w:cs="Calibri" w:eastAsia="Calibri" w:hAnsi="Calibri"/>
                <w:b/>
                <w:bCs/>
                <w:sz w:val="17"/>
                <w:szCs w:val="17"/>
              </w:rPr>
              <w:t xml:space="preserve">bahan-baku</w:t>
            </w:r>
          </w:p>
        </w:tc>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BAHANBAKU</w:t>
            </w:r>
          </w:p>
        </w:tc>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Movement</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Laporan Bahan Baku dan Bahan Penolong</w:t>
            </w:r>
          </w:p>
        </w:tc>
        <w:tc>
          <w:tcPr>
            <w:tcW w:type="dxa" w:w="4100"/>
            <w:tcMar>
              <w:top w:type="dxa" w:w="60"/>
              <w:left w:type="dxa" w:w="90"/>
              <w:bottom w:type="dxa" w:w="60"/>
              <w:right w:type="dxa" w:w="90"/>
            </w:tcMar>
          </w:tcPr>
          <w:p>
            <w:pPr>
              <w:spacing w:after="0"/>
            </w:pPr>
            <w:r>
              <w:rPr>
                <w:rFonts w:ascii="Calibri" w:cs="Calibri" w:eastAsia="Calibri" w:hAnsi="Calibri"/>
                <w:sz w:val="17"/>
                <w:szCs w:val="17"/>
              </w:rPr>
              <w:t xml:space="preserve">XLSX; also shows 912 rows from the ASET file</w:t>
            </w:r>
          </w:p>
        </w:tc>
      </w:tr>
      <w:tr>
        <w:tc>
          <w:tcPr>
            <w:tcW w:type="dxa" w:w="19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barang-jadi</w:t>
            </w:r>
          </w:p>
        </w:tc>
        <w:tc>
          <w:tcPr>
            <w:tcW w:type="dxa" w:w="15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BARANGJADI</w:t>
            </w:r>
          </w:p>
        </w:tc>
        <w:tc>
          <w:tcPr>
            <w:tcW w:type="dxa" w:w="15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Movement</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Laporan Barang Jadi</w:t>
            </w:r>
          </w:p>
        </w:tc>
        <w:tc>
          <w:tcPr>
            <w:tcW w:type="dxa" w:w="41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XLSX — layout shared with Bahan Baku</w:t>
            </w:r>
          </w:p>
        </w:tc>
      </w:tr>
      <w:tr>
        <w:tc>
          <w:tcPr>
            <w:tcW w:type="dxa" w:w="1900"/>
            <w:tcMar>
              <w:top w:type="dxa" w:w="60"/>
              <w:left w:type="dxa" w:w="90"/>
              <w:bottom w:type="dxa" w:w="60"/>
              <w:right w:type="dxa" w:w="90"/>
            </w:tcMar>
          </w:tcPr>
          <w:p>
            <w:pPr>
              <w:spacing w:after="0"/>
            </w:pPr>
            <w:r>
              <w:rPr>
                <w:rFonts w:ascii="Calibri" w:cs="Calibri" w:eastAsia="Calibri" w:hAnsi="Calibri"/>
                <w:b/>
                <w:bCs/>
                <w:sz w:val="17"/>
                <w:szCs w:val="17"/>
              </w:rPr>
              <w:t xml:space="preserve">aset-sparepart</w:t>
            </w:r>
          </w:p>
        </w:tc>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ASET</w:t>
            </w:r>
          </w:p>
        </w:tc>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Upload only</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Laporan Aset dan Sparepart</w:t>
            </w:r>
          </w:p>
        </w:tc>
        <w:tc>
          <w:tcPr>
            <w:tcW w:type="dxa" w:w="4100"/>
            <w:tcMar>
              <w:top w:type="dxa" w:w="60"/>
              <w:left w:type="dxa" w:w="90"/>
              <w:bottom w:type="dxa" w:w="60"/>
              <w:right w:type="dxa" w:w="90"/>
            </w:tcMar>
          </w:tcPr>
          <w:p>
            <w:pPr>
              <w:spacing w:after="0"/>
            </w:pPr>
            <w:r>
              <w:rPr>
                <w:rFonts w:ascii="Calibri" w:cs="Calibri" w:eastAsia="Calibri" w:hAnsi="Calibri"/>
                <w:sz w:val="17"/>
                <w:szCs w:val="17"/>
              </w:rPr>
              <w:t xml:space="preserve">XLSX — upload template; not browsable</w:t>
            </w:r>
          </w:p>
        </w:tc>
      </w:tr>
      <w:tr>
        <w:tc>
          <w:tcPr>
            <w:tcW w:type="dxa" w:w="19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sparepart</w:t>
            </w:r>
          </w:p>
        </w:tc>
        <w:tc>
          <w:tcPr>
            <w:tcW w:type="dxa" w:w="15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ASET</w:t>
            </w:r>
          </w:p>
        </w:tc>
        <w:tc>
          <w:tcPr>
            <w:tcW w:type="dxa" w:w="15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Movement</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Laporan Sparepart</w:t>
            </w:r>
          </w:p>
        </w:tc>
        <w:tc>
          <w:tcPr>
            <w:tcW w:type="dxa" w:w="41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View: Kode Barang 9xx except 912</w:t>
            </w:r>
          </w:p>
        </w:tc>
      </w:tr>
      <w:tr>
        <w:tc>
          <w:tcPr>
            <w:tcW w:type="dxa" w:w="1900"/>
            <w:tcMar>
              <w:top w:type="dxa" w:w="60"/>
              <w:left w:type="dxa" w:w="90"/>
              <w:bottom w:type="dxa" w:w="60"/>
              <w:right w:type="dxa" w:w="90"/>
            </w:tcMar>
          </w:tcPr>
          <w:p>
            <w:pPr>
              <w:spacing w:after="0"/>
            </w:pPr>
            <w:r>
              <w:rPr>
                <w:rFonts w:ascii="Calibri" w:cs="Calibri" w:eastAsia="Calibri" w:hAnsi="Calibri"/>
                <w:b/>
                <w:bCs/>
                <w:sz w:val="17"/>
                <w:szCs w:val="17"/>
              </w:rPr>
              <w:t xml:space="preserve">aset</w:t>
            </w:r>
          </w:p>
        </w:tc>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ASET</w:t>
            </w:r>
          </w:p>
        </w:tc>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Movement</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Laporan Aset</w:t>
            </w:r>
          </w:p>
        </w:tc>
        <w:tc>
          <w:tcPr>
            <w:tcW w:type="dxa" w:w="4100"/>
            <w:tcMar>
              <w:top w:type="dxa" w:w="60"/>
              <w:left w:type="dxa" w:w="90"/>
              <w:bottom w:type="dxa" w:w="60"/>
              <w:right w:type="dxa" w:w="90"/>
            </w:tcMar>
          </w:tcPr>
          <w:p>
            <w:pPr>
              <w:spacing w:after="0"/>
            </w:pPr>
            <w:r>
              <w:rPr>
                <w:rFonts w:ascii="Calibri" w:cs="Calibri" w:eastAsia="Calibri" w:hAnsi="Calibri"/>
                <w:sz w:val="17"/>
                <w:szCs w:val="17"/>
              </w:rPr>
              <w:t xml:space="preserve">View: Kode Barang not starting with 9</w:t>
            </w:r>
          </w:p>
        </w:tc>
      </w:tr>
      <w:tr>
        <w:tc>
          <w:tcPr>
            <w:tcW w:type="dxa" w:w="19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scraps</w:t>
            </w:r>
          </w:p>
        </w:tc>
        <w:tc>
          <w:tcPr>
            <w:tcW w:type="dxa" w:w="15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SCRAP</w:t>
            </w:r>
          </w:p>
        </w:tc>
        <w:tc>
          <w:tcPr>
            <w:tcW w:type="dxa" w:w="15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Movement</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Laporan Scraps</w:t>
            </w:r>
          </w:p>
        </w:tc>
        <w:tc>
          <w:tcPr>
            <w:tcW w:type="dxa" w:w="41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XLSX — layout shared with Aset dan Sparepart</w:t>
            </w:r>
          </w:p>
        </w:tc>
      </w:tr>
    </w:tbl>
    <w:p>
      <w:pPr>
        <w:spacing w:after="100" w:before="100"/>
      </w:pPr>
      <w:r>
        <w:rPr>
          <w:rFonts w:ascii="Calibri" w:cs="Calibri" w:eastAsia="Calibri" w:hAnsi="Calibri"/>
          <w:sz w:val="19"/>
          <w:szCs w:val="19"/>
        </w:rPr>
        <w:t xml:space="preserve">Three of the Pengeluaran layouts are byte-identical to one another, as are Bahan Baku and Barang Jadi, and Aset dan Sparepart and Scraps. For those, identification depends on the sheet name, file name or title row — exercise TS-08-11 for each such pair.</w:t>
      </w:r>
    </w:p>
    <w:p>
      <w:r>
        <w:br w:type="page"/>
      </w:r>
    </w:p>
    <w:p>
      <w:pPr>
        <w:pStyle w:val="Heading1"/>
        <w:spacing w:after="130" w:before="260"/>
      </w:pPr>
      <w:r>
        <w:rPr>
          <w:rFonts w:ascii="Calibri" w:cs="Calibri" w:eastAsia="Calibri" w:hAnsi="Calibri"/>
          <w:b/>
          <w:bCs/>
          <w:color w:val="0E2841"/>
          <w:sz w:val="30"/>
          <w:szCs w:val="30"/>
        </w:rPr>
        <w:t xml:space="preserve">7. Test scenarios</w:t>
      </w:r>
    </w:p>
    <w:p>
      <w:pPr>
        <w:pStyle w:val="Heading2"/>
        <w:spacing w:after="130" w:before="260"/>
      </w:pPr>
      <w:r>
        <w:rPr>
          <w:rFonts w:ascii="Calibri" w:cs="Calibri" w:eastAsia="Calibri" w:hAnsi="Calibri"/>
          <w:b/>
          <w:bCs/>
          <w:color w:val="0E2841"/>
          <w:sz w:val="24"/>
          <w:szCs w:val="24"/>
        </w:rPr>
        <w:t xml:space="preserve">TS-01 — Authentication &amp; session</w:t>
      </w:r>
    </w:p>
    <w:p>
      <w:pPr>
        <w:spacing w:after="130" w:before="0"/>
      </w:pPr>
      <w:r>
        <w:rPr>
          <w:rFonts w:ascii="Calibri" w:cs="Calibri" w:eastAsia="Calibri" w:hAnsi="Calibri"/>
          <w:sz w:val="19"/>
          <w:szCs w:val="19"/>
        </w:rPr>
        <w:t xml:space="preserve">Covers the login screen, JWT issue and expiry, and the audit record written on every attempt. The failure message is deliberately identical for all three failure modes — the distinguishing reason is written only to the audit trail, so testers must confirm both halves.</w:t>
      </w:r>
    </w:p>
    <w:tbl>
      <w:tblPr>
        <w:tblW w:type="dxa" w:w="14838"/>
        <w:tblBorders>
          <w:top w:val="single" w:color="D6DCE4" w:sz="2"/>
          <w:left w:val="single" w:color="D6DCE4" w:sz="2"/>
          <w:bottom w:val="single" w:color="D6DCE4" w:sz="2"/>
          <w:right w:val="single" w:color="D6DCE4" w:sz="2"/>
          <w:insideH w:val="single" w:color="D6DCE4" w:sz="2"/>
          <w:insideV w:val="single" w:color="D6DCE4" w:sz="2"/>
        </w:tblBorders>
      </w:tblPr>
      <w:tblGrid>
        <w:gridCol w:w="1020"/>
        <w:gridCol w:w="1060"/>
        <w:gridCol w:w="2450"/>
        <w:gridCol w:w="4750"/>
        <w:gridCol w:w="5558"/>
      </w:tblGrid>
      <w:tr>
        <w:trPr>
          <w:tblHeader/>
        </w:trPr>
        <w:tc>
          <w:tcPr>
            <w:tcW w:type="dxa" w:w="102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Test ID</w:t>
            </w:r>
          </w:p>
        </w:tc>
        <w:tc>
          <w:tcPr>
            <w:tcW w:type="dxa" w:w="106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Type</w:t>
            </w:r>
          </w:p>
        </w:tc>
        <w:tc>
          <w:tcPr>
            <w:tcW w:type="dxa" w:w="24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Pre-condition</w:t>
            </w:r>
          </w:p>
        </w:tc>
        <w:tc>
          <w:tcPr>
            <w:tcW w:type="dxa" w:w="47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Steps</w:t>
            </w:r>
          </w:p>
        </w:tc>
        <w:tc>
          <w:tcPr>
            <w:tcW w:type="dxa" w:w="5558"/>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Expected result</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TC-01-01</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Super Admin account active</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Open /login, enter Super Admin e-mail and password, click Sign in</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Redirected to Dashboard. Sidebar shows every page. User chip shows name and role Super Admin.</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TC-01-02</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 role whose Dashboard permission is off (e.g. Auditor)</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Log in as that user</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Lands on Reports, not Dashboard. Dashboard is absent from the sidebar. No error is shown.</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TC-01-03</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Logged in</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Refresh the browser (F5)</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Session survives; the same page reloads without returning to login.</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TC-01-04</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Logged in</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Click Sign out</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Returned to /login. Pressing Back does not restore the session.</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TC-01-05</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Any successful login</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Open Administration → Audit Log and filter action = auth.login</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A row exists with the actor e-mail, timestamp and source IP.</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TC-01-06</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Valid e-mail, wrong password</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Attempt login</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Message "Invalid credentials." Audit row records reason "bad password". No token issued.</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TC-01-07</w:t>
            </w:r>
          </w:p>
        </w:tc>
        <w:tc>
          <w:tcPr>
            <w:tcW w:type="dxa" w:w="106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E-mail that does not exist</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Attempt login</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Same message "Invalid credentials." — the wording must NOT reveal that the account is unknown. Audit reason "unknown email".</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TC-01-08</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Account set to disabled</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Attempt login with correct password</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Message "Invalid credentials." Audit reason "account disabled". Access is refused.</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TC-01-09</w:t>
            </w:r>
          </w:p>
        </w:tc>
        <w:tc>
          <w:tcPr>
            <w:tcW w:type="dxa" w:w="106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On the login screen</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Submit with e-mail and/or password blank</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Request is refused with a validation message; no server error appears.</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TC-01-10</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Session token expired or edited</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Alter the stored token, then trigger any data call</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API returns 401 and the app returns the user to /login rather than showing a blank grid.</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TC-01-11</w:t>
            </w:r>
          </w:p>
        </w:tc>
        <w:tc>
          <w:tcPr>
            <w:tcW w:type="dxa" w:w="106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Not logged in</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Browse directly to /reports, /admin and /audit</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Each redirects to /login; no data is rendered first.</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TC-01-12</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Not logged in</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Call GET /api/v1/reports with no Authorization header</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HTTP 401. No catalog data in the response body.</w:t>
            </w:r>
          </w:p>
        </w:tc>
      </w:tr>
    </w:tbl>
    <w:p>
      <w:pPr>
        <w:spacing w:after="120" w:before="0"/>
      </w:pPr>
      <w:r>
        <w:rPr>
          <w:rFonts w:ascii="Calibri" w:cs="Calibri" w:eastAsia="Calibri" w:hAnsi="Calibri"/>
          <w:sz w:val="19"/>
          <w:szCs w:val="19"/>
        </w:rPr>
        <w:t xml:space="preserve"/>
      </w:r>
    </w:p>
    <w:p>
      <w:pPr>
        <w:pStyle w:val="Heading2"/>
        <w:spacing w:after="130" w:before="260"/>
      </w:pPr>
      <w:r>
        <w:rPr>
          <w:rFonts w:ascii="Calibri" w:cs="Calibri" w:eastAsia="Calibri" w:hAnsi="Calibri"/>
          <w:b/>
          <w:bCs/>
          <w:color w:val="0E2841"/>
          <w:sz w:val="24"/>
          <w:szCs w:val="24"/>
        </w:rPr>
        <w:t xml:space="preserve">TS-02 — Navigation, landing page and role-based access</w:t>
      </w:r>
    </w:p>
    <w:p>
      <w:pPr>
        <w:spacing w:after="130" w:before="0"/>
      </w:pPr>
      <w:r>
        <w:rPr>
          <w:rFonts w:ascii="Calibri" w:cs="Calibri" w:eastAsia="Calibri" w:hAnsi="Calibri"/>
          <w:sz w:val="19"/>
          <w:szCs w:val="19"/>
        </w:rPr>
        <w:t xml:space="preserve">Permissions are a role × page × (view/insert/edit) matrix enforced by the API, not merely hidden in the UI. Every negative case here must be proven at the API level as well as the screen, because hiding a menu item is not access control.</w:t>
      </w:r>
    </w:p>
    <w:tbl>
      <w:tblPr>
        <w:tblW w:type="dxa" w:w="14838"/>
        <w:tblBorders>
          <w:top w:val="single" w:color="D6DCE4" w:sz="2"/>
          <w:left w:val="single" w:color="D6DCE4" w:sz="2"/>
          <w:bottom w:val="single" w:color="D6DCE4" w:sz="2"/>
          <w:right w:val="single" w:color="D6DCE4" w:sz="2"/>
          <w:insideH w:val="single" w:color="D6DCE4" w:sz="2"/>
          <w:insideV w:val="single" w:color="D6DCE4" w:sz="2"/>
        </w:tblBorders>
      </w:tblPr>
      <w:tblGrid>
        <w:gridCol w:w="1020"/>
        <w:gridCol w:w="1060"/>
        <w:gridCol w:w="2450"/>
        <w:gridCol w:w="4750"/>
        <w:gridCol w:w="5558"/>
      </w:tblGrid>
      <w:tr>
        <w:trPr>
          <w:tblHeader/>
        </w:trPr>
        <w:tc>
          <w:tcPr>
            <w:tcW w:type="dxa" w:w="102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Test ID</w:t>
            </w:r>
          </w:p>
        </w:tc>
        <w:tc>
          <w:tcPr>
            <w:tcW w:type="dxa" w:w="106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Type</w:t>
            </w:r>
          </w:p>
        </w:tc>
        <w:tc>
          <w:tcPr>
            <w:tcW w:type="dxa" w:w="24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Pre-condition</w:t>
            </w:r>
          </w:p>
        </w:tc>
        <w:tc>
          <w:tcPr>
            <w:tcW w:type="dxa" w:w="47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Steps</w:t>
            </w:r>
          </w:p>
        </w:tc>
        <w:tc>
          <w:tcPr>
            <w:tcW w:type="dxa" w:w="5558"/>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Expected result</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TC-02-01</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Roles configured per the matrix</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Log in as each of the six roles in turn</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The sidebar lists exactly the pages that role may view. Super Admin sees all seven.</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TC-02-02</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Any role</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Open every page listed in that role’s sidebar</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Each page loads with data; no Access denied appears for a page that is listed.</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TC-02-03</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Role has view but not edit on Reports</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Open Reports</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Grid is readable; Export and Save view controls are unavailable or refuse with a clear message.</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TC-02-04</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Role without Administration view</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Type /admin directly in the address bar</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page does not render user data. Access is denied or the user is redirected.</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TC-02-05</w:t>
            </w:r>
          </w:p>
        </w:tc>
        <w:tc>
          <w:tcPr>
            <w:tcW w:type="dxa" w:w="106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Role without Audit view</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Call GET /api/v1/audit with that role’s token</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HTTP 403, code AUTH-003, message naming the role and the page, e.g. "Your role (Site BC User) is not allowed to view on Audit Log."</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TC-02-06</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Role without Ingestion insert</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Call POST /api/v1/ingestions/upload with that token</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HTTP 403 AUTH-003. No ingestion record is created.</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TC-02-07</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Super Admin changes a role’s permissions</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Save the change, then log in as a user of that role</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The new permissions are in force on both the sidebar and the API.</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TC-02-08</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Site BC User scoped to one entity</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Request another entity’s data via the entity filter or a crafted API call</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HTTP 403, code SCOPE-001, "Requested entity outside your scope."</w:t>
            </w:r>
          </w:p>
        </w:tc>
      </w:tr>
    </w:tbl>
    <w:p>
      <w:pPr>
        <w:spacing w:after="120" w:before="0"/>
      </w:pPr>
      <w:r>
        <w:rPr>
          <w:rFonts w:ascii="Calibri" w:cs="Calibri" w:eastAsia="Calibri" w:hAnsi="Calibri"/>
          <w:sz w:val="19"/>
          <w:szCs w:val="19"/>
        </w:rPr>
        <w:t xml:space="preserve"/>
      </w:r>
    </w:p>
    <w:p>
      <w:pPr>
        <w:pStyle w:val="Heading2"/>
        <w:spacing w:after="130" w:before="260"/>
      </w:pPr>
      <w:r>
        <w:rPr>
          <w:rFonts w:ascii="Calibri" w:cs="Calibri" w:eastAsia="Calibri" w:hAnsi="Calibri"/>
          <w:b/>
          <w:bCs/>
          <w:color w:val="0E2841"/>
          <w:sz w:val="24"/>
          <w:szCs w:val="24"/>
        </w:rPr>
        <w:t xml:space="preserve">TS-03 — Dashboard</w:t>
      </w:r>
    </w:p>
    <w:p>
      <w:pPr>
        <w:spacing w:after="130" w:before="0"/>
      </w:pPr>
      <w:r>
        <w:rPr>
          <w:rFonts w:ascii="Calibri" w:cs="Calibri" w:eastAsia="Calibri" w:hAnsi="Calibri"/>
          <w:sz w:val="19"/>
          <w:szCs w:val="19"/>
        </w:rPr>
        <w:t xml:space="preserve">Read-only summary. Figures must respect the signed-in user’s entity scope — a site user must never see group-wide totals.</w:t>
      </w:r>
    </w:p>
    <w:tbl>
      <w:tblPr>
        <w:tblW w:type="dxa" w:w="14838"/>
        <w:tblBorders>
          <w:top w:val="single" w:color="D6DCE4" w:sz="2"/>
          <w:left w:val="single" w:color="D6DCE4" w:sz="2"/>
          <w:bottom w:val="single" w:color="D6DCE4" w:sz="2"/>
          <w:right w:val="single" w:color="D6DCE4" w:sz="2"/>
          <w:insideH w:val="single" w:color="D6DCE4" w:sz="2"/>
          <w:insideV w:val="single" w:color="D6DCE4" w:sz="2"/>
        </w:tblBorders>
      </w:tblPr>
      <w:tblGrid>
        <w:gridCol w:w="1020"/>
        <w:gridCol w:w="1060"/>
        <w:gridCol w:w="2450"/>
        <w:gridCol w:w="4750"/>
        <w:gridCol w:w="5558"/>
      </w:tblGrid>
      <w:tr>
        <w:trPr>
          <w:tblHeader/>
        </w:trPr>
        <w:tc>
          <w:tcPr>
            <w:tcW w:type="dxa" w:w="102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Test ID</w:t>
            </w:r>
          </w:p>
        </w:tc>
        <w:tc>
          <w:tcPr>
            <w:tcW w:type="dxa" w:w="106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Type</w:t>
            </w:r>
          </w:p>
        </w:tc>
        <w:tc>
          <w:tcPr>
            <w:tcW w:type="dxa" w:w="24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Pre-condition</w:t>
            </w:r>
          </w:p>
        </w:tc>
        <w:tc>
          <w:tcPr>
            <w:tcW w:type="dxa" w:w="47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Steps</w:t>
            </w:r>
          </w:p>
        </w:tc>
        <w:tc>
          <w:tcPr>
            <w:tcW w:type="dxa" w:w="5558"/>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Expected result</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TC-03-01</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Data loaded</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Open Dashboard</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KPI tiles show document count, line count, files loaded and quarantined rows. Values match the Reports and Ingestion pages.</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TC-03-02</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Several files ingested</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Review the recent-ingestion list and trend</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Most recent uploads appear newest first with correct file names and timestamps.</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TC-03-03</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Site BC User scoped to one entity</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Open Dashboard as that user</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Totals cover that entity only and are lower than the Super Admin view.</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TC-03-04</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Numbers over one thousand present</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Read every KPI tile</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Thousands separator is "." and decimals ",", e.g. 8.201,657. No en-US formatting anywhere.</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TC-03-05</w:t>
            </w:r>
          </w:p>
        </w:tc>
        <w:tc>
          <w:tcPr>
            <w:tcW w:type="dxa" w:w="106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Database cleared of transaction data</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Open Dashboard</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All KPIs read 0 and the page renders normally — no error, no blank screen, no "NaN".</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TC-03-06</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Role without Dashboard view</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Attempt to open /dashboard</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Access denied; the user lands on Reports instead.</w:t>
            </w:r>
          </w:p>
        </w:tc>
      </w:tr>
    </w:tbl>
    <w:p>
      <w:pPr>
        <w:spacing w:after="120" w:before="0"/>
      </w:pPr>
      <w:r>
        <w:rPr>
          <w:rFonts w:ascii="Calibri" w:cs="Calibri" w:eastAsia="Calibri" w:hAnsi="Calibri"/>
          <w:sz w:val="19"/>
          <w:szCs w:val="19"/>
        </w:rPr>
        <w:t xml:space="preserve"/>
      </w:r>
    </w:p>
    <w:p>
      <w:pPr>
        <w:pStyle w:val="Heading2"/>
        <w:spacing w:after="130" w:before="260"/>
      </w:pPr>
      <w:r>
        <w:rPr>
          <w:rFonts w:ascii="Calibri" w:cs="Calibri" w:eastAsia="Calibri" w:hAnsi="Calibri"/>
          <w:b/>
          <w:bCs/>
          <w:color w:val="0E2841"/>
          <w:sz w:val="24"/>
          <w:szCs w:val="24"/>
        </w:rPr>
        <w:t xml:space="preserve">TS-04 — Reports page — customs documents</w:t>
      </w:r>
    </w:p>
    <w:p>
      <w:pPr>
        <w:spacing w:after="130" w:before="0"/>
      </w:pPr>
      <w:r>
        <w:rPr>
          <w:rFonts w:ascii="Calibri" w:cs="Calibri" w:eastAsia="Calibri" w:hAnsi="Calibri"/>
          <w:sz w:val="19"/>
          <w:szCs w:val="19"/>
        </w:rPr>
        <w:t xml:space="preserve">Seven report types: BC 2.3 (PIB Import), BC 4.0, BC 3.0 (PEB), BC 2.7 In, BC 2.7 Out, BC 2.5 Out and BC 4.1 Out. Run the whole block against each report; record the report name in the result so a failure can be traced to one type.</w:t>
      </w:r>
    </w:p>
    <w:tbl>
      <w:tblPr>
        <w:tblW w:type="dxa" w:w="14838"/>
        <w:tblBorders>
          <w:top w:val="single" w:color="D6DCE4" w:sz="2"/>
          <w:left w:val="single" w:color="D6DCE4" w:sz="2"/>
          <w:bottom w:val="single" w:color="D6DCE4" w:sz="2"/>
          <w:right w:val="single" w:color="D6DCE4" w:sz="2"/>
          <w:insideH w:val="single" w:color="D6DCE4" w:sz="2"/>
          <w:insideV w:val="single" w:color="D6DCE4" w:sz="2"/>
        </w:tblBorders>
      </w:tblPr>
      <w:tblGrid>
        <w:gridCol w:w="1020"/>
        <w:gridCol w:w="1060"/>
        <w:gridCol w:w="2450"/>
        <w:gridCol w:w="4750"/>
        <w:gridCol w:w="5558"/>
      </w:tblGrid>
      <w:tr>
        <w:trPr>
          <w:tblHeader/>
        </w:trPr>
        <w:tc>
          <w:tcPr>
            <w:tcW w:type="dxa" w:w="102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Test ID</w:t>
            </w:r>
          </w:p>
        </w:tc>
        <w:tc>
          <w:tcPr>
            <w:tcW w:type="dxa" w:w="106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Type</w:t>
            </w:r>
          </w:p>
        </w:tc>
        <w:tc>
          <w:tcPr>
            <w:tcW w:type="dxa" w:w="24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Pre-condition</w:t>
            </w:r>
          </w:p>
        </w:tc>
        <w:tc>
          <w:tcPr>
            <w:tcW w:type="dxa" w:w="47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Steps</w:t>
            </w:r>
          </w:p>
        </w:tc>
        <w:tc>
          <w:tcPr>
            <w:tcW w:type="dxa" w:w="5558"/>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Expected result</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TC-04-01</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Data ingested for the report under test</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Select the report from the picker</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Grid loads with the catalogue’s default columns, in the catalogue order, with the correct row count.</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TC-04-02</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Report open</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Apply Entity filter</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Only that entity’s rows remain; the row count falls accordingly.</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TC-04-03</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Report open</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Set Period From and Period To around a known document date</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Only documents in the range are listed. No internal server error.</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TC-04-04</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Report open</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Type a known value into Search (document number, supplier, material code)</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Matching rows only. Search covers the report’s defined search fields.</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TC-04-05</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More rows than one page</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Switch page size 25 / 50 / 100 and page forward and back</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Counts and the "Showing x–y of z" line stay consistent; no duplicate or skipped rows.</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TC-04-06</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Report open</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Confirm the header wording for Pengeluaran reports</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Columns read "Bukti Pengeluaran / Nomor", "/ Tanggal" and "/ Tgl buka" — not "Bukti Penerimaan".</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TC-04-07</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BC 3.0 open</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Hover a Bukti Pengeluaran column header</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Tooltip shows the underlying upload field name, preserving lineage to the source file.</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TC-04-08</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Report open</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Set Period From later than Period To</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An empty result set is returned cleanly. No 500 error.</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TC-04-09</w:t>
            </w:r>
          </w:p>
        </w:tc>
        <w:tc>
          <w:tcPr>
            <w:tcW w:type="dxa" w:w="106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Authenticated</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POST /api/v1/reports/not-a-report/query</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HTTP 404, code RPT-001, "Unknown report key".</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TC-04-10</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Authenticated</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POST a query naming a column that is not in the report</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HTTP 400, code RPT-001, "Unknown column ‘…’." No SQL is executed.</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TC-04-11</w:t>
            </w:r>
          </w:p>
        </w:tc>
        <w:tc>
          <w:tcPr>
            <w:tcW w:type="dxa" w:w="106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Authenticated</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POST a query sorting on a field not in the report</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HTTP 400, code RPT-001, "Unknown sort field".</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TC-04-12</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Authenticated</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POST a query with an empty columns array</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HTTP 400, code VAL-001, "columns required."</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TC-04-13</w:t>
            </w:r>
          </w:p>
        </w:tc>
        <w:tc>
          <w:tcPr>
            <w:tcW w:type="dxa" w:w="106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Authenticated</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Put SQL into Search, e.g.  ’ OR 1=1 --</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Treated as literal search text. Zero or literal matches returned; no error and no data leak.</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TC-04-14</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Site BC User</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Query with another entity’s entityId filter</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HTTP 403 SCOPE-001. No rows returned.</w:t>
            </w:r>
          </w:p>
        </w:tc>
      </w:tr>
    </w:tbl>
    <w:p>
      <w:pPr>
        <w:spacing w:after="120" w:before="0"/>
      </w:pPr>
      <w:r>
        <w:rPr>
          <w:rFonts w:ascii="Calibri" w:cs="Calibri" w:eastAsia="Calibri" w:hAnsi="Calibri"/>
          <w:sz w:val="19"/>
          <w:szCs w:val="19"/>
        </w:rPr>
        <w:t xml:space="preserve"/>
      </w:r>
    </w:p>
    <w:p>
      <w:pPr>
        <w:pStyle w:val="Heading2"/>
        <w:spacing w:after="130" w:before="260"/>
      </w:pPr>
      <w:r>
        <w:rPr>
          <w:rFonts w:ascii="Calibri" w:cs="Calibri" w:eastAsia="Calibri" w:hAnsi="Calibri"/>
          <w:b/>
          <w:bCs/>
          <w:color w:val="0E2841"/>
          <w:sz w:val="24"/>
          <w:szCs w:val="24"/>
        </w:rPr>
        <w:t xml:space="preserve">TS-05 — Inventory Movement — stock and mutation reports</w:t>
      </w:r>
    </w:p>
    <w:p>
      <w:pPr>
        <w:spacing w:after="130" w:before="0"/>
      </w:pPr>
      <w:r>
        <w:rPr>
          <w:rFonts w:ascii="Calibri" w:cs="Calibri" w:eastAsia="Calibri" w:hAnsi="Calibri"/>
          <w:sz w:val="19"/>
          <w:szCs w:val="19"/>
        </w:rPr>
        <w:t xml:space="preserve">Six browsable reports. Laporan Aset dan Sparepart is uploaded as one file but read as three reports, split on the Kode Barang prefix: Sparepart is 9xx except 912, 912 is bahan penolong and reports with Bahan Baku, and everything else is Aset. This routing is the highest-risk area in this release and is tested row by row.</w:t>
      </w:r>
    </w:p>
    <w:tbl>
      <w:tblPr>
        <w:tblW w:type="dxa" w:w="14838"/>
        <w:tblBorders>
          <w:top w:val="single" w:color="D6DCE4" w:sz="2"/>
          <w:left w:val="single" w:color="D6DCE4" w:sz="2"/>
          <w:bottom w:val="single" w:color="D6DCE4" w:sz="2"/>
          <w:right w:val="single" w:color="D6DCE4" w:sz="2"/>
          <w:insideH w:val="single" w:color="D6DCE4" w:sz="2"/>
          <w:insideV w:val="single" w:color="D6DCE4" w:sz="2"/>
        </w:tblBorders>
      </w:tblPr>
      <w:tblGrid>
        <w:gridCol w:w="1020"/>
        <w:gridCol w:w="1060"/>
        <w:gridCol w:w="2450"/>
        <w:gridCol w:w="4750"/>
        <w:gridCol w:w="5558"/>
      </w:tblGrid>
      <w:tr>
        <w:trPr>
          <w:tblHeader/>
        </w:trPr>
        <w:tc>
          <w:tcPr>
            <w:tcW w:type="dxa" w:w="102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Test ID</w:t>
            </w:r>
          </w:p>
        </w:tc>
        <w:tc>
          <w:tcPr>
            <w:tcW w:type="dxa" w:w="106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Type</w:t>
            </w:r>
          </w:p>
        </w:tc>
        <w:tc>
          <w:tcPr>
            <w:tcW w:type="dxa" w:w="24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Pre-condition</w:t>
            </w:r>
          </w:p>
        </w:tc>
        <w:tc>
          <w:tcPr>
            <w:tcW w:type="dxa" w:w="47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Steps</w:t>
            </w:r>
          </w:p>
        </w:tc>
        <w:tc>
          <w:tcPr>
            <w:tcW w:type="dxa" w:w="5558"/>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Expected result</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TC-05-01</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Movement data ingested</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Open Inventory Movement and read the report picker</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Exactly six entries: Laporan WIP, Laporan Bahan Baku dan Bahan Penolong, Laporan Barang Jadi, Laporan Sparepart, Laporan Aset, Laporan Scraps.</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TC-05-02</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Picker open</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Look for "Laporan Aset dan Sparepart"</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It is NOT offered as a browsable report — it exists only as an upload template on the Ingestion page.</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TC-05-03</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Each of the five movement reports</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Open each and inspect the default columns</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Tanggal Transaksi is present as the first data column on every one.</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TC-05-04</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Aset dan Sparepart file uploaded containing 9xx codes</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Open Laporan Sparepart</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Every listed Kode Barang starts with 9 and none starts with 912.</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TC-05-05</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Same file contains codes not starting with 9</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Open Laporan Aset</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Only codes that do not start with 9 are listed.</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TC-05-06</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Same file contains a 912 code</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Open Laporan Bahan Baku dan Bahan Penolong</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912 row appears here, alongside the rows from the Bahan Baku file itself.</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TC-05-07</w:t>
            </w:r>
          </w:p>
        </w:tc>
        <w:tc>
          <w:tcPr>
            <w:tcW w:type="dxa" w:w="106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A 912 row exists in the Aset dan Sparepart file</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Open Laporan Sparepart, then Laporan Aset</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The 912 row appears in NEITHER. It must appear once, in Bahan Baku only — never twice, never nowhere.</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TC-05-08</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 row whose Kode Barang is blank</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Open Laporan Aset</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row is listed in Aset rather than disappearing from every report.</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TC-05-09</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Uploads exist for every movement template</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Total the rows across Sparepart, Aset and the 912 rows in Bahan Baku</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The total equals the row count reported for the Aset dan Sparepart upload — nothing is lost or double-counted.</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TC-05-10</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Report open</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Filter Period From / Period To</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Filtering uses the reporting period taken from the sheet, and returns rows without error.</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TC-05-11</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Quantities with decimals present</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Read the Saldo and Jumlah columns</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Values show full stored precision in Indonesian format, e.g. 8.201,657 — not rounded to 8.202.</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TC-05-12</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No Aset file uploaded yet</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Open Laporan Aset and Laporan Sparepart</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Both show an empty grid with a clear empty state, not an error.</w:t>
            </w:r>
          </w:p>
        </w:tc>
      </w:tr>
    </w:tbl>
    <w:p>
      <w:pPr>
        <w:spacing w:after="120" w:before="0"/>
      </w:pPr>
      <w:r>
        <w:rPr>
          <w:rFonts w:ascii="Calibri" w:cs="Calibri" w:eastAsia="Calibri" w:hAnsi="Calibri"/>
          <w:sz w:val="19"/>
          <w:szCs w:val="19"/>
        </w:rPr>
        <w:t xml:space="preserve"/>
      </w:r>
    </w:p>
    <w:p>
      <w:pPr>
        <w:pStyle w:val="Heading2"/>
        <w:spacing w:after="130" w:before="260"/>
      </w:pPr>
      <w:r>
        <w:rPr>
          <w:rFonts w:ascii="Calibri" w:cs="Calibri" w:eastAsia="Calibri" w:hAnsi="Calibri"/>
          <w:b/>
          <w:bCs/>
          <w:color w:val="0E2841"/>
          <w:sz w:val="24"/>
          <w:szCs w:val="24"/>
        </w:rPr>
        <w:t xml:space="preserve">TS-06 — Grid capabilities — columns, sorting and saved views</w:t>
      </w:r>
    </w:p>
    <w:p>
      <w:pPr>
        <w:spacing w:after="130" w:before="0"/>
      </w:pPr>
      <w:r>
        <w:rPr>
          <w:rFonts w:ascii="Calibri" w:cs="Calibri" w:eastAsia="Calibri" w:hAnsi="Calibri"/>
          <w:sz w:val="19"/>
          <w:szCs w:val="19"/>
        </w:rPr>
        <w:t xml:space="preserve">Applies to both the Reports and Inventory Movement grids. Run at least once on each page.</w:t>
      </w:r>
    </w:p>
    <w:tbl>
      <w:tblPr>
        <w:tblW w:type="dxa" w:w="14838"/>
        <w:tblBorders>
          <w:top w:val="single" w:color="D6DCE4" w:sz="2"/>
          <w:left w:val="single" w:color="D6DCE4" w:sz="2"/>
          <w:bottom w:val="single" w:color="D6DCE4" w:sz="2"/>
          <w:right w:val="single" w:color="D6DCE4" w:sz="2"/>
          <w:insideH w:val="single" w:color="D6DCE4" w:sz="2"/>
          <w:insideV w:val="single" w:color="D6DCE4" w:sz="2"/>
        </w:tblBorders>
      </w:tblPr>
      <w:tblGrid>
        <w:gridCol w:w="1020"/>
        <w:gridCol w:w="1060"/>
        <w:gridCol w:w="2450"/>
        <w:gridCol w:w="4750"/>
        <w:gridCol w:w="5558"/>
      </w:tblGrid>
      <w:tr>
        <w:trPr>
          <w:tblHeader/>
        </w:trPr>
        <w:tc>
          <w:tcPr>
            <w:tcW w:type="dxa" w:w="102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Test ID</w:t>
            </w:r>
          </w:p>
        </w:tc>
        <w:tc>
          <w:tcPr>
            <w:tcW w:type="dxa" w:w="106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Type</w:t>
            </w:r>
          </w:p>
        </w:tc>
        <w:tc>
          <w:tcPr>
            <w:tcW w:type="dxa" w:w="24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Pre-condition</w:t>
            </w:r>
          </w:p>
        </w:tc>
        <w:tc>
          <w:tcPr>
            <w:tcW w:type="dxa" w:w="47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Steps</w:t>
            </w:r>
          </w:p>
        </w:tc>
        <w:tc>
          <w:tcPr>
            <w:tcW w:type="dxa" w:w="5558"/>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Expected result</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TC-06-01</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Grid open</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Open the Columns chooser and tick an additional field</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The column appears in the grid immediately with correct values.</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TC-06-02</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Grid open</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Untick a shown column</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column disappears; remaining data is unaffected.</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TC-06-03</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Columns chooser open</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Move a column up and down the order</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The grid column order follows; the change survives paging.</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TC-06-04</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Grid open</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Click a column header once, then again</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Sorts ascending then descending, with an indicator on the header. Sorting is done server-side across all pages, not just the visible one.</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TC-06-05</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Grid arranged as wanted</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Click + View, name it and save</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The view is saved and re-selectable, restoring columns, order and sort.</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TC-06-06</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 saved view exists</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Delete the view</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It is removed from the list and does not reappear after a refresh.</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TC-06-07</w:t>
            </w:r>
          </w:p>
        </w:tc>
        <w:tc>
          <w:tcPr>
            <w:tcW w:type="dxa" w:w="106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A view saved by another user</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Attempt to delete it by its id via the API</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HTTP 404 or refusal, "View not found (or not yours)." The other user’s view is untouched.</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TC-06-08</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Save-view dialog open</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Save with a blank name</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Refused with a validation message; no empty view is created.</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TC-06-09</w:t>
            </w:r>
          </w:p>
        </w:tc>
        <w:tc>
          <w:tcPr>
            <w:tcW w:type="dxa" w:w="106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Grid open</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Remove every column</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Refused with "columns required." The grid never renders with no columns.</w:t>
            </w:r>
          </w:p>
        </w:tc>
      </w:tr>
    </w:tbl>
    <w:p>
      <w:pPr>
        <w:spacing w:after="120" w:before="0"/>
      </w:pPr>
      <w:r>
        <w:rPr>
          <w:rFonts w:ascii="Calibri" w:cs="Calibri" w:eastAsia="Calibri" w:hAnsi="Calibri"/>
          <w:sz w:val="19"/>
          <w:szCs w:val="19"/>
        </w:rPr>
        <w:t xml:space="preserve"/>
      </w:r>
    </w:p>
    <w:p>
      <w:pPr>
        <w:pStyle w:val="Heading2"/>
        <w:spacing w:after="130" w:before="260"/>
      </w:pPr>
      <w:r>
        <w:rPr>
          <w:rFonts w:ascii="Calibri" w:cs="Calibri" w:eastAsia="Calibri" w:hAnsi="Calibri"/>
          <w:b/>
          <w:bCs/>
          <w:color w:val="0E2841"/>
          <w:sz w:val="24"/>
          <w:szCs w:val="24"/>
        </w:rPr>
        <w:t xml:space="preserve">TS-07 — Export</w:t>
      </w:r>
    </w:p>
    <w:p>
      <w:pPr>
        <w:spacing w:after="130" w:before="0"/>
      </w:pPr>
      <w:r>
        <w:rPr>
          <w:rFonts w:ascii="Calibri" w:cs="Calibri" w:eastAsia="Calibri" w:hAnsi="Calibri"/>
          <w:sz w:val="19"/>
          <w:szCs w:val="19"/>
        </w:rPr>
        <w:t xml:space="preserve">Exports must reflect exactly what the grid shows — same columns, same order, same filters, same formatting — and must be recorded in the audit trail.</w:t>
      </w:r>
    </w:p>
    <w:tbl>
      <w:tblPr>
        <w:tblW w:type="dxa" w:w="14838"/>
        <w:tblBorders>
          <w:top w:val="single" w:color="D6DCE4" w:sz="2"/>
          <w:left w:val="single" w:color="D6DCE4" w:sz="2"/>
          <w:bottom w:val="single" w:color="D6DCE4" w:sz="2"/>
          <w:right w:val="single" w:color="D6DCE4" w:sz="2"/>
          <w:insideH w:val="single" w:color="D6DCE4" w:sz="2"/>
          <w:insideV w:val="single" w:color="D6DCE4" w:sz="2"/>
        </w:tblBorders>
      </w:tblPr>
      <w:tblGrid>
        <w:gridCol w:w="1020"/>
        <w:gridCol w:w="1060"/>
        <w:gridCol w:w="2450"/>
        <w:gridCol w:w="4750"/>
        <w:gridCol w:w="5558"/>
      </w:tblGrid>
      <w:tr>
        <w:trPr>
          <w:tblHeader/>
        </w:trPr>
        <w:tc>
          <w:tcPr>
            <w:tcW w:type="dxa" w:w="102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Test ID</w:t>
            </w:r>
          </w:p>
        </w:tc>
        <w:tc>
          <w:tcPr>
            <w:tcW w:type="dxa" w:w="106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Type</w:t>
            </w:r>
          </w:p>
        </w:tc>
        <w:tc>
          <w:tcPr>
            <w:tcW w:type="dxa" w:w="24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Pre-condition</w:t>
            </w:r>
          </w:p>
        </w:tc>
        <w:tc>
          <w:tcPr>
            <w:tcW w:type="dxa" w:w="47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Steps</w:t>
            </w:r>
          </w:p>
        </w:tc>
        <w:tc>
          <w:tcPr>
            <w:tcW w:type="dxa" w:w="5558"/>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Expected result</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TC-07-01</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Grid filtered and columns arranged</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Click Excel</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An .xlsx downloads containing exactly the visible columns in the visible order, and only the filtered rows.</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TC-07-02</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Same state</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Click CSV</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 .csv downloads with the same content.</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TC-07-03</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Export completed</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Check the Audit Log</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An export event is recorded with the actor, report and timestamp.</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TC-07-04</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Numeric and date columns exported</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Open the file</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Numbers keep full precision and Indonesian formatting; dates are readable and unambiguous.</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TC-07-05</w:t>
            </w:r>
          </w:p>
        </w:tc>
        <w:tc>
          <w:tcPr>
            <w:tcW w:type="dxa" w:w="106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Authenticated</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Call the export endpoint with format=pdf</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HTTP 400, code VAL-001, "format must be csv or xlsx."</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TC-07-06</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Role without export rights on the page</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Attempt an export</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HTTP 403 AUTH-003; no file is produced.</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TC-07-07</w:t>
            </w:r>
          </w:p>
        </w:tc>
        <w:tc>
          <w:tcPr>
            <w:tcW w:type="dxa" w:w="106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Filter that matches no rows</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Export</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A valid file with headers and no data rows is produced — not an error and not an empty file.</w:t>
            </w:r>
          </w:p>
        </w:tc>
      </w:tr>
    </w:tbl>
    <w:p>
      <w:pPr>
        <w:spacing w:after="120" w:before="0"/>
      </w:pPr>
      <w:r>
        <w:rPr>
          <w:rFonts w:ascii="Calibri" w:cs="Calibri" w:eastAsia="Calibri" w:hAnsi="Calibri"/>
          <w:sz w:val="19"/>
          <w:szCs w:val="19"/>
        </w:rPr>
        <w:t xml:space="preserve"/>
      </w:r>
    </w:p>
    <w:p>
      <w:pPr>
        <w:pStyle w:val="Heading2"/>
        <w:spacing w:after="130" w:before="260"/>
      </w:pPr>
      <w:r>
        <w:rPr>
          <w:rFonts w:ascii="Calibri" w:cs="Calibri" w:eastAsia="Calibri" w:hAnsi="Calibri"/>
          <w:b/>
          <w:bCs/>
          <w:color w:val="0E2841"/>
          <w:sz w:val="24"/>
          <w:szCs w:val="24"/>
        </w:rPr>
        <w:t xml:space="preserve">TS-08 — Ingestion &amp; upload</w:t>
      </w:r>
    </w:p>
    <w:p>
      <w:pPr>
        <w:spacing w:after="130" w:before="0"/>
      </w:pPr>
      <w:r>
        <w:rPr>
          <w:rFonts w:ascii="Calibri" w:cs="Calibri" w:eastAsia="Calibri" w:hAnsi="Calibri"/>
          <w:sz w:val="19"/>
          <w:szCs w:val="19"/>
        </w:rPr>
        <w:t xml:space="preserve">Files are identified by header fingerprint, never by file name, except where two templates share a byte-identical layout — there the sheet name, file name or title row is the only discriminator. Duplicate detection is by file content hash. The API accepts up to 100 MB; nginx allows 110 MB so an oversized file receives the API’s readable message rather than a bare nginx error.</w:t>
      </w:r>
    </w:p>
    <w:tbl>
      <w:tblPr>
        <w:tblW w:type="dxa" w:w="14838"/>
        <w:tblBorders>
          <w:top w:val="single" w:color="D6DCE4" w:sz="2"/>
          <w:left w:val="single" w:color="D6DCE4" w:sz="2"/>
          <w:bottom w:val="single" w:color="D6DCE4" w:sz="2"/>
          <w:right w:val="single" w:color="D6DCE4" w:sz="2"/>
          <w:insideH w:val="single" w:color="D6DCE4" w:sz="2"/>
          <w:insideV w:val="single" w:color="D6DCE4" w:sz="2"/>
        </w:tblBorders>
      </w:tblPr>
      <w:tblGrid>
        <w:gridCol w:w="1020"/>
        <w:gridCol w:w="1060"/>
        <w:gridCol w:w="2450"/>
        <w:gridCol w:w="4750"/>
        <w:gridCol w:w="5558"/>
      </w:tblGrid>
      <w:tr>
        <w:trPr>
          <w:tblHeader/>
        </w:trPr>
        <w:tc>
          <w:tcPr>
            <w:tcW w:type="dxa" w:w="102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Test ID</w:t>
            </w:r>
          </w:p>
        </w:tc>
        <w:tc>
          <w:tcPr>
            <w:tcW w:type="dxa" w:w="106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Type</w:t>
            </w:r>
          </w:p>
        </w:tc>
        <w:tc>
          <w:tcPr>
            <w:tcW w:type="dxa" w:w="24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Pre-condition</w:t>
            </w:r>
          </w:p>
        </w:tc>
        <w:tc>
          <w:tcPr>
            <w:tcW w:type="dxa" w:w="47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Steps</w:t>
            </w:r>
          </w:p>
        </w:tc>
        <w:tc>
          <w:tcPr>
            <w:tcW w:type="dxa" w:w="5558"/>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Expected result</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TC-08-01</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Vendor BC 2.3 extract available</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Upload BC23 Report.xls</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Identified as BC23. Status loaded. Row count matches the file.</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TC-08-02</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Vendor BC 4.0 extract available</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Upload BC40 Report.xls</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Identified as BC40 despite being an HTML table with an .xls extension. Status loaded.</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TC-08-03</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The four .xlsx movement extracts</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Upload WIP, Bahan Baku, Barang Jadi and Aset dan Sparepart in turn</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Each identified as WIP / BAHANBAKU / BARANGJADI / ASET with the correct row counts.</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TC-08-04</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BC 2.7 In/Out, BC 2.5 Out, BC 4.1 Out files</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Upload each</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Each identified as its own template — the three Pengeluaran layouts are identical, so confirm the sheet or file name disambiguates correctly.</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TC-08-05</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Ingestion page open</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Download the blank template for each of the twelve upload templates</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Each downloads an .xlsx whose headers exactly match that report’s fields, including Tanggal Transaksi on the five movement templates.</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TC-08-06</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 blank template downloaded</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Fill in a few rows and upload it</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Round-trips: identified as the same template it was generated for, rows loaded.</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TC-08-07</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A period already uploaded</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Upload a corrected file for the same period</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The period is updated in place rather than duplicated.</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TC-08-08</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Upload completed</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Check the Ingestion list and the Audit Log</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file appears with template, row counts and status; an audit entry names the uploader.</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TC-08-09</w:t>
            </w:r>
          </w:p>
        </w:tc>
        <w:tc>
          <w:tcPr>
            <w:tcW w:type="dxa" w:w="106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A file already uploaded</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Upload the identical file again</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Status duplicate, message "File already ingested (id N)." No rows are added.</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TC-08-10</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Any unrelated file</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Upload a .pdf, .png or a text file renamed to .xlsx</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Status rejected, "Unrecognised template/format". Nothing is stored.</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TC-08-11</w:t>
            </w:r>
          </w:p>
        </w:tc>
        <w:tc>
          <w:tcPr>
            <w:tcW w:type="dxa" w:w="106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Bahan Baku and Barang Jadi share a layout</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Upload a Bahan Baku file whose sheet is named "Sheet1" and whose file name says neither</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Rejected with a message naming both candidate reports and asking for the sheet, file name or title row to identify it. Status rejected, not a 500 error.</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TC-08-12</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 file larger than 100 MB</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Upload it</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Refused with a readable size message from the API, not a bare nginx 413 page.</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TC-08-13</w:t>
            </w:r>
          </w:p>
        </w:tc>
        <w:tc>
          <w:tcPr>
            <w:tcW w:type="dxa" w:w="106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Authenticated</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POST to the upload endpoint with a JSON body</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HTTP 400, "multipart/form-data expected."</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TC-08-14</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Authenticated</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POST multipart with no file part</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HTTP 400, "file is required."</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TC-08-15</w:t>
            </w:r>
          </w:p>
        </w:tc>
        <w:tc>
          <w:tcPr>
            <w:tcW w:type="dxa" w:w="106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Authenticated</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Request the blank template for the derived view key "sparepart" or "aset"</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HTTP 400, code RPT-002, naming Laporan Aset dan Sparepart as the file to upload instead.</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TC-08-16</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An empty .xlsx with correct headers only</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Upload it</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Accepted as a valid template with zero rows, or rejected with a clear message — never a server error.</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TC-08-17</w:t>
            </w:r>
          </w:p>
        </w:tc>
        <w:tc>
          <w:tcPr>
            <w:tcW w:type="dxa" w:w="106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Role without Ingestion insert</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Attempt an upload from the UI and the API</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Blocked in both places with 403 AUTH-003.</w:t>
            </w:r>
          </w:p>
        </w:tc>
      </w:tr>
    </w:tbl>
    <w:p>
      <w:pPr>
        <w:spacing w:after="120" w:before="0"/>
      </w:pPr>
      <w:r>
        <w:rPr>
          <w:rFonts w:ascii="Calibri" w:cs="Calibri" w:eastAsia="Calibri" w:hAnsi="Calibri"/>
          <w:sz w:val="19"/>
          <w:szCs w:val="19"/>
        </w:rPr>
        <w:t xml:space="preserve"/>
      </w:r>
    </w:p>
    <w:p>
      <w:pPr>
        <w:pStyle w:val="Heading2"/>
        <w:spacing w:after="130" w:before="260"/>
      </w:pPr>
      <w:r>
        <w:rPr>
          <w:rFonts w:ascii="Calibri" w:cs="Calibri" w:eastAsia="Calibri" w:hAnsi="Calibri"/>
          <w:b/>
          <w:bCs/>
          <w:color w:val="0E2841"/>
          <w:sz w:val="24"/>
          <w:szCs w:val="24"/>
        </w:rPr>
        <w:t xml:space="preserve">TS-09 — Quarantine handling</w:t>
      </w:r>
    </w:p>
    <w:p>
      <w:pPr>
        <w:spacing w:after="130" w:before="0"/>
      </w:pPr>
      <w:r>
        <w:rPr>
          <w:rFonts w:ascii="Calibri" w:cs="Calibri" w:eastAsia="Calibri" w:hAnsi="Calibri"/>
          <w:sz w:val="19"/>
          <w:szCs w:val="19"/>
        </w:rPr>
        <w:t xml:space="preserve">Rows that fail validation are quarantined with a reason and shown back to the user — never silently dropped. A partly-bad file must still load its good rows.</w:t>
      </w:r>
    </w:p>
    <w:tbl>
      <w:tblPr>
        <w:tblW w:type="dxa" w:w="14838"/>
        <w:tblBorders>
          <w:top w:val="single" w:color="D6DCE4" w:sz="2"/>
          <w:left w:val="single" w:color="D6DCE4" w:sz="2"/>
          <w:bottom w:val="single" w:color="D6DCE4" w:sz="2"/>
          <w:right w:val="single" w:color="D6DCE4" w:sz="2"/>
          <w:insideH w:val="single" w:color="D6DCE4" w:sz="2"/>
          <w:insideV w:val="single" w:color="D6DCE4" w:sz="2"/>
        </w:tblBorders>
      </w:tblPr>
      <w:tblGrid>
        <w:gridCol w:w="1020"/>
        <w:gridCol w:w="1060"/>
        <w:gridCol w:w="2450"/>
        <w:gridCol w:w="4750"/>
        <w:gridCol w:w="5558"/>
      </w:tblGrid>
      <w:tr>
        <w:trPr>
          <w:tblHeader/>
        </w:trPr>
        <w:tc>
          <w:tcPr>
            <w:tcW w:type="dxa" w:w="102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Test ID</w:t>
            </w:r>
          </w:p>
        </w:tc>
        <w:tc>
          <w:tcPr>
            <w:tcW w:type="dxa" w:w="106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Type</w:t>
            </w:r>
          </w:p>
        </w:tc>
        <w:tc>
          <w:tcPr>
            <w:tcW w:type="dxa" w:w="24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Pre-condition</w:t>
            </w:r>
          </w:p>
        </w:tc>
        <w:tc>
          <w:tcPr>
            <w:tcW w:type="dxa" w:w="47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Steps</w:t>
            </w:r>
          </w:p>
        </w:tc>
        <w:tc>
          <w:tcPr>
            <w:tcW w:type="dxa" w:w="5558"/>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Expected result</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TC-09-01</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A file with one non-numeric quantity</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Upload it</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Status partial. Good rows are loaded; the bad row is quarantined.</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TC-09-02</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That upload</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Open the quarantine viewer for the ingestion</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raw row is shown with the reason, e.g. "‘Saldo Akhir’: not a number (‘abc’)".</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TC-09-03</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A file with an unparseable date</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Upload it</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Reason reads "not a recognised date" and names the field and raw value.</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TC-09-04</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Quarantined rows exist</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Compare the report totals with the file row count</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Quarantined rows are excluded from report figures and counted separately, so the two reconcile.</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TC-09-05</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Quarantined rows exist</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Check notifications</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A "Rows quarantined" alert reaches the roles configured for it.</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TC-09-06</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 file where every row fails</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Upload it</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file is reported as failed or fully quarantined with reasons — not silently recorded as a successful load of zero rows.</w:t>
            </w:r>
          </w:p>
        </w:tc>
      </w:tr>
    </w:tbl>
    <w:p>
      <w:pPr>
        <w:spacing w:after="120" w:before="0"/>
      </w:pPr>
      <w:r>
        <w:rPr>
          <w:rFonts w:ascii="Calibri" w:cs="Calibri" w:eastAsia="Calibri" w:hAnsi="Calibri"/>
          <w:sz w:val="19"/>
          <w:szCs w:val="19"/>
        </w:rPr>
        <w:t xml:space="preserve"/>
      </w:r>
    </w:p>
    <w:p>
      <w:pPr>
        <w:pStyle w:val="Heading2"/>
        <w:spacing w:after="130" w:before="260"/>
      </w:pPr>
      <w:r>
        <w:rPr>
          <w:rFonts w:ascii="Calibri" w:cs="Calibri" w:eastAsia="Calibri" w:hAnsi="Calibri"/>
          <w:b/>
          <w:bCs/>
          <w:color w:val="0E2841"/>
          <w:sz w:val="24"/>
          <w:szCs w:val="24"/>
        </w:rPr>
        <w:t xml:space="preserve">TS-10 — LPM / Reconciliation</w:t>
      </w:r>
    </w:p>
    <w:p>
      <w:pPr>
        <w:spacing w:after="130" w:before="0"/>
      </w:pPr>
      <w:r>
        <w:rPr>
          <w:rFonts w:ascii="Calibri" w:cs="Calibri" w:eastAsia="Calibri" w:hAnsi="Calibri"/>
          <w:sz w:val="19"/>
          <w:szCs w:val="19"/>
        </w:rPr>
        <w:t xml:space="preserve">Balance and variance view over ingested customs data.</w:t>
      </w:r>
    </w:p>
    <w:tbl>
      <w:tblPr>
        <w:tblW w:type="dxa" w:w="14838"/>
        <w:tblBorders>
          <w:top w:val="single" w:color="D6DCE4" w:sz="2"/>
          <w:left w:val="single" w:color="D6DCE4" w:sz="2"/>
          <w:bottom w:val="single" w:color="D6DCE4" w:sz="2"/>
          <w:right w:val="single" w:color="D6DCE4" w:sz="2"/>
          <w:insideH w:val="single" w:color="D6DCE4" w:sz="2"/>
          <w:insideV w:val="single" w:color="D6DCE4" w:sz="2"/>
        </w:tblBorders>
      </w:tblPr>
      <w:tblGrid>
        <w:gridCol w:w="1020"/>
        <w:gridCol w:w="1060"/>
        <w:gridCol w:w="2450"/>
        <w:gridCol w:w="4750"/>
        <w:gridCol w:w="5558"/>
      </w:tblGrid>
      <w:tr>
        <w:trPr>
          <w:tblHeader/>
        </w:trPr>
        <w:tc>
          <w:tcPr>
            <w:tcW w:type="dxa" w:w="102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Test ID</w:t>
            </w:r>
          </w:p>
        </w:tc>
        <w:tc>
          <w:tcPr>
            <w:tcW w:type="dxa" w:w="106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Type</w:t>
            </w:r>
          </w:p>
        </w:tc>
        <w:tc>
          <w:tcPr>
            <w:tcW w:type="dxa" w:w="24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Pre-condition</w:t>
            </w:r>
          </w:p>
        </w:tc>
        <w:tc>
          <w:tcPr>
            <w:tcW w:type="dxa" w:w="47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Steps</w:t>
            </w:r>
          </w:p>
        </w:tc>
        <w:tc>
          <w:tcPr>
            <w:tcW w:type="dxa" w:w="5558"/>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Expected result</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TC-10-01</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Data ingested</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Open LPM / Reconciliation</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Saldo shows opening, quantity in, quantity out, adjustment and closing per item.</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TC-10-02</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Saldo displayed</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Verify closing arithmetic on a sample item</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Closing equals opening + in − out + adjustment.</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TC-10-03</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Variance data present</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Open the variances view</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Rows show BC quantity, delivery quantity, complete quantity, variance percentage and the tolerance.</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TC-10-04</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Variance beyond tolerance exists</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Review the list</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out-of-tolerance rows are clearly distinguished from those within tolerance.</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TC-10-05</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Site BC User</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Open the page</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Only that user’s entity is included.</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TC-10-06</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Transaction data cleared</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Open the page</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Empty state renders cleanly; no divide-by-zero and no error.</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TC-10-07</w:t>
            </w:r>
          </w:p>
        </w:tc>
        <w:tc>
          <w:tcPr>
            <w:tcW w:type="dxa" w:w="106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Role without LPM view</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Call the LPM endpoints directly</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HTTP 403 AUTH-003.</w:t>
            </w:r>
          </w:p>
        </w:tc>
      </w:tr>
    </w:tbl>
    <w:p>
      <w:pPr>
        <w:spacing w:after="120" w:before="0"/>
      </w:pPr>
      <w:r>
        <w:rPr>
          <w:rFonts w:ascii="Calibri" w:cs="Calibri" w:eastAsia="Calibri" w:hAnsi="Calibri"/>
          <w:sz w:val="19"/>
          <w:szCs w:val="19"/>
        </w:rPr>
        <w:t xml:space="preserve"/>
      </w:r>
    </w:p>
    <w:p>
      <w:pPr>
        <w:pStyle w:val="Heading2"/>
        <w:spacing w:after="130" w:before="260"/>
      </w:pPr>
      <w:r>
        <w:rPr>
          <w:rFonts w:ascii="Calibri" w:cs="Calibri" w:eastAsia="Calibri" w:hAnsi="Calibri"/>
          <w:b/>
          <w:bCs/>
          <w:color w:val="0E2841"/>
          <w:sz w:val="24"/>
          <w:szCs w:val="24"/>
        </w:rPr>
        <w:t xml:space="preserve">TS-11 — Administration — User management</w:t>
      </w:r>
    </w:p>
    <w:p>
      <w:pPr>
        <w:spacing w:after="130" w:before="0"/>
      </w:pPr>
      <w:r>
        <w:rPr>
          <w:rFonts w:ascii="Calibri" w:cs="Calibri" w:eastAsia="Calibri" w:hAnsi="Calibri"/>
          <w:sz w:val="19"/>
          <w:szCs w:val="19"/>
        </w:rPr>
        <w:t xml:space="preserve">Users are never hard-deleted; they are disabled. Privilege escalation guards must hold at the API, not only in the UI.</w:t>
      </w:r>
    </w:p>
    <w:tbl>
      <w:tblPr>
        <w:tblW w:type="dxa" w:w="14838"/>
        <w:tblBorders>
          <w:top w:val="single" w:color="D6DCE4" w:sz="2"/>
          <w:left w:val="single" w:color="D6DCE4" w:sz="2"/>
          <w:bottom w:val="single" w:color="D6DCE4" w:sz="2"/>
          <w:right w:val="single" w:color="D6DCE4" w:sz="2"/>
          <w:insideH w:val="single" w:color="D6DCE4" w:sz="2"/>
          <w:insideV w:val="single" w:color="D6DCE4" w:sz="2"/>
        </w:tblBorders>
      </w:tblPr>
      <w:tblGrid>
        <w:gridCol w:w="1020"/>
        <w:gridCol w:w="1060"/>
        <w:gridCol w:w="2450"/>
        <w:gridCol w:w="4750"/>
        <w:gridCol w:w="5558"/>
      </w:tblGrid>
      <w:tr>
        <w:trPr>
          <w:tblHeader/>
        </w:trPr>
        <w:tc>
          <w:tcPr>
            <w:tcW w:type="dxa" w:w="102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Test ID</w:t>
            </w:r>
          </w:p>
        </w:tc>
        <w:tc>
          <w:tcPr>
            <w:tcW w:type="dxa" w:w="106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Type</w:t>
            </w:r>
          </w:p>
        </w:tc>
        <w:tc>
          <w:tcPr>
            <w:tcW w:type="dxa" w:w="24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Pre-condition</w:t>
            </w:r>
          </w:p>
        </w:tc>
        <w:tc>
          <w:tcPr>
            <w:tcW w:type="dxa" w:w="47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Steps</w:t>
            </w:r>
          </w:p>
        </w:tc>
        <w:tc>
          <w:tcPr>
            <w:tcW w:type="dxa" w:w="5558"/>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Expected result</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TC-11-01</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Admin rights</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Create a user with a role, entity scope and password</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The user is created, appears in the list and can log in with that password.</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TC-11-02</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 user exists</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Disable the user</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Status becomes disabled and that user can no longer log in.</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TC-11-03</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A disabled user</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Re-enable it</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Login works again.</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TC-11-04</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 user exists</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Reset the password</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new password works and the old one does not. An audit entry records the reset.</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TC-11-05</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Any user change</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Check notifications and the audit log</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A Security alert reaches the configured recipients and an audit row is written.</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TC-11-06</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An e-mail already in use</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Create a user with that e-mail</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HTTP 409, code MD-001, "A user with this email already exists."</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TC-11-07</w:t>
            </w:r>
          </w:p>
        </w:tc>
        <w:tc>
          <w:tcPr>
            <w:tcW w:type="dxa" w:w="106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Create-user form</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Enter an address with no @</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HTTP 400 VAL-001, "Valid email required."</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TC-11-08</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Create-user form</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Enter a password of fewer than 8 characters</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HTTP 400 VAL-001, "Password must be at least 8 characters."</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TC-11-09</w:t>
            </w:r>
          </w:p>
        </w:tc>
        <w:tc>
          <w:tcPr>
            <w:tcW w:type="dxa" w:w="106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Signed in as Admin, not Super Admin</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Create a user with role Super Admin</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HTTP 403, "Only a Super Admin can create Super Admins."</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TC-11-10</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Signed in as Admin, not Super Admin</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Create a user with all-entities scope</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HTTP 403, "Only a Super Admin can grant all-entities scope."</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TC-11-11</w:t>
            </w:r>
          </w:p>
        </w:tc>
        <w:tc>
          <w:tcPr>
            <w:tcW w:type="dxa" w:w="106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Create-user form</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Leave entity blank without ticking all-entities</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HTTP 400 VAL-001, "entityId required unless allEntities."</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TC-11-12</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Signed in as any admin</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Disable your own account</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Refused: "You cannot disable your own account." The account stays active.</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TC-11-13</w:t>
            </w:r>
          </w:p>
        </w:tc>
        <w:tc>
          <w:tcPr>
            <w:tcW w:type="dxa" w:w="106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Authenticated</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Create a user with a role outside the six defined roles</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HTTP 400 VAL-001, "Unknown role."</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TC-11-14</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Authenticated</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Set a status other than active or disabled</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HTTP 400 VAL-001, "status must be active|disabled."</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TC-11-15</w:t>
            </w:r>
          </w:p>
        </w:tc>
        <w:tc>
          <w:tcPr>
            <w:tcW w:type="dxa" w:w="106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Authenticated</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Act on a user id that does not exist</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HTTP 404, "User not found."</w:t>
            </w:r>
          </w:p>
        </w:tc>
      </w:tr>
    </w:tbl>
    <w:p>
      <w:pPr>
        <w:spacing w:after="120" w:before="0"/>
      </w:pPr>
      <w:r>
        <w:rPr>
          <w:rFonts w:ascii="Calibri" w:cs="Calibri" w:eastAsia="Calibri" w:hAnsi="Calibri"/>
          <w:sz w:val="19"/>
          <w:szCs w:val="19"/>
        </w:rPr>
        <w:t xml:space="preserve"/>
      </w:r>
    </w:p>
    <w:p>
      <w:pPr>
        <w:pStyle w:val="Heading2"/>
        <w:spacing w:after="130" w:before="260"/>
      </w:pPr>
      <w:r>
        <w:rPr>
          <w:rFonts w:ascii="Calibri" w:cs="Calibri" w:eastAsia="Calibri" w:hAnsi="Calibri"/>
          <w:b/>
          <w:bCs/>
          <w:color w:val="0E2841"/>
          <w:sz w:val="24"/>
          <w:szCs w:val="24"/>
        </w:rPr>
        <w:t xml:space="preserve">TS-12 — Administration — Role management</w:t>
      </w:r>
    </w:p>
    <w:p>
      <w:pPr>
        <w:spacing w:after="130" w:before="0"/>
      </w:pPr>
      <w:r>
        <w:rPr>
          <w:rFonts w:ascii="Calibri" w:cs="Calibri" w:eastAsia="Calibri" w:hAnsi="Calibri"/>
          <w:sz w:val="19"/>
          <w:szCs w:val="19"/>
        </w:rPr>
        <w:t xml:space="preserve">The matrix has two invariants: Super Admin always has everything and cannot be edited, and only a Super Admin may change the matrix. Both exist to prevent lock-out and privilege escalation and must be verified at the API.</w:t>
      </w:r>
    </w:p>
    <w:tbl>
      <w:tblPr>
        <w:tblW w:type="dxa" w:w="14838"/>
        <w:tblBorders>
          <w:top w:val="single" w:color="D6DCE4" w:sz="2"/>
          <w:left w:val="single" w:color="D6DCE4" w:sz="2"/>
          <w:bottom w:val="single" w:color="D6DCE4" w:sz="2"/>
          <w:right w:val="single" w:color="D6DCE4" w:sz="2"/>
          <w:insideH w:val="single" w:color="D6DCE4" w:sz="2"/>
          <w:insideV w:val="single" w:color="D6DCE4" w:sz="2"/>
        </w:tblBorders>
      </w:tblPr>
      <w:tblGrid>
        <w:gridCol w:w="1020"/>
        <w:gridCol w:w="1060"/>
        <w:gridCol w:w="2450"/>
        <w:gridCol w:w="4750"/>
        <w:gridCol w:w="5558"/>
      </w:tblGrid>
      <w:tr>
        <w:trPr>
          <w:tblHeader/>
        </w:trPr>
        <w:tc>
          <w:tcPr>
            <w:tcW w:type="dxa" w:w="102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Test ID</w:t>
            </w:r>
          </w:p>
        </w:tc>
        <w:tc>
          <w:tcPr>
            <w:tcW w:type="dxa" w:w="106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Type</w:t>
            </w:r>
          </w:p>
        </w:tc>
        <w:tc>
          <w:tcPr>
            <w:tcW w:type="dxa" w:w="24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Pre-condition</w:t>
            </w:r>
          </w:p>
        </w:tc>
        <w:tc>
          <w:tcPr>
            <w:tcW w:type="dxa" w:w="47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Steps</w:t>
            </w:r>
          </w:p>
        </w:tc>
        <w:tc>
          <w:tcPr>
            <w:tcW w:type="dxa" w:w="5558"/>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Expected result</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TC-12-01</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Signed in as Super Admin</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Open Role Management</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A matrix of the six roles against the seven pages is shown, with view / insert / edit per page.</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TC-12-02</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Matrix open</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Inspect the Super Admin row</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It is marked as always full access and its checkboxes cannot be changed.</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TC-12-03</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Matrix open</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Grant a role view on a page it lacked, and save</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Saved confirmation. A user of that role can now open the page.</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TC-12-04</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Matrix open</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Tick Insert or Edit on a page where View is unticked, and save</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View is granted automatically — a page that cannot be opened cannot be acted on.</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TC-12-05</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Matrix open</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Note the actions offered per page</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Actions a page does not support are shown as not applicable and cannot be granted.</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TC-12-06</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 permission was changed</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Check the audit log and notifications</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 "Role permissions changed" event is recorded and alerted.</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TC-12-07</w:t>
            </w:r>
          </w:p>
        </w:tc>
        <w:tc>
          <w:tcPr>
            <w:tcW w:type="dxa" w:w="106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Signed in as Admin, not Super Admin</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Attempt to save a change</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HTTP 403 with the privilege-escalation explanation. Nothing is saved.</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TC-12-08</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Authenticated as Super Admin</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Attempt to restrict the Super Admin role via the API</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HTTP 400, "Super Admin always has full access and cannot be restricted."</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TC-12-09</w:t>
            </w:r>
          </w:p>
        </w:tc>
        <w:tc>
          <w:tcPr>
            <w:tcW w:type="dxa" w:w="106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Authenticated</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Save a matrix naming an unknown role or an unknown page</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HTTP 400 VAL-001 identifying the unknown value. No partial save occurs.</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TC-12-10</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 page was just revoked for a role</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As that role, call the page’s API endpoint directly</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HTTP 403 — the revocation is enforced by the server, not only by hiding the menu.</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TC-12-11</w:t>
            </w:r>
          </w:p>
        </w:tc>
        <w:tc>
          <w:tcPr>
            <w:tcW w:type="dxa" w:w="106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Two admins editing at once</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Save the matrix from one session after the other saved</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The second save does not silently wipe permissions it did not know about; the stored matrix stays coherent.</w:t>
            </w:r>
          </w:p>
        </w:tc>
      </w:tr>
    </w:tbl>
    <w:p>
      <w:pPr>
        <w:spacing w:after="120" w:before="0"/>
      </w:pPr>
      <w:r>
        <w:rPr>
          <w:rFonts w:ascii="Calibri" w:cs="Calibri" w:eastAsia="Calibri" w:hAnsi="Calibri"/>
          <w:sz w:val="19"/>
          <w:szCs w:val="19"/>
        </w:rPr>
        <w:t xml:space="preserve"/>
      </w:r>
    </w:p>
    <w:p>
      <w:pPr>
        <w:pStyle w:val="Heading2"/>
        <w:spacing w:after="130" w:before="260"/>
      </w:pPr>
      <w:r>
        <w:rPr>
          <w:rFonts w:ascii="Calibri" w:cs="Calibri" w:eastAsia="Calibri" w:hAnsi="Calibri"/>
          <w:b/>
          <w:bCs/>
          <w:color w:val="0E2841"/>
          <w:sz w:val="24"/>
          <w:szCs w:val="24"/>
        </w:rPr>
        <w:t xml:space="preserve">TS-13 — Administration — Notification routing</w:t>
      </w:r>
    </w:p>
    <w:p>
      <w:pPr>
        <w:spacing w:after="130" w:before="0"/>
      </w:pPr>
      <w:r>
        <w:rPr>
          <w:rFonts w:ascii="Calibri" w:cs="Calibri" w:eastAsia="Calibri" w:hAnsi="Calibri"/>
          <w:sz w:val="19"/>
          <w:szCs w:val="19"/>
        </w:rPr>
        <w:t xml:space="preserve">Per-user, per-event routing across two channels. A user with no explicit setting falls back to the event’s default roles, so nobody is silently unsubscribed. Events are File ingested, Rows quarantined, Ingestion failed and Security &amp; administration.</w:t>
      </w:r>
    </w:p>
    <w:tbl>
      <w:tblPr>
        <w:tblW w:type="dxa" w:w="14838"/>
        <w:tblBorders>
          <w:top w:val="single" w:color="D6DCE4" w:sz="2"/>
          <w:left w:val="single" w:color="D6DCE4" w:sz="2"/>
          <w:bottom w:val="single" w:color="D6DCE4" w:sz="2"/>
          <w:right w:val="single" w:color="D6DCE4" w:sz="2"/>
          <w:insideH w:val="single" w:color="D6DCE4" w:sz="2"/>
          <w:insideV w:val="single" w:color="D6DCE4" w:sz="2"/>
        </w:tblBorders>
      </w:tblPr>
      <w:tblGrid>
        <w:gridCol w:w="1020"/>
        <w:gridCol w:w="1060"/>
        <w:gridCol w:w="2450"/>
        <w:gridCol w:w="4750"/>
        <w:gridCol w:w="5558"/>
      </w:tblGrid>
      <w:tr>
        <w:trPr>
          <w:tblHeader/>
        </w:trPr>
        <w:tc>
          <w:tcPr>
            <w:tcW w:type="dxa" w:w="102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Test ID</w:t>
            </w:r>
          </w:p>
        </w:tc>
        <w:tc>
          <w:tcPr>
            <w:tcW w:type="dxa" w:w="106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Type</w:t>
            </w:r>
          </w:p>
        </w:tc>
        <w:tc>
          <w:tcPr>
            <w:tcW w:type="dxa" w:w="24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Pre-condition</w:t>
            </w:r>
          </w:p>
        </w:tc>
        <w:tc>
          <w:tcPr>
            <w:tcW w:type="dxa" w:w="47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Steps</w:t>
            </w:r>
          </w:p>
        </w:tc>
        <w:tc>
          <w:tcPr>
            <w:tcW w:type="dxa" w:w="5558"/>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Expected result</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TC-13-01</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Admin rights</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Open Administration → Notifications</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A matrix of every user against the four events, each with In-app and Email checkboxes.</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TC-13-02</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 user with no explicit setting</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Inspect the row</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Boxes reflect the event’s default roles and are marked as default.</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TC-13-03</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Matrix open</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Change one user’s setting and save</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Only the changed settings are saved; the default marker disappears for those. An audit entry is written.</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TC-13-04</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 user set to In-app only</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Trigger that event</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 bell notification appears for the user and no e-mail is sent.</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TC-13-05</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A user set to Email only</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Trigger that event</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The e-mail is delivered and the item does NOT appear in that user’s bell.</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TC-13-06</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 user set to both</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Trigger that event</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Both channels receive it and the delivery status is recorded as sent.</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TC-13-07</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A user with both unticked</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Trigger that event</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That user receives nothing on either channel; other recipients are unaffected.</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TC-13-08</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SMTP not configured</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Open the tab</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 banner explains e-mail sending is off, settings are still recorded and in-app notifications still work.</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TC-13-09</w:t>
            </w:r>
          </w:p>
        </w:tc>
        <w:tc>
          <w:tcPr>
            <w:tcW w:type="dxa" w:w="106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A disabled user with everything ticked</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Trigger any event</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The disabled user receives nothing on either channel.</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TC-13-10</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Authenticated</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Save a routing row naming an event that does not exist</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HTTP 400 VAL-001, "Unknown notification event".</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TC-13-11</w:t>
            </w:r>
          </w:p>
        </w:tc>
        <w:tc>
          <w:tcPr>
            <w:tcW w:type="dxa" w:w="106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Authenticated</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Save a routing row for a user id that does not exist</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HTTP 400 VAL-001, "Unknown user".</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TC-13-12</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Role with Administration view but not edit</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Open the tab and attempt a change</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matrix is readable but read-only; an API save returns 403.</w:t>
            </w:r>
          </w:p>
        </w:tc>
      </w:tr>
    </w:tbl>
    <w:p>
      <w:pPr>
        <w:spacing w:after="120" w:before="0"/>
      </w:pPr>
      <w:r>
        <w:rPr>
          <w:rFonts w:ascii="Calibri" w:cs="Calibri" w:eastAsia="Calibri" w:hAnsi="Calibri"/>
          <w:sz w:val="19"/>
          <w:szCs w:val="19"/>
        </w:rPr>
        <w:t xml:space="preserve"/>
      </w:r>
    </w:p>
    <w:p>
      <w:pPr>
        <w:pStyle w:val="Heading2"/>
        <w:spacing w:after="130" w:before="260"/>
      </w:pPr>
      <w:r>
        <w:rPr>
          <w:rFonts w:ascii="Calibri" w:cs="Calibri" w:eastAsia="Calibri" w:hAnsi="Calibri"/>
          <w:b/>
          <w:bCs/>
          <w:color w:val="0E2841"/>
          <w:sz w:val="24"/>
          <w:szCs w:val="24"/>
        </w:rPr>
        <w:t xml:space="preserve">TS-14 — Administration — Master data</w:t>
      </w:r>
    </w:p>
    <w:p>
      <w:pPr>
        <w:spacing w:after="130" w:before="0"/>
      </w:pPr>
      <w:r>
        <w:rPr>
          <w:rFonts w:ascii="Calibri" w:cs="Calibri" w:eastAsia="Calibri" w:hAnsi="Calibri"/>
          <w:sz w:val="19"/>
          <w:szCs w:val="19"/>
        </w:rPr>
        <w:t xml:space="preserve">Entities, sites and TPB permits. Duplicate and test-data guards are business rules from the PRD and must be enforced server-side.</w:t>
      </w:r>
    </w:p>
    <w:tbl>
      <w:tblPr>
        <w:tblW w:type="dxa" w:w="14838"/>
        <w:tblBorders>
          <w:top w:val="single" w:color="D6DCE4" w:sz="2"/>
          <w:left w:val="single" w:color="D6DCE4" w:sz="2"/>
          <w:bottom w:val="single" w:color="D6DCE4" w:sz="2"/>
          <w:right w:val="single" w:color="D6DCE4" w:sz="2"/>
          <w:insideH w:val="single" w:color="D6DCE4" w:sz="2"/>
          <w:insideV w:val="single" w:color="D6DCE4" w:sz="2"/>
        </w:tblBorders>
      </w:tblPr>
      <w:tblGrid>
        <w:gridCol w:w="1020"/>
        <w:gridCol w:w="1060"/>
        <w:gridCol w:w="2450"/>
        <w:gridCol w:w="4750"/>
        <w:gridCol w:w="5558"/>
      </w:tblGrid>
      <w:tr>
        <w:trPr>
          <w:tblHeader/>
        </w:trPr>
        <w:tc>
          <w:tcPr>
            <w:tcW w:type="dxa" w:w="102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Test ID</w:t>
            </w:r>
          </w:p>
        </w:tc>
        <w:tc>
          <w:tcPr>
            <w:tcW w:type="dxa" w:w="106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Type</w:t>
            </w:r>
          </w:p>
        </w:tc>
        <w:tc>
          <w:tcPr>
            <w:tcW w:type="dxa" w:w="24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Pre-condition</w:t>
            </w:r>
          </w:p>
        </w:tc>
        <w:tc>
          <w:tcPr>
            <w:tcW w:type="dxa" w:w="47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Steps</w:t>
            </w:r>
          </w:p>
        </w:tc>
        <w:tc>
          <w:tcPr>
            <w:tcW w:type="dxa" w:w="5558"/>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Expected result</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TC-14-01</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Admin rights</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Add an entity with a code and name</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Created and immediately available in entity pickers across the app.</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TC-14-02</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An entity exists</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Add a site under it</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Created and selectable when scoping a user.</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TC-14-03</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An entity exists</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Add a TPB permit number</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Created and visible on the master data tab.</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TC-14-04</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An entity code or name already exists</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Add it again</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HTTP 409 MD-001, "Duplicate entity code or name."</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TC-14-05</w:t>
            </w:r>
          </w:p>
        </w:tc>
        <w:tc>
          <w:tcPr>
            <w:tcW w:type="dxa" w:w="106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A site name already exists for that entity</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Add it again</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HTTP 409 MD-001, "Duplicate site for this entity."</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TC-14-06</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 permit number already exists</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Add it again</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HTTP 409 MD-001, "Duplicate permit number."</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TC-14-07</w:t>
            </w:r>
          </w:p>
        </w:tc>
        <w:tc>
          <w:tcPr>
            <w:tcW w:type="dxa" w:w="106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Add-entity form</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Use a name or code containing TEST or TESTING</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Refused: test entries are blocked in production master data.</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TC-14-08</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Add forms</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Submit with the code, name or permit number blank</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HTTP 400 VAL-001 naming the missing field.</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TC-14-09</w:t>
            </w:r>
          </w:p>
        </w:tc>
        <w:tc>
          <w:tcPr>
            <w:tcW w:type="dxa" w:w="106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Role without Administration insert</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Attempt to add master data via the API</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HTTP 403 AUTH-003.</w:t>
            </w:r>
          </w:p>
        </w:tc>
      </w:tr>
    </w:tbl>
    <w:p>
      <w:pPr>
        <w:spacing w:after="120" w:before="0"/>
      </w:pPr>
      <w:r>
        <w:rPr>
          <w:rFonts w:ascii="Calibri" w:cs="Calibri" w:eastAsia="Calibri" w:hAnsi="Calibri"/>
          <w:sz w:val="19"/>
          <w:szCs w:val="19"/>
        </w:rPr>
        <w:t xml:space="preserve"/>
      </w:r>
    </w:p>
    <w:p>
      <w:pPr>
        <w:pStyle w:val="Heading2"/>
        <w:spacing w:after="130" w:before="260"/>
      </w:pPr>
      <w:r>
        <w:rPr>
          <w:rFonts w:ascii="Calibri" w:cs="Calibri" w:eastAsia="Calibri" w:hAnsi="Calibri"/>
          <w:b/>
          <w:bCs/>
          <w:color w:val="0E2841"/>
          <w:sz w:val="24"/>
          <w:szCs w:val="24"/>
        </w:rPr>
        <w:t xml:space="preserve">TS-15 — Audit log</w:t>
      </w:r>
    </w:p>
    <w:p>
      <w:pPr>
        <w:spacing w:after="130" w:before="0"/>
      </w:pPr>
      <w:r>
        <w:rPr>
          <w:rFonts w:ascii="Calibri" w:cs="Calibri" w:eastAsia="Calibri" w:hAnsi="Calibri"/>
          <w:sz w:val="19"/>
          <w:szCs w:val="19"/>
        </w:rPr>
        <w:t xml:space="preserve">The trail is append-only, enforced by a database trigger. Testers must confirm both that events are captured and that the trail cannot be altered.</w:t>
      </w:r>
    </w:p>
    <w:tbl>
      <w:tblPr>
        <w:tblW w:type="dxa" w:w="14838"/>
        <w:tblBorders>
          <w:top w:val="single" w:color="D6DCE4" w:sz="2"/>
          <w:left w:val="single" w:color="D6DCE4" w:sz="2"/>
          <w:bottom w:val="single" w:color="D6DCE4" w:sz="2"/>
          <w:right w:val="single" w:color="D6DCE4" w:sz="2"/>
          <w:insideH w:val="single" w:color="D6DCE4" w:sz="2"/>
          <w:insideV w:val="single" w:color="D6DCE4" w:sz="2"/>
        </w:tblBorders>
      </w:tblPr>
      <w:tblGrid>
        <w:gridCol w:w="1020"/>
        <w:gridCol w:w="1060"/>
        <w:gridCol w:w="2450"/>
        <w:gridCol w:w="4750"/>
        <w:gridCol w:w="5558"/>
      </w:tblGrid>
      <w:tr>
        <w:trPr>
          <w:tblHeader/>
        </w:trPr>
        <w:tc>
          <w:tcPr>
            <w:tcW w:type="dxa" w:w="102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Test ID</w:t>
            </w:r>
          </w:p>
        </w:tc>
        <w:tc>
          <w:tcPr>
            <w:tcW w:type="dxa" w:w="106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Type</w:t>
            </w:r>
          </w:p>
        </w:tc>
        <w:tc>
          <w:tcPr>
            <w:tcW w:type="dxa" w:w="24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Pre-condition</w:t>
            </w:r>
          </w:p>
        </w:tc>
        <w:tc>
          <w:tcPr>
            <w:tcW w:type="dxa" w:w="47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Steps</w:t>
            </w:r>
          </w:p>
        </w:tc>
        <w:tc>
          <w:tcPr>
            <w:tcW w:type="dxa" w:w="5558"/>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Expected result</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TC-15-01</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Various actions performed</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Open the Audit Log</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Entries exist for logins, uploads, exports, user changes, permission changes and notification-routing changes.</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TC-15-02</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Log open</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Filter by date range, actor, action and free-text search</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Each filter narrows the list correctly and can be combined.</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TC-15-03</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Log open</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Export the audit log</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A file downloads containing the filtered entries.</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TC-15-04</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Any entry</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Inspect its detail</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Actor e-mail, role, action, target, summary, timestamp and source IP are all present.</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TC-15-05</w:t>
            </w:r>
          </w:p>
        </w:tc>
        <w:tc>
          <w:tcPr>
            <w:tcW w:type="dxa" w:w="106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Database access</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Attempt UPDATE on audit.audit_events</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Rejected with "audit.audit_events is append-only (FR-A7)".</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TC-15-06</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Database access</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Attempt DELETE on audit.audit_events</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Rejected with the same append-only error.</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TC-15-07</w:t>
            </w:r>
          </w:p>
        </w:tc>
        <w:tc>
          <w:tcPr>
            <w:tcW w:type="dxa" w:w="106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Role without Audit view</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Open the page and call the API</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Blocked in both places with 403 AUTH-003.</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TC-15-08</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 failed login attempt</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Search the log for it</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attempt is recorded with a reason, and the reason is visible only here — not on the login screen.</w:t>
            </w:r>
          </w:p>
        </w:tc>
      </w:tr>
    </w:tbl>
    <w:p>
      <w:pPr>
        <w:spacing w:after="120" w:before="0"/>
      </w:pPr>
      <w:r>
        <w:rPr>
          <w:rFonts w:ascii="Calibri" w:cs="Calibri" w:eastAsia="Calibri" w:hAnsi="Calibri"/>
          <w:sz w:val="19"/>
          <w:szCs w:val="19"/>
        </w:rPr>
        <w:t xml:space="preserve"/>
      </w:r>
    </w:p>
    <w:p>
      <w:pPr>
        <w:pStyle w:val="Heading2"/>
        <w:spacing w:after="130" w:before="260"/>
      </w:pPr>
      <w:r>
        <w:rPr>
          <w:rFonts w:ascii="Calibri" w:cs="Calibri" w:eastAsia="Calibri" w:hAnsi="Calibri"/>
          <w:b/>
          <w:bCs/>
          <w:color w:val="0E2841"/>
          <w:sz w:val="24"/>
          <w:szCs w:val="24"/>
        </w:rPr>
        <w:t xml:space="preserve">TS-16 — Notifications — in-app and e-mail</w:t>
      </w:r>
    </w:p>
    <w:p>
      <w:pPr>
        <w:spacing w:after="130" w:before="0"/>
      </w:pPr>
      <w:r>
        <w:rPr>
          <w:rFonts w:ascii="Calibri" w:cs="Calibri" w:eastAsia="Calibri" w:hAnsi="Calibri"/>
          <w:sz w:val="19"/>
          <w:szCs w:val="19"/>
        </w:rPr>
        <w:t xml:space="preserve">Delivery status is recorded per recipient whether or not e-mail is switched on.</w:t>
      </w:r>
    </w:p>
    <w:tbl>
      <w:tblPr>
        <w:tblW w:type="dxa" w:w="14838"/>
        <w:tblBorders>
          <w:top w:val="single" w:color="D6DCE4" w:sz="2"/>
          <w:left w:val="single" w:color="D6DCE4" w:sz="2"/>
          <w:bottom w:val="single" w:color="D6DCE4" w:sz="2"/>
          <w:right w:val="single" w:color="D6DCE4" w:sz="2"/>
          <w:insideH w:val="single" w:color="D6DCE4" w:sz="2"/>
          <w:insideV w:val="single" w:color="D6DCE4" w:sz="2"/>
        </w:tblBorders>
      </w:tblPr>
      <w:tblGrid>
        <w:gridCol w:w="1020"/>
        <w:gridCol w:w="1060"/>
        <w:gridCol w:w="2450"/>
        <w:gridCol w:w="4750"/>
        <w:gridCol w:w="5558"/>
      </w:tblGrid>
      <w:tr>
        <w:trPr>
          <w:tblHeader/>
        </w:trPr>
        <w:tc>
          <w:tcPr>
            <w:tcW w:type="dxa" w:w="102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Test ID</w:t>
            </w:r>
          </w:p>
        </w:tc>
        <w:tc>
          <w:tcPr>
            <w:tcW w:type="dxa" w:w="106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Type</w:t>
            </w:r>
          </w:p>
        </w:tc>
        <w:tc>
          <w:tcPr>
            <w:tcW w:type="dxa" w:w="24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Pre-condition</w:t>
            </w:r>
          </w:p>
        </w:tc>
        <w:tc>
          <w:tcPr>
            <w:tcW w:type="dxa" w:w="47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Steps</w:t>
            </w:r>
          </w:p>
        </w:tc>
        <w:tc>
          <w:tcPr>
            <w:tcW w:type="dxa" w:w="5558"/>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Expected result</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TC-16-01</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An event raised</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Look at the bell</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The unread count increases and the item is listed with its title and body.</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TC-16-02</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Unread items exist</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Open one, then use Mark all read</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count falls to zero and the items show as read after a refresh.</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TC-16-03</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SMTP configured</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Trigger an event with e-mail recipients</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E-mail arrives at each recipient’s own account address; delivery status records sent.</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TC-16-04</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SMTP host unreachable or rejecting</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Trigger an event</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Delivery status records failed with the error, the notification still appears in-app, and the user action that raised it still succeeds.</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TC-16-05</w:t>
            </w:r>
          </w:p>
        </w:tc>
        <w:tc>
          <w:tcPr>
            <w:tcW w:type="dxa" w:w="106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SMTP switched on after events already exist</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Check mailboxes</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Only events raised after switching on are e-mailed — the backlog is not flushed. This is expected behaviour, not a defect.</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TC-16-06</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 recipient address that does not exist</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Trigger an event</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application does not hang or error; the failure is recorded against that delivery only.</w:t>
            </w:r>
          </w:p>
        </w:tc>
      </w:tr>
    </w:tbl>
    <w:p>
      <w:pPr>
        <w:spacing w:after="120" w:before="0"/>
      </w:pPr>
      <w:r>
        <w:rPr>
          <w:rFonts w:ascii="Calibri" w:cs="Calibri" w:eastAsia="Calibri" w:hAnsi="Calibri"/>
          <w:sz w:val="19"/>
          <w:szCs w:val="19"/>
        </w:rPr>
        <w:t xml:space="preserve"/>
      </w:r>
    </w:p>
    <w:p>
      <w:pPr>
        <w:pStyle w:val="Heading2"/>
        <w:spacing w:after="130" w:before="260"/>
      </w:pPr>
      <w:r>
        <w:rPr>
          <w:rFonts w:ascii="Calibri" w:cs="Calibri" w:eastAsia="Calibri" w:hAnsi="Calibri"/>
          <w:b/>
          <w:bCs/>
          <w:color w:val="0E2841"/>
          <w:sz w:val="24"/>
          <w:szCs w:val="24"/>
        </w:rPr>
        <w:t xml:space="preserve">TS-17 — Localisation, formatting and labelling</w:t>
      </w:r>
    </w:p>
    <w:p>
      <w:pPr>
        <w:spacing w:after="130" w:before="0"/>
      </w:pPr>
      <w:r>
        <w:rPr>
          <w:rFonts w:ascii="Calibri" w:cs="Calibri" w:eastAsia="Calibri" w:hAnsi="Calibri"/>
          <w:sz w:val="19"/>
          <w:szCs w:val="19"/>
        </w:rPr>
        <w:t xml:space="preserve">All figures use Indonesian conventions and all column headings use the agreed customs terminology while the stored field names stay verbatim from the upload files.</w:t>
      </w:r>
    </w:p>
    <w:tbl>
      <w:tblPr>
        <w:tblW w:type="dxa" w:w="14838"/>
        <w:tblBorders>
          <w:top w:val="single" w:color="D6DCE4" w:sz="2"/>
          <w:left w:val="single" w:color="D6DCE4" w:sz="2"/>
          <w:bottom w:val="single" w:color="D6DCE4" w:sz="2"/>
          <w:right w:val="single" w:color="D6DCE4" w:sz="2"/>
          <w:insideH w:val="single" w:color="D6DCE4" w:sz="2"/>
          <w:insideV w:val="single" w:color="D6DCE4" w:sz="2"/>
        </w:tblBorders>
      </w:tblPr>
      <w:tblGrid>
        <w:gridCol w:w="1020"/>
        <w:gridCol w:w="1060"/>
        <w:gridCol w:w="2450"/>
        <w:gridCol w:w="4750"/>
        <w:gridCol w:w="5558"/>
      </w:tblGrid>
      <w:tr>
        <w:trPr>
          <w:tblHeader/>
        </w:trPr>
        <w:tc>
          <w:tcPr>
            <w:tcW w:type="dxa" w:w="102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Test ID</w:t>
            </w:r>
          </w:p>
        </w:tc>
        <w:tc>
          <w:tcPr>
            <w:tcW w:type="dxa" w:w="106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Type</w:t>
            </w:r>
          </w:p>
        </w:tc>
        <w:tc>
          <w:tcPr>
            <w:tcW w:type="dxa" w:w="24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Pre-condition</w:t>
            </w:r>
          </w:p>
        </w:tc>
        <w:tc>
          <w:tcPr>
            <w:tcW w:type="dxa" w:w="47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Steps</w:t>
            </w:r>
          </w:p>
        </w:tc>
        <w:tc>
          <w:tcPr>
            <w:tcW w:type="dxa" w:w="5558"/>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Expected result</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TC-17-01</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Any grid with numbers</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Read values above 1.000 and with decimals</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Thousands separator "." and decimal ",", e.g. 8.201,657.</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TC-17-02</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Any grid with dates</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Read date columns</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Dates render in Indonesian format consistently across every page.</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TC-17-03</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Exports produced</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Open the exported file</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The same number and date conventions are used as on screen.</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TC-17-04</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BC 2.3 and BC 4.0 reports</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Compare column headings against the agreed rename list</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Headings match the agreed display names.</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TC-17-05</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Any report column</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Hover the header</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The tooltip shows the original upload field name, so lineage to the source file is preserved.</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TC-17-06</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Sidebar</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Inspect the brand area</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It reads PT SPC, with no leftover logo, and does not overflow its container.</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TC-17-07</w:t>
            </w:r>
          </w:p>
        </w:tc>
        <w:tc>
          <w:tcPr>
            <w:tcW w:type="dxa" w:w="106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Any page</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Look for English-format numbers such as 8,201.657</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None are present anywhere, including tooltips, exports and notification text.</w:t>
            </w:r>
          </w:p>
        </w:tc>
      </w:tr>
    </w:tbl>
    <w:p>
      <w:pPr>
        <w:spacing w:after="120" w:before="0"/>
      </w:pPr>
      <w:r>
        <w:rPr>
          <w:rFonts w:ascii="Calibri" w:cs="Calibri" w:eastAsia="Calibri" w:hAnsi="Calibri"/>
          <w:sz w:val="19"/>
          <w:szCs w:val="19"/>
        </w:rPr>
        <w:t xml:space="preserve"/>
      </w:r>
    </w:p>
    <w:p>
      <w:pPr>
        <w:pStyle w:val="Heading2"/>
        <w:spacing w:after="130" w:before="260"/>
      </w:pPr>
      <w:r>
        <w:rPr>
          <w:rFonts w:ascii="Calibri" w:cs="Calibri" w:eastAsia="Calibri" w:hAnsi="Calibri"/>
          <w:b/>
          <w:bCs/>
          <w:color w:val="0E2841"/>
          <w:sz w:val="24"/>
          <w:szCs w:val="24"/>
        </w:rPr>
        <w:t xml:space="preserve">TS-18 — Performance and concurrency</w:t>
      </w:r>
    </w:p>
    <w:p>
      <w:pPr>
        <w:spacing w:after="130" w:before="0"/>
      </w:pPr>
      <w:r>
        <w:rPr>
          <w:rFonts w:ascii="Calibri" w:cs="Calibri" w:eastAsia="Calibri" w:hAnsi="Calibri"/>
          <w:sz w:val="19"/>
          <w:szCs w:val="19"/>
        </w:rPr>
        <w:t xml:space="preserve">The stated service level is that every action — load, click, filter — returns within 2 seconds. Measure with the browser network panel and record the actual timing, not a pass/fail impression.</w:t>
      </w:r>
    </w:p>
    <w:tbl>
      <w:tblPr>
        <w:tblW w:type="dxa" w:w="14838"/>
        <w:tblBorders>
          <w:top w:val="single" w:color="D6DCE4" w:sz="2"/>
          <w:left w:val="single" w:color="D6DCE4" w:sz="2"/>
          <w:bottom w:val="single" w:color="D6DCE4" w:sz="2"/>
          <w:right w:val="single" w:color="D6DCE4" w:sz="2"/>
          <w:insideH w:val="single" w:color="D6DCE4" w:sz="2"/>
          <w:insideV w:val="single" w:color="D6DCE4" w:sz="2"/>
        </w:tblBorders>
      </w:tblPr>
      <w:tblGrid>
        <w:gridCol w:w="1020"/>
        <w:gridCol w:w="1060"/>
        <w:gridCol w:w="2450"/>
        <w:gridCol w:w="4750"/>
        <w:gridCol w:w="5558"/>
      </w:tblGrid>
      <w:tr>
        <w:trPr>
          <w:tblHeader/>
        </w:trPr>
        <w:tc>
          <w:tcPr>
            <w:tcW w:type="dxa" w:w="102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Test ID</w:t>
            </w:r>
          </w:p>
        </w:tc>
        <w:tc>
          <w:tcPr>
            <w:tcW w:type="dxa" w:w="106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Type</w:t>
            </w:r>
          </w:p>
        </w:tc>
        <w:tc>
          <w:tcPr>
            <w:tcW w:type="dxa" w:w="24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Pre-condition</w:t>
            </w:r>
          </w:p>
        </w:tc>
        <w:tc>
          <w:tcPr>
            <w:tcW w:type="dxa" w:w="47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Steps</w:t>
            </w:r>
          </w:p>
        </w:tc>
        <w:tc>
          <w:tcPr>
            <w:tcW w:type="dxa" w:w="5558"/>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Expected result</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TC-18-01</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Largest ingested report</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Load the report and record the response time</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Under 2 seconds. Record the measured value.</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TC-18-02</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Report open</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Apply a filter, then sort, then page</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Each action returns in under 2 seconds.</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TC-18-03</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Several users</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Have at least three users work concurrently on different reports</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No user experiences degradation beyond the 2-second target and no session interferes with another.</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TC-18-04</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 large export</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Export the largest report</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download completes and the application stays responsive during it.</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TC-18-05</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A large upload</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Upload the largest available file</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Ingestion completes, progress is visible, and the session does not time out.</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TC-18-06</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Immediately after an API restart</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Load a heavy report</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first call may be slower while caches warm. Re-measure once warm before raising a defect.</w:t>
            </w:r>
          </w:p>
        </w:tc>
      </w:tr>
    </w:tbl>
    <w:p>
      <w:pPr>
        <w:spacing w:after="120" w:before="0"/>
      </w:pPr>
      <w:r>
        <w:rPr>
          <w:rFonts w:ascii="Calibri" w:cs="Calibri" w:eastAsia="Calibri" w:hAnsi="Calibri"/>
          <w:sz w:val="19"/>
          <w:szCs w:val="19"/>
        </w:rPr>
        <w:t xml:space="preserve"/>
      </w:r>
    </w:p>
    <w:p>
      <w:pPr>
        <w:pStyle w:val="Heading2"/>
        <w:spacing w:after="130" w:before="260"/>
      </w:pPr>
      <w:r>
        <w:rPr>
          <w:rFonts w:ascii="Calibri" w:cs="Calibri" w:eastAsia="Calibri" w:hAnsi="Calibri"/>
          <w:b/>
          <w:bCs/>
          <w:color w:val="0E2841"/>
          <w:sz w:val="24"/>
          <w:szCs w:val="24"/>
        </w:rPr>
        <w:t xml:space="preserve">TS-19 — Security and API-level checks</w:t>
      </w:r>
    </w:p>
    <w:p>
      <w:pPr>
        <w:spacing w:after="130" w:before="0"/>
      </w:pPr>
      <w:r>
        <w:rPr>
          <w:rFonts w:ascii="Calibri" w:cs="Calibri" w:eastAsia="Calibri" w:hAnsi="Calibri"/>
          <w:sz w:val="19"/>
          <w:szCs w:val="19"/>
        </w:rPr>
        <w:t xml:space="preserve">These are run against the API directly, because a control that exists only in the browser is not a control.</w:t>
      </w:r>
    </w:p>
    <w:tbl>
      <w:tblPr>
        <w:tblW w:type="dxa" w:w="14838"/>
        <w:tblBorders>
          <w:top w:val="single" w:color="D6DCE4" w:sz="2"/>
          <w:left w:val="single" w:color="D6DCE4" w:sz="2"/>
          <w:bottom w:val="single" w:color="D6DCE4" w:sz="2"/>
          <w:right w:val="single" w:color="D6DCE4" w:sz="2"/>
          <w:insideH w:val="single" w:color="D6DCE4" w:sz="2"/>
          <w:insideV w:val="single" w:color="D6DCE4" w:sz="2"/>
        </w:tblBorders>
      </w:tblPr>
      <w:tblGrid>
        <w:gridCol w:w="1020"/>
        <w:gridCol w:w="1060"/>
        <w:gridCol w:w="2450"/>
        <w:gridCol w:w="4750"/>
        <w:gridCol w:w="5558"/>
      </w:tblGrid>
      <w:tr>
        <w:trPr>
          <w:tblHeader/>
        </w:trPr>
        <w:tc>
          <w:tcPr>
            <w:tcW w:type="dxa" w:w="102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Test ID</w:t>
            </w:r>
          </w:p>
        </w:tc>
        <w:tc>
          <w:tcPr>
            <w:tcW w:type="dxa" w:w="106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Type</w:t>
            </w:r>
          </w:p>
        </w:tc>
        <w:tc>
          <w:tcPr>
            <w:tcW w:type="dxa" w:w="24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Pre-condition</w:t>
            </w:r>
          </w:p>
        </w:tc>
        <w:tc>
          <w:tcPr>
            <w:tcW w:type="dxa" w:w="47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Steps</w:t>
            </w:r>
          </w:p>
        </w:tc>
        <w:tc>
          <w:tcPr>
            <w:tcW w:type="dxa" w:w="5558"/>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Expected result</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TC-19-01</w:t>
            </w:r>
          </w:p>
        </w:tc>
        <w:tc>
          <w:tcPr>
            <w:tcW w:type="dxa" w:w="106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No token</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Call each protected endpoint</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HTTP 401 in every case.</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TC-19-02</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 token belonging to a scoped user</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Call every read endpoint asking for another entity</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HTTP 403 SCOPE-001 in every case; no cross-entity rows are ever returned.</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TC-19-03</w:t>
            </w:r>
          </w:p>
        </w:tc>
        <w:tc>
          <w:tcPr>
            <w:tcW w:type="dxa" w:w="106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Authenticated</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Send SQL or template syntax in column names, sort fields and report keys</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Rejected by the whitelist with RPT-001. No SQL error text is returned to the client.</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TC-19-04</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Authenticated</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Send an oversized or malformed JSON body</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Rejected cleanly with a 400-series status, not a stack trace.</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TC-19-05</w:t>
            </w:r>
          </w:p>
        </w:tc>
        <w:tc>
          <w:tcPr>
            <w:tcW w:type="dxa" w:w="106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Any error response</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Inspect the body</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No stack trace, connection string, SQL or internal path is disclosed.</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TC-19-06</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Any page</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Reload after a new release is deployed</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browser picks up the new build rather than serving a cached old one.</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TC-19-07</w:t>
            </w:r>
          </w:p>
        </w:tc>
        <w:tc>
          <w:tcPr>
            <w:tcW w:type="dxa" w:w="106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Two roles, one session</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Log out and log in as a different role in the same browser</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The second session shows only the second role’s permissions; nothing leaks from the first.</w:t>
            </w:r>
          </w:p>
        </w:tc>
      </w:tr>
    </w:tbl>
    <w:p>
      <w:pPr>
        <w:spacing w:after="120" w:before="0"/>
      </w:pPr>
      <w:r>
        <w:rPr>
          <w:rFonts w:ascii="Calibri" w:cs="Calibri" w:eastAsia="Calibri" w:hAnsi="Calibri"/>
          <w:sz w:val="19"/>
          <w:szCs w:val="19"/>
        </w:rPr>
        <w:t xml:space="preserve"/>
      </w:r>
    </w:p>
    <w:p>
      <w:pPr>
        <w:pStyle w:val="Heading2"/>
        <w:spacing w:after="130" w:before="260"/>
      </w:pPr>
      <w:r>
        <w:rPr>
          <w:rFonts w:ascii="Calibri" w:cs="Calibri" w:eastAsia="Calibri" w:hAnsi="Calibri"/>
          <w:b/>
          <w:bCs/>
          <w:color w:val="0E2841"/>
          <w:sz w:val="24"/>
          <w:szCs w:val="24"/>
        </w:rPr>
        <w:t xml:space="preserve">TS-20 — Environment reset and re-test readiness</w:t>
      </w:r>
    </w:p>
    <w:p>
      <w:pPr>
        <w:spacing w:after="130" w:before="0"/>
      </w:pPr>
      <w:r>
        <w:rPr>
          <w:rFonts w:ascii="Calibri" w:cs="Calibri" w:eastAsia="Calibri" w:hAnsi="Calibri"/>
          <w:sz w:val="19"/>
          <w:szCs w:val="19"/>
        </w:rPr>
        <w:t xml:space="preserve">Used between test cycles. Verifies that a reset produces a clean sheet without destroying configuration.</w:t>
      </w:r>
    </w:p>
    <w:tbl>
      <w:tblPr>
        <w:tblW w:type="dxa" w:w="14838"/>
        <w:tblBorders>
          <w:top w:val="single" w:color="D6DCE4" w:sz="2"/>
          <w:left w:val="single" w:color="D6DCE4" w:sz="2"/>
          <w:bottom w:val="single" w:color="D6DCE4" w:sz="2"/>
          <w:right w:val="single" w:color="D6DCE4" w:sz="2"/>
          <w:insideH w:val="single" w:color="D6DCE4" w:sz="2"/>
          <w:insideV w:val="single" w:color="D6DCE4" w:sz="2"/>
        </w:tblBorders>
      </w:tblPr>
      <w:tblGrid>
        <w:gridCol w:w="1020"/>
        <w:gridCol w:w="1060"/>
        <w:gridCol w:w="2450"/>
        <w:gridCol w:w="4750"/>
        <w:gridCol w:w="5558"/>
      </w:tblGrid>
      <w:tr>
        <w:trPr>
          <w:tblHeader/>
        </w:trPr>
        <w:tc>
          <w:tcPr>
            <w:tcW w:type="dxa" w:w="102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Test ID</w:t>
            </w:r>
          </w:p>
        </w:tc>
        <w:tc>
          <w:tcPr>
            <w:tcW w:type="dxa" w:w="106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Type</w:t>
            </w:r>
          </w:p>
        </w:tc>
        <w:tc>
          <w:tcPr>
            <w:tcW w:type="dxa" w:w="24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Pre-condition</w:t>
            </w:r>
          </w:p>
        </w:tc>
        <w:tc>
          <w:tcPr>
            <w:tcW w:type="dxa" w:w="47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Steps</w:t>
            </w:r>
          </w:p>
        </w:tc>
        <w:tc>
          <w:tcPr>
            <w:tcW w:type="dxa" w:w="5558"/>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Expected result</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TC-20-01</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Data present</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Run the transaction-data reset</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Documents, lines, ingestion records and notification history are cleared; the confirmation prompt is required.</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TC-20-02</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Reset completed</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Log in and check Administration</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Users, role permissions, notification routing, saved views and master data are all unchanged.</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TC-20-03</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Reset completed</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Re-upload a file that had been uploaded before</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It is accepted rather than rejected as a duplicate, because the content hashes were cleared with the ingestion records.</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TC-20-04</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Reset completed</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Upload the first file and note its ingestion id</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Numbering restarts from 1.</w:t>
            </w:r>
          </w:p>
        </w:tc>
      </w:tr>
      <w:tr>
        <w:tc>
          <w:tcPr>
            <w:tcW w:type="dxa" w:w="1020"/>
            <w:tcMar>
              <w:top w:type="dxa" w:w="60"/>
              <w:left w:type="dxa" w:w="90"/>
              <w:bottom w:type="dxa" w:w="60"/>
              <w:right w:type="dxa" w:w="90"/>
            </w:tcMar>
          </w:tcPr>
          <w:p>
            <w:pPr>
              <w:spacing w:after="0"/>
            </w:pPr>
            <w:r>
              <w:rPr>
                <w:rFonts w:ascii="Calibri" w:cs="Calibri" w:eastAsia="Calibri" w:hAnsi="Calibri"/>
                <w:b/>
                <w:bCs/>
                <w:sz w:val="17"/>
                <w:szCs w:val="17"/>
              </w:rPr>
              <w:t xml:space="preserve">TC-20-05</w:t>
            </w:r>
          </w:p>
        </w:tc>
        <w:tc>
          <w:tcPr>
            <w:tcW w:type="dxa" w:w="106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2450"/>
            <w:tcMar>
              <w:top w:type="dxa" w:w="60"/>
              <w:left w:type="dxa" w:w="90"/>
              <w:bottom w:type="dxa" w:w="60"/>
              <w:right w:type="dxa" w:w="90"/>
            </w:tcMar>
          </w:tcPr>
          <w:p>
            <w:pPr>
              <w:spacing w:after="0"/>
            </w:pPr>
            <w:r>
              <w:rPr>
                <w:rFonts w:ascii="Calibri" w:cs="Calibri" w:eastAsia="Calibri" w:hAnsi="Calibri"/>
                <w:sz w:val="17"/>
                <w:szCs w:val="17"/>
              </w:rPr>
              <w:t xml:space="preserve">Reset completed</w:t>
            </w:r>
          </w:p>
        </w:tc>
        <w:tc>
          <w:tcPr>
            <w:tcW w:type="dxa" w:w="4750"/>
            <w:tcMar>
              <w:top w:type="dxa" w:w="60"/>
              <w:left w:type="dxa" w:w="90"/>
              <w:bottom w:type="dxa" w:w="60"/>
              <w:right w:type="dxa" w:w="90"/>
            </w:tcMar>
          </w:tcPr>
          <w:p>
            <w:pPr>
              <w:spacing w:after="0"/>
            </w:pPr>
            <w:r>
              <w:rPr>
                <w:rFonts w:ascii="Calibri" w:cs="Calibri" w:eastAsia="Calibri" w:hAnsi="Calibri"/>
                <w:sz w:val="17"/>
                <w:szCs w:val="17"/>
              </w:rPr>
              <w:t xml:space="preserve">Open the Audit Log</w:t>
            </w:r>
          </w:p>
        </w:tc>
        <w:tc>
          <w:tcPr>
            <w:tcW w:type="dxa" w:w="5558"/>
            <w:tcMar>
              <w:top w:type="dxa" w:w="60"/>
              <w:left w:type="dxa" w:w="90"/>
              <w:bottom w:type="dxa" w:w="60"/>
              <w:right w:type="dxa" w:w="90"/>
            </w:tcMar>
          </w:tcPr>
          <w:p>
            <w:pPr>
              <w:spacing w:after="0"/>
            </w:pPr>
            <w:r>
              <w:rPr>
                <w:rFonts w:ascii="Calibri" w:cs="Calibri" w:eastAsia="Calibri" w:hAnsi="Calibri"/>
                <w:sz w:val="17"/>
                <w:szCs w:val="17"/>
              </w:rPr>
              <w:t xml:space="preserve">The trail is retained and a reset event records that the clear happened.</w:t>
            </w:r>
          </w:p>
        </w:tc>
      </w:tr>
      <w:tr>
        <w:tc>
          <w:tcPr>
            <w:tcW w:type="dxa" w:w="102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TC-20-06</w:t>
            </w:r>
          </w:p>
        </w:tc>
        <w:tc>
          <w:tcPr>
            <w:tcW w:type="dxa" w:w="106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24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Reset prompt shown</w:t>
            </w:r>
          </w:p>
        </w:tc>
        <w:tc>
          <w:tcPr>
            <w:tcW w:type="dxa" w:w="4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Type anything other than CLEAR</w:t>
            </w:r>
          </w:p>
        </w:tc>
        <w:tc>
          <w:tcPr>
            <w:tcW w:type="dxa" w:w="555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Aborted with "nothing was changed" and every row still present.</w:t>
            </w:r>
          </w:p>
        </w:tc>
      </w:tr>
    </w:tbl>
    <w:p>
      <w:pPr>
        <w:spacing w:after="120" w:before="0"/>
      </w:pPr>
      <w:r>
        <w:rPr>
          <w:rFonts w:ascii="Calibri" w:cs="Calibri" w:eastAsia="Calibri" w:hAnsi="Calibri"/>
          <w:sz w:val="19"/>
          <w:szCs w:val="19"/>
        </w:rPr>
        <w:t xml:space="preserve"/>
      </w:r>
    </w:p>
    <w:p>
      <w:r>
        <w:br w:type="page"/>
      </w:r>
    </w:p>
    <w:p>
      <w:pPr>
        <w:pStyle w:val="Heading1"/>
        <w:spacing w:after="130" w:before="260"/>
      </w:pPr>
      <w:r>
        <w:rPr>
          <w:rFonts w:ascii="Calibri" w:cs="Calibri" w:eastAsia="Calibri" w:hAnsi="Calibri"/>
          <w:b/>
          <w:bCs/>
          <w:color w:val="0E2841"/>
          <w:sz w:val="30"/>
          <w:szCs w:val="30"/>
        </w:rPr>
        <w:t xml:space="preserve">8. Result sheet</w:t>
      </w:r>
    </w:p>
    <w:p>
      <w:pPr>
        <w:spacing w:after="100" w:before="0"/>
      </w:pPr>
      <w:r>
        <w:rPr>
          <w:rFonts w:ascii="Calibri" w:cs="Calibri" w:eastAsia="Calibri" w:hAnsi="Calibri"/>
          <w:sz w:val="19"/>
          <w:szCs w:val="19"/>
        </w:rPr>
        <w:t xml:space="preserve">Copy this table into the cycle’s tracking sheet, one row per test case.</w:t>
      </w:r>
    </w:p>
    <w:tbl>
      <w:tblPr>
        <w:tblW w:type="dxa" w:w="10800"/>
        <w:tblBorders>
          <w:top w:val="single" w:color="D6DCE4" w:sz="2"/>
          <w:left w:val="single" w:color="D6DCE4" w:sz="2"/>
          <w:bottom w:val="single" w:color="D6DCE4" w:sz="2"/>
          <w:right w:val="single" w:color="D6DCE4" w:sz="2"/>
          <w:insideH w:val="single" w:color="D6DCE4" w:sz="2"/>
          <w:insideV w:val="single" w:color="D6DCE4" w:sz="2"/>
        </w:tblBorders>
      </w:tblPr>
      <w:tblGrid>
        <w:gridCol w:w="1700"/>
        <w:gridCol w:w="1700"/>
        <w:gridCol w:w="1700"/>
        <w:gridCol w:w="1700"/>
        <w:gridCol w:w="1900"/>
        <w:gridCol w:w="2100"/>
      </w:tblGrid>
      <w:tr>
        <w:trPr>
          <w:tblHeader/>
        </w:trPr>
        <w:tc>
          <w:tcPr>
            <w:tcW w:type="dxa" w:w="17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Test ID</w:t>
            </w:r>
          </w:p>
        </w:tc>
        <w:tc>
          <w:tcPr>
            <w:tcW w:type="dxa" w:w="17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Date</w:t>
            </w:r>
          </w:p>
        </w:tc>
        <w:tc>
          <w:tcPr>
            <w:tcW w:type="dxa" w:w="17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Tester</w:t>
            </w:r>
          </w:p>
        </w:tc>
        <w:tc>
          <w:tcPr>
            <w:tcW w:type="dxa" w:w="17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Build</w:t>
            </w:r>
          </w:p>
        </w:tc>
        <w:tc>
          <w:tcPr>
            <w:tcW w:type="dxa" w:w="19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Result</w:t>
            </w:r>
          </w:p>
        </w:tc>
        <w:tc>
          <w:tcPr>
            <w:tcW w:type="dxa" w:w="21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Defect ref.</w:t>
            </w:r>
          </w:p>
        </w:tc>
      </w:tr>
      <w:tr>
        <w:tc>
          <w:tcPr>
            <w:tcW w:type="dxa" w:w="1700"/>
            <w:tcMar>
              <w:top w:type="dxa" w:w="60"/>
              <w:left w:type="dxa" w:w="90"/>
              <w:bottom w:type="dxa" w:w="60"/>
              <w:right w:type="dxa" w:w="90"/>
            </w:tcMar>
          </w:tcPr>
          <w:p>
            <w:pPr>
              <w:spacing w:after="0"/>
            </w:pPr>
            <w:r>
              <w:rPr>
                <w:rFonts w:ascii="Calibri" w:cs="Calibri" w:eastAsia="Calibri" w:hAnsi="Calibri"/>
                <w:b/>
                <w:bCs/>
                <w:sz w:val="17"/>
                <w:szCs w:val="17"/>
              </w:rPr>
              <w:t xml:space="preserve">TC-01-01</w:t>
            </w:r>
          </w:p>
        </w:tc>
        <w:tc>
          <w:tcPr>
            <w:tcW w:type="dxa" w:w="1700"/>
            <w:tcMar>
              <w:top w:type="dxa" w:w="60"/>
              <w:left w:type="dxa" w:w="90"/>
              <w:bottom w:type="dxa" w:w="60"/>
              <w:right w:type="dxa" w:w="90"/>
            </w:tcMar>
          </w:tcPr>
          <w:p>
            <w:pPr>
              <w:spacing w:after="0"/>
            </w:pPr>
            <w:r>
              <w:rPr>
                <w:rFonts w:ascii="Calibri" w:cs="Calibri" w:eastAsia="Calibri" w:hAnsi="Calibri"/>
                <w:sz w:val="17"/>
                <w:szCs w:val="17"/>
              </w:rPr>
              <w:t xml:space="preserve"/>
            </w:r>
          </w:p>
        </w:tc>
        <w:tc>
          <w:tcPr>
            <w:tcW w:type="dxa" w:w="1700"/>
            <w:tcMar>
              <w:top w:type="dxa" w:w="60"/>
              <w:left w:type="dxa" w:w="90"/>
              <w:bottom w:type="dxa" w:w="60"/>
              <w:right w:type="dxa" w:w="90"/>
            </w:tcMar>
          </w:tcPr>
          <w:p>
            <w:pPr>
              <w:spacing w:after="0"/>
            </w:pPr>
            <w:r>
              <w:rPr>
                <w:rFonts w:ascii="Calibri" w:cs="Calibri" w:eastAsia="Calibri" w:hAnsi="Calibri"/>
                <w:sz w:val="17"/>
                <w:szCs w:val="17"/>
              </w:rPr>
              <w:t xml:space="preserve"/>
            </w:r>
          </w:p>
        </w:tc>
        <w:tc>
          <w:tcPr>
            <w:tcW w:type="dxa" w:w="1700"/>
            <w:tcMar>
              <w:top w:type="dxa" w:w="60"/>
              <w:left w:type="dxa" w:w="90"/>
              <w:bottom w:type="dxa" w:w="60"/>
              <w:right w:type="dxa" w:w="90"/>
            </w:tcMar>
          </w:tcPr>
          <w:p>
            <w:pPr>
              <w:spacing w:after="0"/>
            </w:pPr>
            <w:r>
              <w:rPr>
                <w:rFonts w:ascii="Calibri" w:cs="Calibri" w:eastAsia="Calibri" w:hAnsi="Calibri"/>
                <w:sz w:val="17"/>
                <w:szCs w:val="17"/>
              </w:rPr>
              <w:t xml:space="preserve"/>
            </w:r>
          </w:p>
        </w:tc>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
            </w:r>
          </w:p>
        </w:tc>
        <w:tc>
          <w:tcPr>
            <w:tcW w:type="dxa" w:w="2100"/>
            <w:tcMar>
              <w:top w:type="dxa" w:w="60"/>
              <w:left w:type="dxa" w:w="90"/>
              <w:bottom w:type="dxa" w:w="60"/>
              <w:right w:type="dxa" w:w="90"/>
            </w:tcMar>
          </w:tcPr>
          <w:p>
            <w:pPr>
              <w:spacing w:after="0"/>
            </w:pPr>
            <w:r>
              <w:rPr>
                <w:rFonts w:ascii="Calibri" w:cs="Calibri" w:eastAsia="Calibri" w:hAnsi="Calibri"/>
                <w:sz w:val="17"/>
                <w:szCs w:val="17"/>
              </w:rPr>
              <w:t xml:space="preserve"/>
            </w:r>
          </w:p>
        </w:tc>
      </w:tr>
      <w:tr>
        <w:tc>
          <w:tcPr>
            <w:tcW w:type="dxa" w:w="17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TC-01-02</w:t>
            </w:r>
          </w:p>
        </w:tc>
        <w:tc>
          <w:tcPr>
            <w:tcW w:type="dxa" w:w="17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
            </w:r>
          </w:p>
        </w:tc>
        <w:tc>
          <w:tcPr>
            <w:tcW w:type="dxa" w:w="17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
            </w:r>
          </w:p>
        </w:tc>
        <w:tc>
          <w:tcPr>
            <w:tcW w:type="dxa" w:w="17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
            </w:r>
          </w:p>
        </w:tc>
        <w:tc>
          <w:tcPr>
            <w:tcW w:type="dxa" w:w="1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
            </w:r>
          </w:p>
        </w:tc>
        <w:tc>
          <w:tcPr>
            <w:tcW w:type="dxa" w:w="21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
            </w:r>
          </w:p>
        </w:tc>
      </w:tr>
      <w:tr>
        <w:tc>
          <w:tcPr>
            <w:tcW w:type="dxa" w:w="1700"/>
            <w:tcMar>
              <w:top w:type="dxa" w:w="60"/>
              <w:left w:type="dxa" w:w="90"/>
              <w:bottom w:type="dxa" w:w="60"/>
              <w:right w:type="dxa" w:w="90"/>
            </w:tcMar>
          </w:tcPr>
          <w:p>
            <w:pPr>
              <w:spacing w:after="0"/>
            </w:pPr>
            <w:r>
              <w:rPr>
                <w:rFonts w:ascii="Calibri" w:cs="Calibri" w:eastAsia="Calibri" w:hAnsi="Calibri"/>
                <w:b/>
                <w:bCs/>
                <w:sz w:val="17"/>
                <w:szCs w:val="17"/>
              </w:rPr>
              <w:t xml:space="preserve">…</w:t>
            </w:r>
          </w:p>
        </w:tc>
        <w:tc>
          <w:tcPr>
            <w:tcW w:type="dxa" w:w="1700"/>
            <w:tcMar>
              <w:top w:type="dxa" w:w="60"/>
              <w:left w:type="dxa" w:w="90"/>
              <w:bottom w:type="dxa" w:w="60"/>
              <w:right w:type="dxa" w:w="90"/>
            </w:tcMar>
          </w:tcPr>
          <w:p>
            <w:pPr>
              <w:spacing w:after="0"/>
            </w:pPr>
            <w:r>
              <w:rPr>
                <w:rFonts w:ascii="Calibri" w:cs="Calibri" w:eastAsia="Calibri" w:hAnsi="Calibri"/>
                <w:sz w:val="17"/>
                <w:szCs w:val="17"/>
              </w:rPr>
              <w:t xml:space="preserve"/>
            </w:r>
          </w:p>
        </w:tc>
        <w:tc>
          <w:tcPr>
            <w:tcW w:type="dxa" w:w="1700"/>
            <w:tcMar>
              <w:top w:type="dxa" w:w="60"/>
              <w:left w:type="dxa" w:w="90"/>
              <w:bottom w:type="dxa" w:w="60"/>
              <w:right w:type="dxa" w:w="90"/>
            </w:tcMar>
          </w:tcPr>
          <w:p>
            <w:pPr>
              <w:spacing w:after="0"/>
            </w:pPr>
            <w:r>
              <w:rPr>
                <w:rFonts w:ascii="Calibri" w:cs="Calibri" w:eastAsia="Calibri" w:hAnsi="Calibri"/>
                <w:sz w:val="17"/>
                <w:szCs w:val="17"/>
              </w:rPr>
              <w:t xml:space="preserve"/>
            </w:r>
          </w:p>
        </w:tc>
        <w:tc>
          <w:tcPr>
            <w:tcW w:type="dxa" w:w="1700"/>
            <w:tcMar>
              <w:top w:type="dxa" w:w="60"/>
              <w:left w:type="dxa" w:w="90"/>
              <w:bottom w:type="dxa" w:w="60"/>
              <w:right w:type="dxa" w:w="90"/>
            </w:tcMar>
          </w:tcPr>
          <w:p>
            <w:pPr>
              <w:spacing w:after="0"/>
            </w:pPr>
            <w:r>
              <w:rPr>
                <w:rFonts w:ascii="Calibri" w:cs="Calibri" w:eastAsia="Calibri" w:hAnsi="Calibri"/>
                <w:sz w:val="17"/>
                <w:szCs w:val="17"/>
              </w:rPr>
              <w:t xml:space="preserve"/>
            </w:r>
          </w:p>
        </w:tc>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
            </w:r>
          </w:p>
        </w:tc>
        <w:tc>
          <w:tcPr>
            <w:tcW w:type="dxa" w:w="2100"/>
            <w:tcMar>
              <w:top w:type="dxa" w:w="60"/>
              <w:left w:type="dxa" w:w="90"/>
              <w:bottom w:type="dxa" w:w="60"/>
              <w:right w:type="dxa" w:w="90"/>
            </w:tcMar>
          </w:tcPr>
          <w:p>
            <w:pPr>
              <w:spacing w:after="0"/>
            </w:pPr>
            <w:r>
              <w:rPr>
                <w:rFonts w:ascii="Calibri" w:cs="Calibri" w:eastAsia="Calibri" w:hAnsi="Calibri"/>
                <w:sz w:val="17"/>
                <w:szCs w:val="17"/>
              </w:rPr>
              <w:t xml:space="preserve"/>
            </w:r>
          </w:p>
        </w:tc>
      </w:tr>
    </w:tbl>
    <w:p>
      <w:pPr>
        <w:pStyle w:val="Heading1"/>
        <w:spacing w:after="130" w:before="260"/>
      </w:pPr>
      <w:r>
        <w:rPr>
          <w:rFonts w:ascii="Calibri" w:cs="Calibri" w:eastAsia="Calibri" w:hAnsi="Calibri"/>
          <w:b/>
          <w:bCs/>
          <w:color w:val="0E2841"/>
          <w:sz w:val="30"/>
          <w:szCs w:val="30"/>
        </w:rPr>
        <w:t xml:space="preserve">9. Defect report format</w:t>
      </w:r>
    </w:p>
    <w:p>
      <w:pPr>
        <w:spacing w:after="100" w:before="0"/>
      </w:pPr>
      <w:r>
        <w:rPr>
          <w:rFonts w:ascii="Calibri" w:cs="Calibri" w:eastAsia="Calibri" w:hAnsi="Calibri"/>
          <w:sz w:val="19"/>
          <w:szCs w:val="19"/>
        </w:rPr>
        <w:t xml:space="preserve">Raise one defect per distinct problem. A defect that cannot be reproduced from its own description will be returned, so include the test ID, the account used and the exact input.</w:t>
      </w:r>
    </w:p>
    <w:tbl>
      <w:tblPr>
        <w:tblW w:type="dxa" w:w="11600"/>
        <w:tblBorders>
          <w:top w:val="single" w:color="D6DCE4" w:sz="2"/>
          <w:left w:val="single" w:color="D6DCE4" w:sz="2"/>
          <w:bottom w:val="single" w:color="D6DCE4" w:sz="2"/>
          <w:right w:val="single" w:color="D6DCE4" w:sz="2"/>
          <w:insideH w:val="single" w:color="D6DCE4" w:sz="2"/>
          <w:insideV w:val="single" w:color="D6DCE4" w:sz="2"/>
        </w:tblBorders>
      </w:tblPr>
      <w:tblGrid>
        <w:gridCol w:w="2600"/>
        <w:gridCol w:w="9000"/>
      </w:tblGrid>
      <w:tr>
        <w:trPr>
          <w:tblHeader/>
        </w:trPr>
        <w:tc>
          <w:tcPr>
            <w:tcW w:type="dxa" w:w="26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Field</w:t>
            </w:r>
          </w:p>
        </w:tc>
        <w:tc>
          <w:tcPr>
            <w:tcW w:type="dxa" w:w="90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What to write</w:t>
            </w:r>
          </w:p>
        </w:tc>
      </w:tr>
      <w:tr>
        <w:tc>
          <w:tcPr>
            <w:tcW w:type="dxa" w:w="2600"/>
            <w:tcMar>
              <w:top w:type="dxa" w:w="60"/>
              <w:left w:type="dxa" w:w="90"/>
              <w:bottom w:type="dxa" w:w="60"/>
              <w:right w:type="dxa" w:w="90"/>
            </w:tcMar>
          </w:tcPr>
          <w:p>
            <w:pPr>
              <w:spacing w:after="0"/>
            </w:pPr>
            <w:r>
              <w:rPr>
                <w:rFonts w:ascii="Calibri" w:cs="Calibri" w:eastAsia="Calibri" w:hAnsi="Calibri"/>
                <w:b/>
                <w:bCs/>
                <w:sz w:val="17"/>
                <w:szCs w:val="17"/>
              </w:rPr>
              <w:t xml:space="preserve">Defect ID</w:t>
            </w:r>
          </w:p>
        </w:tc>
        <w:tc>
          <w:tcPr>
            <w:tcW w:type="dxa" w:w="9000"/>
            <w:tcMar>
              <w:top w:type="dxa" w:w="60"/>
              <w:left w:type="dxa" w:w="90"/>
              <w:bottom w:type="dxa" w:w="60"/>
              <w:right w:type="dxa" w:w="90"/>
            </w:tcMar>
          </w:tcPr>
          <w:p>
            <w:pPr>
              <w:spacing w:after="0"/>
            </w:pPr>
            <w:r>
              <w:rPr>
                <w:rFonts w:ascii="Calibri" w:cs="Calibri" w:eastAsia="Calibri" w:hAnsi="Calibri"/>
                <w:sz w:val="17"/>
                <w:szCs w:val="17"/>
              </w:rPr>
              <w:t xml:space="preserve">Sequential reference for the cycle</w:t>
            </w:r>
          </w:p>
        </w:tc>
      </w:tr>
      <w:tr>
        <w:tc>
          <w:tcPr>
            <w:tcW w:type="dxa" w:w="26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Test ID</w:t>
            </w:r>
          </w:p>
        </w:tc>
        <w:tc>
          <w:tcPr>
            <w:tcW w:type="dxa" w:w="9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scenario that found it, e.g. TC-05-07</w:t>
            </w:r>
          </w:p>
        </w:tc>
      </w:tr>
      <w:tr>
        <w:tc>
          <w:tcPr>
            <w:tcW w:type="dxa" w:w="2600"/>
            <w:tcMar>
              <w:top w:type="dxa" w:w="60"/>
              <w:left w:type="dxa" w:w="90"/>
              <w:bottom w:type="dxa" w:w="60"/>
              <w:right w:type="dxa" w:w="90"/>
            </w:tcMar>
          </w:tcPr>
          <w:p>
            <w:pPr>
              <w:spacing w:after="0"/>
            </w:pPr>
            <w:r>
              <w:rPr>
                <w:rFonts w:ascii="Calibri" w:cs="Calibri" w:eastAsia="Calibri" w:hAnsi="Calibri"/>
                <w:b/>
                <w:bCs/>
                <w:sz w:val="17"/>
                <w:szCs w:val="17"/>
              </w:rPr>
              <w:t xml:space="preserve">Severity</w:t>
            </w:r>
          </w:p>
        </w:tc>
        <w:tc>
          <w:tcPr>
            <w:tcW w:type="dxa" w:w="9000"/>
            <w:tcMar>
              <w:top w:type="dxa" w:w="60"/>
              <w:left w:type="dxa" w:w="90"/>
              <w:bottom w:type="dxa" w:w="60"/>
              <w:right w:type="dxa" w:w="90"/>
            </w:tcMar>
          </w:tcPr>
          <w:p>
            <w:pPr>
              <w:spacing w:after="0"/>
            </w:pPr>
            <w:r>
              <w:rPr>
                <w:rFonts w:ascii="Calibri" w:cs="Calibri" w:eastAsia="Calibri" w:hAnsi="Calibri"/>
                <w:sz w:val="17"/>
                <w:szCs w:val="17"/>
              </w:rPr>
              <w:t xml:space="preserve">Critical — data loss, wrong figures, or access granted that should be refused. Major — a function does not work and has no workaround. Minor — works with a workaround. Cosmetic — wording or layout.</w:t>
            </w:r>
          </w:p>
        </w:tc>
      </w:tr>
      <w:tr>
        <w:tc>
          <w:tcPr>
            <w:tcW w:type="dxa" w:w="26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Account / role</w:t>
            </w:r>
          </w:p>
        </w:tc>
        <w:tc>
          <w:tcPr>
            <w:tcW w:type="dxa" w:w="9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Which account and role reproduced it, and its entity scope</w:t>
            </w:r>
          </w:p>
        </w:tc>
      </w:tr>
      <w:tr>
        <w:tc>
          <w:tcPr>
            <w:tcW w:type="dxa" w:w="2600"/>
            <w:tcMar>
              <w:top w:type="dxa" w:w="60"/>
              <w:left w:type="dxa" w:w="90"/>
              <w:bottom w:type="dxa" w:w="60"/>
              <w:right w:type="dxa" w:w="90"/>
            </w:tcMar>
          </w:tcPr>
          <w:p>
            <w:pPr>
              <w:spacing w:after="0"/>
            </w:pPr>
            <w:r>
              <w:rPr>
                <w:rFonts w:ascii="Calibri" w:cs="Calibri" w:eastAsia="Calibri" w:hAnsi="Calibri"/>
                <w:b/>
                <w:bCs/>
                <w:sz w:val="17"/>
                <w:szCs w:val="17"/>
              </w:rPr>
              <w:t xml:space="preserve">Steps to reproduce</w:t>
            </w:r>
          </w:p>
        </w:tc>
        <w:tc>
          <w:tcPr>
            <w:tcW w:type="dxa" w:w="9000"/>
            <w:tcMar>
              <w:top w:type="dxa" w:w="60"/>
              <w:left w:type="dxa" w:w="90"/>
              <w:bottom w:type="dxa" w:w="60"/>
              <w:right w:type="dxa" w:w="90"/>
            </w:tcMar>
          </w:tcPr>
          <w:p>
            <w:pPr>
              <w:spacing w:after="0"/>
            </w:pPr>
            <w:r>
              <w:rPr>
                <w:rFonts w:ascii="Calibri" w:cs="Calibri" w:eastAsia="Calibri" w:hAnsi="Calibri"/>
                <w:sz w:val="17"/>
                <w:szCs w:val="17"/>
              </w:rPr>
              <w:t xml:space="preserve">Numbered, from a known starting state, including the exact file or value used</w:t>
            </w:r>
          </w:p>
        </w:tc>
      </w:tr>
      <w:tr>
        <w:tc>
          <w:tcPr>
            <w:tcW w:type="dxa" w:w="26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Expected</w:t>
            </w:r>
          </w:p>
        </w:tc>
        <w:tc>
          <w:tcPr>
            <w:tcW w:type="dxa" w:w="9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What the scenario says should happen</w:t>
            </w:r>
          </w:p>
        </w:tc>
      </w:tr>
      <w:tr>
        <w:tc>
          <w:tcPr>
            <w:tcW w:type="dxa" w:w="2600"/>
            <w:tcMar>
              <w:top w:type="dxa" w:w="60"/>
              <w:left w:type="dxa" w:w="90"/>
              <w:bottom w:type="dxa" w:w="60"/>
              <w:right w:type="dxa" w:w="90"/>
            </w:tcMar>
          </w:tcPr>
          <w:p>
            <w:pPr>
              <w:spacing w:after="0"/>
            </w:pPr>
            <w:r>
              <w:rPr>
                <w:rFonts w:ascii="Calibri" w:cs="Calibri" w:eastAsia="Calibri" w:hAnsi="Calibri"/>
                <w:b/>
                <w:bCs/>
                <w:sz w:val="17"/>
                <w:szCs w:val="17"/>
              </w:rPr>
              <w:t xml:space="preserve">Actual</w:t>
            </w:r>
          </w:p>
        </w:tc>
        <w:tc>
          <w:tcPr>
            <w:tcW w:type="dxa" w:w="9000"/>
            <w:tcMar>
              <w:top w:type="dxa" w:w="60"/>
              <w:left w:type="dxa" w:w="90"/>
              <w:bottom w:type="dxa" w:w="60"/>
              <w:right w:type="dxa" w:w="90"/>
            </w:tcMar>
          </w:tcPr>
          <w:p>
            <w:pPr>
              <w:spacing w:after="0"/>
            </w:pPr>
            <w:r>
              <w:rPr>
                <w:rFonts w:ascii="Calibri" w:cs="Calibri" w:eastAsia="Calibri" w:hAnsi="Calibri"/>
                <w:sz w:val="17"/>
                <w:szCs w:val="17"/>
              </w:rPr>
              <w:t xml:space="preserve">What happened, with the exact message text</w:t>
            </w:r>
          </w:p>
        </w:tc>
      </w:tr>
      <w:tr>
        <w:tc>
          <w:tcPr>
            <w:tcW w:type="dxa" w:w="26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Evidence</w:t>
            </w:r>
          </w:p>
        </w:tc>
        <w:tc>
          <w:tcPr>
            <w:tcW w:type="dxa" w:w="9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Screenshot, the API response body, and the browser console if it shows an error</w:t>
            </w:r>
          </w:p>
        </w:tc>
      </w:tr>
      <w:tr>
        <w:tc>
          <w:tcPr>
            <w:tcW w:type="dxa" w:w="2600"/>
            <w:tcMar>
              <w:top w:type="dxa" w:w="60"/>
              <w:left w:type="dxa" w:w="90"/>
              <w:bottom w:type="dxa" w:w="60"/>
              <w:right w:type="dxa" w:w="90"/>
            </w:tcMar>
          </w:tcPr>
          <w:p>
            <w:pPr>
              <w:spacing w:after="0"/>
            </w:pPr>
            <w:r>
              <w:rPr>
                <w:rFonts w:ascii="Calibri" w:cs="Calibri" w:eastAsia="Calibri" w:hAnsi="Calibri"/>
                <w:b/>
                <w:bCs/>
                <w:sz w:val="17"/>
                <w:szCs w:val="17"/>
              </w:rPr>
              <w:t xml:space="preserve">Environment</w:t>
            </w:r>
          </w:p>
        </w:tc>
        <w:tc>
          <w:tcPr>
            <w:tcW w:type="dxa" w:w="9000"/>
            <w:tcMar>
              <w:top w:type="dxa" w:w="60"/>
              <w:left w:type="dxa" w:w="90"/>
              <w:bottom w:type="dxa" w:w="60"/>
              <w:right w:type="dxa" w:w="90"/>
            </w:tcMar>
          </w:tcPr>
          <w:p>
            <w:pPr>
              <w:spacing w:after="0"/>
            </w:pPr>
            <w:r>
              <w:rPr>
                <w:rFonts w:ascii="Calibri" w:cs="Calibri" w:eastAsia="Calibri" w:hAnsi="Calibri"/>
                <w:sz w:val="17"/>
                <w:szCs w:val="17"/>
              </w:rPr>
              <w:t xml:space="preserve">URL, build reference, date and time</w:t>
            </w:r>
          </w:p>
        </w:tc>
      </w:tr>
    </w:tbl>
    <w:p>
      <w:pPr>
        <w:spacing w:after="100" w:before="100"/>
      </w:pPr>
      <w:r>
        <w:rPr>
          <w:rFonts w:ascii="Calibri" w:cs="Calibri" w:eastAsia="Calibri" w:hAnsi="Calibri"/>
          <w:i/>
          <w:iCs/>
          <w:sz w:val="19"/>
          <w:szCs w:val="19"/>
        </w:rPr>
        <w:t xml:space="preserve">For any figure that looks wrong, always attach the source file and the row — a reporting defect cannot be investigated without the data that produced it.</w:t>
      </w:r>
    </w:p>
    <w:p>
      <w:pPr>
        <w:pStyle w:val="Heading1"/>
        <w:spacing w:after="130" w:before="260"/>
      </w:pPr>
      <w:r>
        <w:rPr>
          <w:rFonts w:ascii="Calibri" w:cs="Calibri" w:eastAsia="Calibri" w:hAnsi="Calibri"/>
          <w:b/>
          <w:bCs/>
          <w:color w:val="0E2841"/>
          <w:sz w:val="30"/>
          <w:szCs w:val="30"/>
        </w:rPr>
        <w:t xml:space="preserve">10. Acceptance criteria</w:t>
      </w:r>
    </w:p>
    <w:p>
      <w:pPr>
        <w:spacing w:after="60" w:before="0"/>
      </w:pPr>
      <w:r>
        <w:rPr>
          <w:rFonts w:ascii="Calibri" w:cs="Calibri" w:eastAsia="Calibri" w:hAnsi="Calibri"/>
          <w:sz w:val="19"/>
          <w:szCs w:val="19"/>
        </w:rPr>
        <w:t xml:space="preserve">The build is accepted for user testing when:</w:t>
      </w:r>
    </w:p>
    <w:p>
      <w:pPr>
        <w:pStyle w:val="ListParagraph"/>
        <w:numPr>
          <w:ilvl w:val="0"/>
          <w:numId w:val="2"/>
        </w:numPr>
        <w:spacing w:after="60"/>
      </w:pPr>
      <w:r>
        <w:rPr>
          <w:rFonts w:ascii="Calibri" w:cs="Calibri" w:eastAsia="Calibri" w:hAnsi="Calibri"/>
          <w:sz w:val="19"/>
          <w:szCs w:val="19"/>
        </w:rPr>
        <w:t xml:space="preserve">Every Critical and Major defect is closed and re-tested.</w:t>
      </w:r>
    </w:p>
    <w:p>
      <w:pPr>
        <w:pStyle w:val="ListParagraph"/>
        <w:numPr>
          <w:ilvl w:val="0"/>
          <w:numId w:val="2"/>
        </w:numPr>
        <w:spacing w:after="60"/>
      </w:pPr>
      <w:r>
        <w:rPr>
          <w:rFonts w:ascii="Calibri" w:cs="Calibri" w:eastAsia="Calibri" w:hAnsi="Calibri"/>
          <w:sz w:val="19"/>
          <w:szCs w:val="19"/>
        </w:rPr>
        <w:t xml:space="preserve">All negative scenarios covering access control — TS-02, TS-12 and TS-19 — pass at the API as well as in the browser.</w:t>
      </w:r>
    </w:p>
    <w:p>
      <w:pPr>
        <w:pStyle w:val="ListParagraph"/>
        <w:numPr>
          <w:ilvl w:val="0"/>
          <w:numId w:val="2"/>
        </w:numPr>
        <w:spacing w:after="60"/>
      </w:pPr>
      <w:r>
        <w:rPr>
          <w:rFonts w:ascii="Calibri" w:cs="Calibri" w:eastAsia="Calibri" w:hAnsi="Calibri"/>
          <w:sz w:val="19"/>
          <w:szCs w:val="19"/>
        </w:rPr>
        <w:t xml:space="preserve">The row-routing scenarios in TS-05 pass in full, with the reconciliation check TS-05-09 proving no row is lost or double-counted.</w:t>
      </w:r>
    </w:p>
    <w:p>
      <w:pPr>
        <w:pStyle w:val="ListParagraph"/>
        <w:numPr>
          <w:ilvl w:val="0"/>
          <w:numId w:val="2"/>
        </w:numPr>
        <w:spacing w:after="60"/>
      </w:pPr>
      <w:r>
        <w:rPr>
          <w:rFonts w:ascii="Calibri" w:cs="Calibri" w:eastAsia="Calibri" w:hAnsi="Calibri"/>
          <w:sz w:val="19"/>
          <w:szCs w:val="19"/>
        </w:rPr>
        <w:t xml:space="preserve">No scenario in TS-15 shows the audit trail as alterable.</w:t>
      </w:r>
    </w:p>
    <w:p>
      <w:pPr>
        <w:pStyle w:val="ListParagraph"/>
        <w:numPr>
          <w:ilvl w:val="0"/>
          <w:numId w:val="2"/>
        </w:numPr>
        <w:spacing w:after="60"/>
      </w:pPr>
      <w:r>
        <w:rPr>
          <w:rFonts w:ascii="Calibri" w:cs="Calibri" w:eastAsia="Calibri" w:hAnsi="Calibri"/>
          <w:sz w:val="19"/>
          <w:szCs w:val="19"/>
        </w:rPr>
        <w:t xml:space="preserve">The 2-second target in TS-18 is met for every measured action, with the measured values recorded.</w:t>
      </w:r>
    </w:p>
    <w:p>
      <w:pPr>
        <w:spacing w:after="200" w:before="0"/>
      </w:pPr>
      <w:r>
        <w:rPr>
          <w:rFonts w:ascii="Calibri" w:cs="Calibri" w:eastAsia="Calibri" w:hAnsi="Calibri"/>
          <w:sz w:val="19"/>
          <w:szCs w:val="19"/>
        </w:rPr>
        <w:t xml:space="preserve"/>
      </w:r>
    </w:p>
    <w:tbl>
      <w:tblPr>
        <w:tblW w:type="dxa" w:w="11200"/>
        <w:tblBorders>
          <w:top w:val="single" w:color="D6DCE4" w:sz="2"/>
          <w:left w:val="single" w:color="D6DCE4" w:sz="2"/>
          <w:bottom w:val="single" w:color="D6DCE4" w:sz="2"/>
          <w:right w:val="single" w:color="D6DCE4" w:sz="2"/>
          <w:insideH w:val="single" w:color="D6DCE4" w:sz="2"/>
          <w:insideV w:val="single" w:color="D6DCE4" w:sz="2"/>
        </w:tblBorders>
      </w:tblPr>
      <w:tblGrid>
        <w:gridCol w:w="3000"/>
        <w:gridCol w:w="3600"/>
        <w:gridCol w:w="4600"/>
      </w:tblGrid>
      <w:tr>
        <w:trPr>
          <w:tblHeader/>
        </w:trPr>
        <w:tc>
          <w:tcPr>
            <w:tcW w:type="dxa" w:w="30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Role</w:t>
            </w:r>
          </w:p>
        </w:tc>
        <w:tc>
          <w:tcPr>
            <w:tcW w:type="dxa" w:w="36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Name</w:t>
            </w:r>
          </w:p>
        </w:tc>
        <w:tc>
          <w:tcPr>
            <w:tcW w:type="dxa" w:w="46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Signature and date</w:t>
            </w:r>
          </w:p>
        </w:tc>
      </w:tr>
      <w:tr>
        <w:tc>
          <w:tcPr>
            <w:tcW w:type="dxa" w:w="3000"/>
            <w:tcMar>
              <w:top w:type="dxa" w:w="60"/>
              <w:left w:type="dxa" w:w="90"/>
              <w:bottom w:type="dxa" w:w="60"/>
              <w:right w:type="dxa" w:w="90"/>
            </w:tcMar>
          </w:tcPr>
          <w:p>
            <w:pPr>
              <w:spacing w:after="0"/>
            </w:pPr>
            <w:r>
              <w:rPr>
                <w:rFonts w:ascii="Calibri" w:cs="Calibri" w:eastAsia="Calibri" w:hAnsi="Calibri"/>
                <w:b/>
                <w:bCs/>
                <w:sz w:val="17"/>
                <w:szCs w:val="17"/>
              </w:rPr>
              <w:t xml:space="preserve">Prepared by</w:t>
            </w:r>
          </w:p>
        </w:tc>
        <w:tc>
          <w:tcPr>
            <w:tcW w:type="dxa" w:w="3600"/>
            <w:tcMar>
              <w:top w:type="dxa" w:w="60"/>
              <w:left w:type="dxa" w:w="90"/>
              <w:bottom w:type="dxa" w:w="60"/>
              <w:right w:type="dxa" w:w="90"/>
            </w:tcMar>
          </w:tcPr>
          <w:p>
            <w:pPr>
              <w:spacing w:after="0"/>
            </w:pPr>
            <w:r>
              <w:rPr>
                <w:rFonts w:ascii="Calibri" w:cs="Calibri" w:eastAsia="Calibri" w:hAnsi="Calibri"/>
                <w:sz w:val="17"/>
                <w:szCs w:val="17"/>
              </w:rPr>
              <w:t xml:space="preserve"/>
            </w:r>
          </w:p>
        </w:tc>
        <w:tc>
          <w:tcPr>
            <w:tcW w:type="dxa" w:w="4600"/>
            <w:tcMar>
              <w:top w:type="dxa" w:w="60"/>
              <w:left w:type="dxa" w:w="90"/>
              <w:bottom w:type="dxa" w:w="60"/>
              <w:right w:type="dxa" w:w="90"/>
            </w:tcMar>
          </w:tcPr>
          <w:p>
            <w:pPr>
              <w:spacing w:after="0"/>
            </w:pPr>
            <w:r>
              <w:rPr>
                <w:rFonts w:ascii="Calibri" w:cs="Calibri" w:eastAsia="Calibri" w:hAnsi="Calibri"/>
                <w:sz w:val="17"/>
                <w:szCs w:val="17"/>
              </w:rPr>
              <w:t xml:space="preserve"/>
            </w:r>
          </w:p>
        </w:tc>
      </w:tr>
      <w:tr>
        <w:tc>
          <w:tcPr>
            <w:tcW w:type="dxa" w:w="30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Tested by</w:t>
            </w:r>
          </w:p>
        </w:tc>
        <w:tc>
          <w:tcPr>
            <w:tcW w:type="dxa" w:w="36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
            </w:r>
          </w:p>
        </w:tc>
        <w:tc>
          <w:tcPr>
            <w:tcW w:type="dxa" w:w="46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
            </w:r>
          </w:p>
        </w:tc>
      </w:tr>
      <w:tr>
        <w:tc>
          <w:tcPr>
            <w:tcW w:type="dxa" w:w="3000"/>
            <w:tcMar>
              <w:top w:type="dxa" w:w="60"/>
              <w:left w:type="dxa" w:w="90"/>
              <w:bottom w:type="dxa" w:w="60"/>
              <w:right w:type="dxa" w:w="90"/>
            </w:tcMar>
          </w:tcPr>
          <w:p>
            <w:pPr>
              <w:spacing w:after="0"/>
            </w:pPr>
            <w:r>
              <w:rPr>
                <w:rFonts w:ascii="Calibri" w:cs="Calibri" w:eastAsia="Calibri" w:hAnsi="Calibri"/>
                <w:b/>
                <w:bCs/>
                <w:sz w:val="17"/>
                <w:szCs w:val="17"/>
              </w:rPr>
              <w:t xml:space="preserve">Reviewed by</w:t>
            </w:r>
          </w:p>
        </w:tc>
        <w:tc>
          <w:tcPr>
            <w:tcW w:type="dxa" w:w="3600"/>
            <w:tcMar>
              <w:top w:type="dxa" w:w="60"/>
              <w:left w:type="dxa" w:w="90"/>
              <w:bottom w:type="dxa" w:w="60"/>
              <w:right w:type="dxa" w:w="90"/>
            </w:tcMar>
          </w:tcPr>
          <w:p>
            <w:pPr>
              <w:spacing w:after="0"/>
            </w:pPr>
            <w:r>
              <w:rPr>
                <w:rFonts w:ascii="Calibri" w:cs="Calibri" w:eastAsia="Calibri" w:hAnsi="Calibri"/>
                <w:sz w:val="17"/>
                <w:szCs w:val="17"/>
              </w:rPr>
              <w:t xml:space="preserve"/>
            </w:r>
          </w:p>
        </w:tc>
        <w:tc>
          <w:tcPr>
            <w:tcW w:type="dxa" w:w="4600"/>
            <w:tcMar>
              <w:top w:type="dxa" w:w="60"/>
              <w:left w:type="dxa" w:w="90"/>
              <w:bottom w:type="dxa" w:w="60"/>
              <w:right w:type="dxa" w:w="90"/>
            </w:tcMar>
          </w:tcPr>
          <w:p>
            <w:pPr>
              <w:spacing w:after="0"/>
            </w:pPr>
            <w:r>
              <w:rPr>
                <w:rFonts w:ascii="Calibri" w:cs="Calibri" w:eastAsia="Calibri" w:hAnsi="Calibri"/>
                <w:sz w:val="17"/>
                <w:szCs w:val="17"/>
              </w:rPr>
              <w:t xml:space="preserve"/>
            </w:r>
          </w:p>
        </w:tc>
      </w:tr>
      <w:tr>
        <w:tc>
          <w:tcPr>
            <w:tcW w:type="dxa" w:w="30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Approved by</w:t>
            </w:r>
          </w:p>
        </w:tc>
        <w:tc>
          <w:tcPr>
            <w:tcW w:type="dxa" w:w="36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
            </w:r>
          </w:p>
        </w:tc>
        <w:tc>
          <w:tcPr>
            <w:tcW w:type="dxa" w:w="46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
            </w:r>
          </w:p>
        </w:tc>
      </w:tr>
    </w:tbl>
    <w:sectPr>
      <w:pgSz w:w="16838" w:h="11906"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 Inventory — End-to-End Functional Test Scenarios</dc:title>
  <dc:creator>BC Inventory Reporting System</dc:creator>
  <cp:lastModifiedBy>Un-named</cp:lastModifiedBy>
  <cp:revision>1</cp:revision>
  <dcterms:created xsi:type="dcterms:W3CDTF">2026-09-02T08:53:11.908Z</dcterms:created>
  <dcterms:modified xsi:type="dcterms:W3CDTF">2026-09-02T08:53:11.909Z</dcterms:modified>
</cp:coreProperties>
</file>

<file path=docProps/custom.xml><?xml version="1.0" encoding="utf-8"?>
<Properties xmlns="http://schemas.openxmlformats.org/officeDocument/2006/custom-properties" xmlns:vt="http://schemas.openxmlformats.org/officeDocument/2006/docPropsVTypes"/>
</file>