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0E2841"/>
          <w:sz w:val="42"/>
          <w:szCs w:val="42"/>
        </w:rPr>
        <w:t xml:space="preserve">BC Inventory Reporting System</w:t>
      </w:r>
    </w:p>
    <w:p>
      <w:pPr>
        <w:spacing w:after="60"/>
      </w:pPr>
      <w:r>
        <w:rPr>
          <w:rFonts w:ascii="Calibri" w:cs="Calibri" w:eastAsia="Calibri" w:hAnsi="Calibri"/>
          <w:color w:val="B73532"/>
          <w:sz w:val="30"/>
          <w:szCs w:val="30"/>
        </w:rPr>
        <w:t xml:space="preserve">Administrator Manual</w:t>
      </w:r>
    </w:p>
    <w:p>
      <w:pPr>
        <w:spacing w:after="260"/>
      </w:pPr>
      <w:r>
        <w:rPr>
          <w:rFonts w:ascii="Calibri" w:cs="Calibri" w:eastAsia="Calibri" w:hAnsi="Calibri"/>
          <w:i/>
          <w:iCs/>
          <w:color w:val="6B7683"/>
          <w:sz w:val="21"/>
          <w:szCs w:val="21"/>
        </w:rPr>
        <w:t xml:space="preserve">For Super Admins and Admins: users, roles, notifications, master data, audit, operations.</w:t>
      </w:r>
    </w:p>
    <w:tbl>
      <w:tblPr>
        <w:tblW w:type="dxa" w:w="9700"/>
        <w:tblBorders>
          <w:top w:val="single" w:color="D6DCE4" w:sz="2"/>
          <w:left w:val="single" w:color="D6DCE4" w:sz="2"/>
          <w:bottom w:val="single" w:color="D6DCE4" w:sz="2"/>
          <w:right w:val="single" w:color="D6DCE4" w:sz="2"/>
          <w:insideH w:val="single" w:color="D6DCE4" w:sz="2"/>
          <w:insideV w:val="single" w:color="D6DCE4" w:sz="2"/>
        </w:tblBorders>
      </w:tblPr>
      <w:tblGrid>
        <w:gridCol w:w="2600"/>
        <w:gridCol w:w="7100"/>
      </w:tblGrid>
      <w:tr>
        <w:trPr>
          <w:tblHeader/>
        </w:trPr>
        <w:tc>
          <w:tcPr>
            <w:tcW w:type="dxa" w:w="2600"/>
            <w:shd w:fill="0E284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tcW w:type="dxa" w:w="7100"/>
            <w:shd w:fill="0E284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System</w:t>
            </w:r>
          </w:p>
        </w:tc>
        <w:tc>
          <w:tcPr>
            <w:tcW w:type="dxa" w:w="7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BC Inventory Reporting System</w:t>
            </w:r>
          </w:p>
        </w:tc>
      </w:tr>
      <w:tr>
        <w:tc>
          <w:tcPr>
            <w:tcW w:type="dxa" w:w="2600"/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Audience</w:t>
            </w:r>
          </w:p>
        </w:tc>
        <w:tc>
          <w:tcPr>
            <w:tcW w:type="dxa" w:w="7100"/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Super Admin and Admin roles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Version</w:t>
            </w:r>
          </w:p>
        </w:tc>
        <w:tc>
          <w:tcPr>
            <w:tcW w:type="dxa" w:w="7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1.0 (matches build PRD v1.3)</w:t>
            </w:r>
          </w:p>
        </w:tc>
      </w:tr>
      <w:tr>
        <w:tc>
          <w:tcPr>
            <w:tcW w:type="dxa" w:w="2600"/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Language</w:t>
            </w:r>
          </w:p>
        </w:tc>
        <w:tc>
          <w:tcPr>
            <w:tcW w:type="dxa" w:w="7100"/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English</w:t>
            </w:r>
          </w:p>
        </w:tc>
      </w:tr>
    </w:tbl>
    <w:p>
      <w:r>
        <w:br w:type="page"/>
      </w:r>
    </w:p>
    <w:p>
      <w:pPr>
        <w:pStyle w:val="Heading1"/>
        <w:spacing w:after="120" w:before="340"/>
      </w:pPr>
      <w:r>
        <w:rPr>
          <w:rFonts w:ascii="Calibri" w:cs="Calibri" w:eastAsia="Calibri" w:hAnsi="Calibri"/>
          <w:b/>
          <w:bCs/>
          <w:color w:val="0E2841"/>
          <w:sz w:val="27"/>
          <w:szCs w:val="27"/>
        </w:rPr>
        <w:t xml:space="preserve">1. The administration area</w:t>
      </w:r>
    </w:p>
    <w:p>
      <w:pPr>
        <w:spacing w:after="120" w:before="0"/>
      </w:pPr>
      <w:r>
        <w:rPr>
          <w:rFonts w:ascii="Calibri" w:cs="Calibri" w:eastAsia="Calibri" w:hAnsi="Calibri"/>
          <w:sz w:val="21"/>
          <w:szCs w:val="21"/>
        </w:rPr>
        <w:t xml:space="preserve">Administration has four tabs: User Management, Role Management, Notifications and Master Data. What you can do depends on your role — a Super Admin can do everything; an Admin is blocked from the escalation-sensitive actions noted below. Every change here is written to the audit log and alerts the configured recipients.</w:t>
      </w:r>
    </w:p>
    <w:p>
      <w:pPr>
        <w:pStyle w:val="Heading1"/>
        <w:spacing w:after="120" w:before="340"/>
      </w:pPr>
      <w:r>
        <w:rPr>
          <w:rFonts w:ascii="Calibri" w:cs="Calibri" w:eastAsia="Calibri" w:hAnsi="Calibri"/>
          <w:b/>
          <w:bCs/>
          <w:color w:val="0E2841"/>
          <w:sz w:val="27"/>
          <w:szCs w:val="27"/>
        </w:rPr>
        <w:t xml:space="preserve">2. User management</w:t>
      </w:r>
    </w:p>
    <w:p>
      <w:pPr>
        <w:pStyle w:val="Heading2"/>
        <w:spacing w:after="120" w:before="220"/>
      </w:pPr>
      <w:r>
        <w:rPr>
          <w:rFonts w:ascii="Calibri" w:cs="Calibri" w:eastAsia="Calibri" w:hAnsi="Calibri"/>
          <w:b/>
          <w:bCs/>
          <w:color w:val="0E2841"/>
          <w:sz w:val="21"/>
          <w:szCs w:val="21"/>
        </w:rPr>
        <w:t xml:space="preserve">2.1 Creating a user</w:t>
      </w:r>
    </w:p>
    <w:p>
      <w:pPr>
        <w:spacing w:after="70"/>
        <w:ind w:left="520" w:hanging="300"/>
      </w:pPr>
      <w:r>
        <w:rPr>
          <w:rFonts w:ascii="Calibri" w:cs="Calibri" w:eastAsia="Calibri" w:hAnsi="Calibri"/>
          <w:b/>
          <w:bCs/>
          <w:color w:val="0E2841"/>
          <w:sz w:val="21"/>
          <w:szCs w:val="21"/>
        </w:rPr>
        <w:t xml:space="preserve">1.  </w:t>
      </w:r>
      <w:r>
        <w:rPr>
          <w:rFonts w:ascii="Calibri" w:cs="Calibri" w:eastAsia="Calibri" w:hAnsi="Calibri"/>
          <w:sz w:val="21"/>
          <w:szCs w:val="21"/>
        </w:rPr>
        <w:t xml:space="preserve">Administration → User Management → Add user.</w:t>
      </w:r>
    </w:p>
    <w:p>
      <w:pPr>
        <w:spacing w:after="70"/>
        <w:ind w:left="520" w:hanging="300"/>
      </w:pPr>
      <w:r>
        <w:rPr>
          <w:rFonts w:ascii="Calibri" w:cs="Calibri" w:eastAsia="Calibri" w:hAnsi="Calibri"/>
          <w:b/>
          <w:bCs/>
          <w:color w:val="0E2841"/>
          <w:sz w:val="21"/>
          <w:szCs w:val="21"/>
        </w:rPr>
        <w:t xml:space="preserve">2.  </w:t>
      </w:r>
      <w:r>
        <w:rPr>
          <w:rFonts w:ascii="Calibri" w:cs="Calibri" w:eastAsia="Calibri" w:hAnsi="Calibri"/>
          <w:sz w:val="21"/>
          <w:szCs w:val="21"/>
        </w:rPr>
        <w:t xml:space="preserve">Enter the e-mail, full name and role.</w:t>
      </w:r>
    </w:p>
    <w:p>
      <w:pPr>
        <w:spacing w:after="70"/>
        <w:ind w:left="520" w:hanging="300"/>
      </w:pPr>
      <w:r>
        <w:rPr>
          <w:rFonts w:ascii="Calibri" w:cs="Calibri" w:eastAsia="Calibri" w:hAnsi="Calibri"/>
          <w:b/>
          <w:bCs/>
          <w:color w:val="0E2841"/>
          <w:sz w:val="21"/>
          <w:szCs w:val="21"/>
        </w:rPr>
        <w:t xml:space="preserve">3.  </w:t>
      </w:r>
      <w:r>
        <w:rPr>
          <w:rFonts w:ascii="Calibri" w:cs="Calibri" w:eastAsia="Calibri" w:hAnsi="Calibri"/>
          <w:sz w:val="21"/>
          <w:szCs w:val="21"/>
        </w:rPr>
        <w:t xml:space="preserve">Set the scope: all entities, or one entity/site.</w:t>
      </w:r>
    </w:p>
    <w:p>
      <w:pPr>
        <w:spacing w:after="70"/>
        <w:ind w:left="520" w:hanging="300"/>
      </w:pPr>
      <w:r>
        <w:rPr>
          <w:rFonts w:ascii="Calibri" w:cs="Calibri" w:eastAsia="Calibri" w:hAnsi="Calibri"/>
          <w:b/>
          <w:bCs/>
          <w:color w:val="0E2841"/>
          <w:sz w:val="21"/>
          <w:szCs w:val="21"/>
        </w:rPr>
        <w:t xml:space="preserve">4.  </w:t>
      </w:r>
      <w:r>
        <w:rPr>
          <w:rFonts w:ascii="Calibri" w:cs="Calibri" w:eastAsia="Calibri" w:hAnsi="Calibri"/>
          <w:sz w:val="21"/>
          <w:szCs w:val="21"/>
        </w:rPr>
        <w:t xml:space="preserve">Set an initial password that meets the policy (see 2.4), then save.</w:t>
      </w:r>
    </w:p>
    <w:p>
      <w:pPr>
        <w:spacing w:after="20" w:before="80"/>
        <w:jc w:val="center"/>
      </w:pPr>
      <w:r>
        <w:drawing>
          <wp:inline distT="0" distB="0" distL="0" distR="0">
            <wp:extent cx="5943600" cy="3933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3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cs="Calibri" w:eastAsia="Calibri" w:hAnsi="Calibri"/>
          <w:i/>
          <w:iCs/>
          <w:color w:val="6B7683"/>
          <w:sz w:val="17"/>
          <w:szCs w:val="17"/>
        </w:rPr>
        <w:t xml:space="preserve">Figure 1 — User Management.</w:t>
      </w:r>
    </w:p>
    <w:tbl>
      <w:tblPr>
        <w:tblW w:type="dxa" w:w="9700"/>
        <w:tblBorders>
          <w:top w:val="single" w:color="BCCFE0" w:sz="2"/>
          <w:left w:val="single" w:color="2F6F9E" w:sz="12"/>
          <w:bottom w:val="single" w:color="BCCFE0" w:sz="2"/>
          <w:right w:val="single" w:color="BCCFE0" w:sz="2"/>
          <w:insideH w:val="single" w:color="auto" w:sz="4"/>
          <w:insideV w:val="single" w:color="auto" w:sz="4"/>
        </w:tblBorders>
      </w:tblPr>
      <w:tblGrid>
        <w:gridCol w:w="9700"/>
      </w:tblGrid>
      <w:tr>
        <w:tc>
          <w:tcPr>
            <w:tcW w:type="dxa" w:w="9700"/>
            <w:shd w:fill="EEF3F8" w:color="auto" w:val="clear"/>
            <w:tcMar>
              <w:top w:type="dxa" w:w="80"/>
              <w:left w:type="dxa" w:w="14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F6F9E"/>
                <w:sz w:val="19"/>
                <w:szCs w:val="19"/>
              </w:rPr>
              <w:t xml:space="preserve">ℹ  </w:t>
            </w:r>
            <w:r>
              <w:rPr>
                <w:rFonts w:ascii="Calibri" w:cs="Calibri" w:eastAsia="Calibri" w:hAnsi="Calibri"/>
                <w:color w:val="1f2733"/>
                <w:sz w:val="19"/>
                <w:szCs w:val="19"/>
              </w:rPr>
              <w:t xml:space="preserve">Only a Super Admin can create a Super Admin or grant all-entities scope. An Admin attempting either is refused.</w:t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pPr>
        <w:pStyle w:val="Heading2"/>
        <w:spacing w:after="120" w:before="220"/>
      </w:pPr>
      <w:r>
        <w:rPr>
          <w:rFonts w:ascii="Calibri" w:cs="Calibri" w:eastAsia="Calibri" w:hAnsi="Calibri"/>
          <w:b/>
          <w:bCs/>
          <w:color w:val="0E2841"/>
          <w:sz w:val="21"/>
          <w:szCs w:val="21"/>
        </w:rPr>
        <w:t xml:space="preserve">2.2 Disabling and re-enabling</w:t>
      </w:r>
    </w:p>
    <w:p>
      <w:pPr>
        <w:spacing w:after="120" w:before="0"/>
      </w:pPr>
      <w:r>
        <w:rPr>
          <w:rFonts w:ascii="Calibri" w:cs="Calibri" w:eastAsia="Calibri" w:hAnsi="Calibri"/>
          <w:sz w:val="21"/>
          <w:szCs w:val="21"/>
        </w:rPr>
        <w:t xml:space="preserve">Users are never deleted, only disabled. Disable removes their access immediately — any session they have open stops working within seconds, not at token expiry. Re-enable restores access.</w:t>
      </w:r>
    </w:p>
    <w:p>
      <w:pPr>
        <w:pStyle w:val="Heading2"/>
        <w:spacing w:after="120" w:before="220"/>
      </w:pPr>
      <w:r>
        <w:rPr>
          <w:rFonts w:ascii="Calibri" w:cs="Calibri" w:eastAsia="Calibri" w:hAnsi="Calibri"/>
          <w:b/>
          <w:bCs/>
          <w:color w:val="0E2841"/>
          <w:sz w:val="21"/>
          <w:szCs w:val="21"/>
        </w:rPr>
        <w:t xml:space="preserve">2.3 Resetting a password</w:t>
      </w:r>
    </w:p>
    <w:p>
      <w:pPr>
        <w:spacing w:after="120" w:before="0"/>
      </w:pPr>
      <w:r>
        <w:rPr>
          <w:rFonts w:ascii="Calibri" w:cs="Calibri" w:eastAsia="Calibri" w:hAnsi="Calibri"/>
          <w:sz w:val="21"/>
          <w:szCs w:val="21"/>
        </w:rPr>
        <w:t xml:space="preserve">Reset sets a new password and, for security, ends the user’s existing sessions so the old password can no longer be used anywhere. Give the new password to the user through a safe channel.</w:t>
      </w:r>
    </w:p>
    <w:p>
      <w:pPr>
        <w:pStyle w:val="Heading2"/>
        <w:spacing w:after="120" w:before="220"/>
      </w:pPr>
      <w:r>
        <w:rPr>
          <w:rFonts w:ascii="Calibri" w:cs="Calibri" w:eastAsia="Calibri" w:hAnsi="Calibri"/>
          <w:b/>
          <w:bCs/>
          <w:color w:val="0E2841"/>
          <w:sz w:val="21"/>
          <w:szCs w:val="21"/>
        </w:rPr>
        <w:t xml:space="preserve">2.4 Password policy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At least 10 characters.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Below 16 characters, at least three of: lower case, upper case, digits, symbols.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Not an obvious word (the company, the system, “password”, etc.) and not the account’s own e-mail address.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A long passphrase of a few words is the easiest way to satisfy this.</w:t>
      </w:r>
    </w:p>
    <w:tbl>
      <w:tblPr>
        <w:tblW w:type="dxa" w:w="9700"/>
        <w:tblBorders>
          <w:top w:val="single" w:color="BCCFE0" w:sz="2"/>
          <w:left w:val="single" w:color="2F6F9E" w:sz="12"/>
          <w:bottom w:val="single" w:color="BCCFE0" w:sz="2"/>
          <w:right w:val="single" w:color="BCCFE0" w:sz="2"/>
          <w:insideH w:val="single" w:color="auto" w:sz="4"/>
          <w:insideV w:val="single" w:color="auto" w:sz="4"/>
        </w:tblBorders>
      </w:tblPr>
      <w:tblGrid>
        <w:gridCol w:w="9700"/>
      </w:tblGrid>
      <w:tr>
        <w:tc>
          <w:tcPr>
            <w:tcW w:type="dxa" w:w="9700"/>
            <w:shd w:fill="EEF3F8" w:color="auto" w:val="clear"/>
            <w:tcMar>
              <w:top w:type="dxa" w:w="80"/>
              <w:left w:type="dxa" w:w="14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F6F9E"/>
                <w:sz w:val="19"/>
                <w:szCs w:val="19"/>
              </w:rPr>
              <w:t xml:space="preserve">ℹ  </w:t>
            </w:r>
            <w:r>
              <w:rPr>
                <w:rFonts w:ascii="Calibri" w:cs="Calibri" w:eastAsia="Calibri" w:hAnsi="Calibri"/>
                <w:color w:val="1f2733"/>
                <w:sz w:val="19"/>
                <w:szCs w:val="19"/>
              </w:rPr>
              <w:t xml:space="preserve">You cannot disable your own account (to avoid locking everyone out).</w:t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pPr>
        <w:pStyle w:val="Heading1"/>
        <w:spacing w:after="120" w:before="340"/>
      </w:pPr>
      <w:r>
        <w:rPr>
          <w:rFonts w:ascii="Calibri" w:cs="Calibri" w:eastAsia="Calibri" w:hAnsi="Calibri"/>
          <w:b/>
          <w:bCs/>
          <w:color w:val="0E2841"/>
          <w:sz w:val="27"/>
          <w:szCs w:val="27"/>
        </w:rPr>
        <w:t xml:space="preserve">3. Role management</w:t>
      </w:r>
    </w:p>
    <w:p>
      <w:pPr>
        <w:spacing w:after="120" w:before="0"/>
      </w:pPr>
      <w:r>
        <w:rPr>
          <w:rFonts w:ascii="Calibri" w:cs="Calibri" w:eastAsia="Calibri" w:hAnsi="Calibri"/>
          <w:sz w:val="21"/>
          <w:szCs w:val="21"/>
        </w:rPr>
        <w:t xml:space="preserve">A matrix of the six roles against the seven pages, with view / insert / edit per page. Only a Super Admin may change it.</w:t>
      </w:r>
    </w:p>
    <w:p>
      <w:pPr>
        <w:pStyle w:val="Heading2"/>
        <w:spacing w:after="120" w:before="220"/>
      </w:pPr>
      <w:r>
        <w:rPr>
          <w:rFonts w:ascii="Calibri" w:cs="Calibri" w:eastAsia="Calibri" w:hAnsi="Calibri"/>
          <w:b/>
          <w:bCs/>
          <w:color w:val="0E2841"/>
          <w:sz w:val="21"/>
          <w:szCs w:val="21"/>
        </w:rPr>
        <w:t xml:space="preserve">3.1 How it works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Ticking Insert or Edit automatically grants View — a page you cannot open cannot be acted 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Permissions are enforced by the server, not just hidden in the menu: a revoked page returns “access denied” even if called directly.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The Super Admin row is always full access and cannot be changed — this prevents locking everyone out.</w:t>
      </w:r>
    </w:p>
    <w:p>
      <w:pPr>
        <w:spacing w:after="20" w:before="80"/>
        <w:jc w:val="center"/>
      </w:pPr>
      <w:r>
        <w:drawing>
          <wp:inline distT="0" distB="0" distL="0" distR="0">
            <wp:extent cx="5943600" cy="3933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3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cs="Calibri" w:eastAsia="Calibri" w:hAnsi="Calibri"/>
          <w:i/>
          <w:iCs/>
          <w:color w:val="6B7683"/>
          <w:sz w:val="17"/>
          <w:szCs w:val="17"/>
        </w:rPr>
        <w:t xml:space="preserve">Figure 2 — the role × page permission matrix.</w:t>
      </w:r>
    </w:p>
    <w:p>
      <w:pPr>
        <w:pStyle w:val="Heading2"/>
        <w:spacing w:after="120" w:before="220"/>
      </w:pPr>
      <w:r>
        <w:rPr>
          <w:rFonts w:ascii="Calibri" w:cs="Calibri" w:eastAsia="Calibri" w:hAnsi="Calibri"/>
          <w:b/>
          <w:bCs/>
          <w:color w:val="0E2841"/>
          <w:sz w:val="21"/>
          <w:szCs w:val="21"/>
        </w:rPr>
        <w:t xml:space="preserve">3.2 Making a change</w:t>
      </w:r>
    </w:p>
    <w:p>
      <w:pPr>
        <w:spacing w:after="70"/>
        <w:ind w:left="520" w:hanging="300"/>
      </w:pPr>
      <w:r>
        <w:rPr>
          <w:rFonts w:ascii="Calibri" w:cs="Calibri" w:eastAsia="Calibri" w:hAnsi="Calibri"/>
          <w:b/>
          <w:bCs/>
          <w:color w:val="0E2841"/>
          <w:sz w:val="21"/>
          <w:szCs w:val="21"/>
        </w:rPr>
        <w:t xml:space="preserve">1.  </w:t>
      </w:r>
      <w:r>
        <w:rPr>
          <w:rFonts w:ascii="Calibri" w:cs="Calibri" w:eastAsia="Calibri" w:hAnsi="Calibri"/>
          <w:sz w:val="21"/>
          <w:szCs w:val="21"/>
        </w:rPr>
        <w:t xml:space="preserve">Administration → Role Management.</w:t>
      </w:r>
    </w:p>
    <w:p>
      <w:pPr>
        <w:spacing w:after="70"/>
        <w:ind w:left="520" w:hanging="300"/>
      </w:pPr>
      <w:r>
        <w:rPr>
          <w:rFonts w:ascii="Calibri" w:cs="Calibri" w:eastAsia="Calibri" w:hAnsi="Calibri"/>
          <w:b/>
          <w:bCs/>
          <w:color w:val="0E2841"/>
          <w:sz w:val="21"/>
          <w:szCs w:val="21"/>
        </w:rPr>
        <w:t xml:space="preserve">2.  </w:t>
      </w:r>
      <w:r>
        <w:rPr>
          <w:rFonts w:ascii="Calibri" w:cs="Calibri" w:eastAsia="Calibri" w:hAnsi="Calibri"/>
          <w:sz w:val="21"/>
          <w:szCs w:val="21"/>
        </w:rPr>
        <w:t xml:space="preserve">Tick or untick the boxes for a role.</w:t>
      </w:r>
    </w:p>
    <w:p>
      <w:pPr>
        <w:spacing w:after="70"/>
        <w:ind w:left="520" w:hanging="300"/>
      </w:pPr>
      <w:r>
        <w:rPr>
          <w:rFonts w:ascii="Calibri" w:cs="Calibri" w:eastAsia="Calibri" w:hAnsi="Calibri"/>
          <w:b/>
          <w:bCs/>
          <w:color w:val="0E2841"/>
          <w:sz w:val="21"/>
          <w:szCs w:val="21"/>
        </w:rPr>
        <w:t xml:space="preserve">3.  </w:t>
      </w:r>
      <w:r>
        <w:rPr>
          <w:rFonts w:ascii="Calibri" w:cs="Calibri" w:eastAsia="Calibri" w:hAnsi="Calibri"/>
          <w:sz w:val="21"/>
          <w:szCs w:val="21"/>
        </w:rPr>
        <w:t xml:space="preserve">Save. The change applies to that role’s users within seconds, including anyone currently signed in.</w:t>
      </w:r>
    </w:p>
    <w:p>
      <w:pPr>
        <w:pStyle w:val="Heading1"/>
        <w:spacing w:after="120" w:before="340"/>
      </w:pPr>
      <w:r>
        <w:rPr>
          <w:rFonts w:ascii="Calibri" w:cs="Calibri" w:eastAsia="Calibri" w:hAnsi="Calibri"/>
          <w:b/>
          <w:bCs/>
          <w:color w:val="0E2841"/>
          <w:sz w:val="27"/>
          <w:szCs w:val="27"/>
        </w:rPr>
        <w:t xml:space="preserve">4. Notification routing</w:t>
      </w:r>
    </w:p>
    <w:p>
      <w:pPr>
        <w:spacing w:after="120" w:before="0"/>
      </w:pPr>
      <w:r>
        <w:rPr>
          <w:rFonts w:ascii="Calibri" w:cs="Calibri" w:eastAsia="Calibri" w:hAnsi="Calibri"/>
          <w:sz w:val="21"/>
          <w:szCs w:val="21"/>
        </w:rPr>
        <w:t xml:space="preserve">Decide, per user and per event, who is told about what and how. The four events are File ingested, Rows quarantined, Ingestion failed, and Security &amp; administration.</w:t>
      </w:r>
    </w:p>
    <w:p>
      <w:pPr>
        <w:pStyle w:val="Heading2"/>
        <w:spacing w:after="120" w:before="220"/>
      </w:pPr>
      <w:r>
        <w:rPr>
          <w:rFonts w:ascii="Calibri" w:cs="Calibri" w:eastAsia="Calibri" w:hAnsi="Calibri"/>
          <w:b/>
          <w:bCs/>
          <w:color w:val="0E2841"/>
          <w:sz w:val="21"/>
          <w:szCs w:val="21"/>
        </w:rPr>
        <w:t xml:space="preserve">4.1 The matrix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Every user has an In-app and an Email checkbox for each event.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A box marked “default” means the user has no explicit setting and follows the event’s default recipient roles — so new users and new events are never silently unsubscribed.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Changing a box overrides the default for that user and event.</w:t>
      </w:r>
    </w:p>
    <w:p>
      <w:pPr>
        <w:spacing w:after="20" w:before="80"/>
        <w:jc w:val="center"/>
      </w:pPr>
      <w:r>
        <w:drawing>
          <wp:inline distT="0" distB="0" distL="0" distR="0">
            <wp:extent cx="5943600" cy="3933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3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cs="Calibri" w:eastAsia="Calibri" w:hAnsi="Calibri"/>
          <w:i/>
          <w:iCs/>
          <w:color w:val="6B7683"/>
          <w:sz w:val="17"/>
          <w:szCs w:val="17"/>
        </w:rPr>
        <w:t xml:space="preserve">Figure 3 — per-user notification routing.</w:t>
      </w:r>
    </w:p>
    <w:p>
      <w:pPr>
        <w:pStyle w:val="Heading2"/>
        <w:spacing w:after="120" w:before="220"/>
      </w:pPr>
      <w:r>
        <w:rPr>
          <w:rFonts w:ascii="Calibri" w:cs="Calibri" w:eastAsia="Calibri" w:hAnsi="Calibri"/>
          <w:b/>
          <w:bCs/>
          <w:color w:val="0E2841"/>
          <w:sz w:val="21"/>
          <w:szCs w:val="21"/>
        </w:rPr>
        <w:t xml:space="preserve">4.2 Channels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In-app shows in the bell. Email is sent only when an SMTP relay is configured (a banner tells you if it is not).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A user set to Email only still does not see the item in their bell.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A disabled user receives nothing on either channel, whatever is ticked.</w:t>
      </w:r>
    </w:p>
    <w:tbl>
      <w:tblPr>
        <w:tblW w:type="dxa" w:w="9700"/>
        <w:tblBorders>
          <w:top w:val="single" w:color="BCCFE0" w:sz="2"/>
          <w:left w:val="single" w:color="2F6F9E" w:sz="12"/>
          <w:bottom w:val="single" w:color="BCCFE0" w:sz="2"/>
          <w:right w:val="single" w:color="BCCFE0" w:sz="2"/>
          <w:insideH w:val="single" w:color="auto" w:sz="4"/>
          <w:insideV w:val="single" w:color="auto" w:sz="4"/>
        </w:tblBorders>
      </w:tblPr>
      <w:tblGrid>
        <w:gridCol w:w="9700"/>
      </w:tblGrid>
      <w:tr>
        <w:tc>
          <w:tcPr>
            <w:tcW w:type="dxa" w:w="9700"/>
            <w:shd w:fill="EEF3F8" w:color="auto" w:val="clear"/>
            <w:tcMar>
              <w:top w:type="dxa" w:w="80"/>
              <w:left w:type="dxa" w:w="14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F6F9E"/>
                <w:sz w:val="19"/>
                <w:szCs w:val="19"/>
              </w:rPr>
              <w:t xml:space="preserve">ℹ  </w:t>
            </w:r>
            <w:r>
              <w:rPr>
                <w:rFonts w:ascii="Calibri" w:cs="Calibri" w:eastAsia="Calibri" w:hAnsi="Calibri"/>
                <w:color w:val="1f2733"/>
                <w:sz w:val="19"/>
                <w:szCs w:val="19"/>
              </w:rPr>
              <w:t xml:space="preserve">Turning on e-mail later does not send the backlog — only events raised after that are e-mailed.</w:t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pPr>
        <w:pStyle w:val="Heading1"/>
        <w:spacing w:after="120" w:before="340"/>
      </w:pPr>
      <w:r>
        <w:rPr>
          <w:rFonts w:ascii="Calibri" w:cs="Calibri" w:eastAsia="Calibri" w:hAnsi="Calibri"/>
          <w:b/>
          <w:bCs/>
          <w:color w:val="0E2841"/>
          <w:sz w:val="27"/>
          <w:szCs w:val="27"/>
        </w:rPr>
        <w:t xml:space="preserve">5. Master data</w:t>
      </w:r>
    </w:p>
    <w:p>
      <w:pPr>
        <w:spacing w:after="120" w:before="0"/>
      </w:pPr>
      <w:r>
        <w:rPr>
          <w:rFonts w:ascii="Calibri" w:cs="Calibri" w:eastAsia="Calibri" w:hAnsi="Calibri"/>
          <w:sz w:val="21"/>
          <w:szCs w:val="21"/>
        </w:rPr>
        <w:t xml:space="preserve">Manage entities, sites and TPB permit numbers. These populate the scope choices when you create users and the entity filters in reports.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Duplicates are refused (same entity code/name, same site for an entity, same permit number).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Test entries are blocked in production data — a name or code containing “TEST” / “TESTING” is rejected.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Required fields (code, name, permit number) must be filled.</w:t>
      </w:r>
    </w:p>
    <w:p>
      <w:pPr>
        <w:spacing w:after="20" w:before="80"/>
        <w:jc w:val="center"/>
      </w:pPr>
      <w:r>
        <w:drawing>
          <wp:inline distT="0" distB="0" distL="0" distR="0">
            <wp:extent cx="5943600" cy="3933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3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cs="Calibri" w:eastAsia="Calibri" w:hAnsi="Calibri"/>
          <w:i/>
          <w:iCs/>
          <w:color w:val="6B7683"/>
          <w:sz w:val="17"/>
          <w:szCs w:val="17"/>
        </w:rPr>
        <w:t xml:space="preserve">Figure 4 — Master Data.</w:t>
      </w:r>
    </w:p>
    <w:p>
      <w:pPr>
        <w:pStyle w:val="Heading1"/>
        <w:spacing w:after="120" w:before="340"/>
      </w:pPr>
      <w:r>
        <w:rPr>
          <w:rFonts w:ascii="Calibri" w:cs="Calibri" w:eastAsia="Calibri" w:hAnsi="Calibri"/>
          <w:b/>
          <w:bCs/>
          <w:color w:val="0E2841"/>
          <w:sz w:val="27"/>
          <w:szCs w:val="27"/>
        </w:rPr>
        <w:t xml:space="preserve">6. The audit log</w:t>
      </w:r>
    </w:p>
    <w:p>
      <w:pPr>
        <w:spacing w:after="120" w:before="0"/>
      </w:pPr>
      <w:r>
        <w:rPr>
          <w:rFonts w:ascii="Calibri" w:cs="Calibri" w:eastAsia="Calibri" w:hAnsi="Calibri"/>
          <w:sz w:val="21"/>
          <w:szCs w:val="21"/>
        </w:rPr>
        <w:t xml:space="preserve">A complete, tamper-evident record. Use it to answer “who did what, when”.</w:t>
      </w:r>
    </w:p>
    <w:p>
      <w:pPr>
        <w:pStyle w:val="Heading2"/>
        <w:spacing w:after="120" w:before="220"/>
      </w:pPr>
      <w:r>
        <w:rPr>
          <w:rFonts w:ascii="Calibri" w:cs="Calibri" w:eastAsia="Calibri" w:hAnsi="Calibri"/>
          <w:b/>
          <w:bCs/>
          <w:color w:val="0E2841"/>
          <w:sz w:val="21"/>
          <w:szCs w:val="21"/>
        </w:rPr>
        <w:t xml:space="preserve">6.1 What it captures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Sign-ins, including failures with the reason and source IP, and session rejections.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Report runs and exports.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Ingestion loads, duplicates and failures.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User, master-data, role-permission and notification-routing changes.</w:t>
      </w:r>
    </w:p>
    <w:p>
      <w:pPr>
        <w:pStyle w:val="Heading2"/>
        <w:spacing w:after="120" w:before="220"/>
      </w:pPr>
      <w:r>
        <w:rPr>
          <w:rFonts w:ascii="Calibri" w:cs="Calibri" w:eastAsia="Calibri" w:hAnsi="Calibri"/>
          <w:b/>
          <w:bCs/>
          <w:color w:val="0E2841"/>
          <w:sz w:val="21"/>
          <w:szCs w:val="21"/>
        </w:rPr>
        <w:t xml:space="preserve">6.2 Using it</w:t>
      </w:r>
    </w:p>
    <w:p>
      <w:pPr>
        <w:spacing w:after="70"/>
        <w:ind w:left="520" w:hanging="300"/>
      </w:pPr>
      <w:r>
        <w:rPr>
          <w:rFonts w:ascii="Calibri" w:cs="Calibri" w:eastAsia="Calibri" w:hAnsi="Calibri"/>
          <w:b/>
          <w:bCs/>
          <w:color w:val="0E2841"/>
          <w:sz w:val="21"/>
          <w:szCs w:val="21"/>
        </w:rPr>
        <w:t xml:space="preserve">1.  </w:t>
      </w:r>
      <w:r>
        <w:rPr>
          <w:rFonts w:ascii="Calibri" w:cs="Calibri" w:eastAsia="Calibri" w:hAnsi="Calibri"/>
          <w:sz w:val="21"/>
          <w:szCs w:val="21"/>
        </w:rPr>
        <w:t xml:space="preserve">Administration → Audit Log.</w:t>
      </w:r>
    </w:p>
    <w:p>
      <w:pPr>
        <w:spacing w:after="70"/>
        <w:ind w:left="520" w:hanging="300"/>
      </w:pPr>
      <w:r>
        <w:rPr>
          <w:rFonts w:ascii="Calibri" w:cs="Calibri" w:eastAsia="Calibri" w:hAnsi="Calibri"/>
          <w:b/>
          <w:bCs/>
          <w:color w:val="0E2841"/>
          <w:sz w:val="21"/>
          <w:szCs w:val="21"/>
        </w:rPr>
        <w:t xml:space="preserve">2.  </w:t>
      </w:r>
      <w:r>
        <w:rPr>
          <w:rFonts w:ascii="Calibri" w:cs="Calibri" w:eastAsia="Calibri" w:hAnsi="Calibri"/>
          <w:sz w:val="21"/>
          <w:szCs w:val="21"/>
        </w:rPr>
        <w:t xml:space="preserve">Filter by date range, actor, action, or free text.</w:t>
      </w:r>
    </w:p>
    <w:p>
      <w:pPr>
        <w:spacing w:after="70"/>
        <w:ind w:left="520" w:hanging="300"/>
      </w:pPr>
      <w:r>
        <w:rPr>
          <w:rFonts w:ascii="Calibri" w:cs="Calibri" w:eastAsia="Calibri" w:hAnsi="Calibri"/>
          <w:b/>
          <w:bCs/>
          <w:color w:val="0E2841"/>
          <w:sz w:val="21"/>
          <w:szCs w:val="21"/>
        </w:rPr>
        <w:t xml:space="preserve">3.  </w:t>
      </w:r>
      <w:r>
        <w:rPr>
          <w:rFonts w:ascii="Calibri" w:cs="Calibri" w:eastAsia="Calibri" w:hAnsi="Calibri"/>
          <w:sz w:val="21"/>
          <w:szCs w:val="21"/>
        </w:rPr>
        <w:t xml:space="preserve">Click a row to expand its full detail.</w:t>
      </w:r>
    </w:p>
    <w:p>
      <w:pPr>
        <w:spacing w:after="70"/>
        <w:ind w:left="520" w:hanging="300"/>
      </w:pPr>
      <w:r>
        <w:rPr>
          <w:rFonts w:ascii="Calibri" w:cs="Calibri" w:eastAsia="Calibri" w:hAnsi="Calibri"/>
          <w:b/>
          <w:bCs/>
          <w:color w:val="0E2841"/>
          <w:sz w:val="21"/>
          <w:szCs w:val="21"/>
        </w:rPr>
        <w:t xml:space="preserve">4.  </w:t>
      </w:r>
      <w:r>
        <w:rPr>
          <w:rFonts w:ascii="Calibri" w:cs="Calibri" w:eastAsia="Calibri" w:hAnsi="Calibri"/>
          <w:sz w:val="21"/>
          <w:szCs w:val="21"/>
        </w:rPr>
        <w:t xml:space="preserve">Export the filtered list to CSV if needed.</w:t>
      </w:r>
    </w:p>
    <w:p>
      <w:pPr>
        <w:spacing w:after="20" w:before="80"/>
        <w:jc w:val="center"/>
      </w:pPr>
      <w:r>
        <w:drawing>
          <wp:inline distT="0" distB="0" distL="0" distR="0">
            <wp:extent cx="5943600" cy="3933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3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cs="Calibri" w:eastAsia="Calibri" w:hAnsi="Calibri"/>
          <w:i/>
          <w:iCs/>
          <w:color w:val="6B7683"/>
          <w:sz w:val="17"/>
          <w:szCs w:val="17"/>
        </w:rPr>
        <w:t xml:space="preserve">Figure 5 — the Audit Log.</w:t>
      </w:r>
    </w:p>
    <w:tbl>
      <w:tblPr>
        <w:tblW w:type="dxa" w:w="9700"/>
        <w:tblBorders>
          <w:top w:val="single" w:color="BCCFE0" w:sz="2"/>
          <w:left w:val="single" w:color="2F6F9E" w:sz="12"/>
          <w:bottom w:val="single" w:color="BCCFE0" w:sz="2"/>
          <w:right w:val="single" w:color="BCCFE0" w:sz="2"/>
          <w:insideH w:val="single" w:color="auto" w:sz="4"/>
          <w:insideV w:val="single" w:color="auto" w:sz="4"/>
        </w:tblBorders>
      </w:tblPr>
      <w:tblGrid>
        <w:gridCol w:w="9700"/>
      </w:tblGrid>
      <w:tr>
        <w:tc>
          <w:tcPr>
            <w:tcW w:type="dxa" w:w="9700"/>
            <w:shd w:fill="EEF3F8" w:color="auto" w:val="clear"/>
            <w:tcMar>
              <w:top w:type="dxa" w:w="80"/>
              <w:left w:type="dxa" w:w="14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F6F9E"/>
                <w:sz w:val="19"/>
                <w:szCs w:val="19"/>
              </w:rPr>
              <w:t xml:space="preserve">ℹ  </w:t>
            </w:r>
            <w:r>
              <w:rPr>
                <w:rFonts w:ascii="Calibri" w:cs="Calibri" w:eastAsia="Calibri" w:hAnsi="Calibri"/>
                <w:color w:val="1f2733"/>
                <w:sz w:val="19"/>
                <w:szCs w:val="19"/>
              </w:rPr>
              <w:t xml:space="preserve">The trail is append-only: the database itself rejects any attempt to change or delete an audit record, including a bulk wipe. This is enforced below the application, so it holds even against direct database access.</w:t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pPr>
        <w:pStyle w:val="Heading1"/>
        <w:spacing w:after="120" w:before="340"/>
      </w:pPr>
      <w:r>
        <w:rPr>
          <w:rFonts w:ascii="Calibri" w:cs="Calibri" w:eastAsia="Calibri" w:hAnsi="Calibri"/>
          <w:b/>
          <w:bCs/>
          <w:color w:val="0E2841"/>
          <w:sz w:val="27"/>
          <w:szCs w:val="27"/>
        </w:rPr>
        <w:t xml:space="preserve">7. Operations</w:t>
      </w:r>
    </w:p>
    <w:p>
      <w:pPr>
        <w:pStyle w:val="Heading2"/>
        <w:spacing w:after="120" w:before="220"/>
      </w:pPr>
      <w:r>
        <w:rPr>
          <w:rFonts w:ascii="Calibri" w:cs="Calibri" w:eastAsia="Calibri" w:hAnsi="Calibri"/>
          <w:b/>
          <w:bCs/>
          <w:color w:val="0E2841"/>
          <w:sz w:val="21"/>
          <w:szCs w:val="21"/>
        </w:rPr>
        <w:t xml:space="preserve">7.1 Between test cycles</w:t>
      </w:r>
    </w:p>
    <w:p>
      <w:pPr>
        <w:spacing w:after="120" w:before="0"/>
      </w:pPr>
      <w:r>
        <w:rPr>
          <w:rFonts w:ascii="Calibri" w:cs="Calibri" w:eastAsia="Calibri" w:hAnsi="Calibri"/>
          <w:sz w:val="21"/>
          <w:szCs w:val="21"/>
        </w:rPr>
        <w:t xml:space="preserve">To give testers a clean slate without losing configuration, run the transaction-data reset on the database host. It clears uploaded documents, ingestion records and notification history, and keeps users, roles, notification routing, saved views and master data.</w:t>
      </w:r>
    </w:p>
    <w:p>
      <w:pPr>
        <w:spacing w:after="70"/>
        <w:ind w:left="520" w:hanging="300"/>
      </w:pPr>
      <w:r>
        <w:rPr>
          <w:rFonts w:ascii="Calibri" w:cs="Calibri" w:eastAsia="Calibri" w:hAnsi="Calibri"/>
          <w:b/>
          <w:bCs/>
          <w:color w:val="0E2841"/>
          <w:sz w:val="21"/>
          <w:szCs w:val="21"/>
        </w:rPr>
        <w:t xml:space="preserve">1.  </w:t>
      </w:r>
      <w:r>
        <w:rPr>
          <w:rFonts w:ascii="Calibri" w:cs="Calibri" w:eastAsia="Calibri" w:hAnsi="Calibri"/>
          <w:sz w:val="21"/>
          <w:szCs w:val="21"/>
        </w:rPr>
        <w:t xml:space="preserve">On the database host: cd /opt/bc-inventory/deploy/db &amp;&amp; ./reset-transaction-data.sh</w:t>
      </w:r>
    </w:p>
    <w:p>
      <w:pPr>
        <w:spacing w:after="70"/>
        <w:ind w:left="520" w:hanging="300"/>
      </w:pPr>
      <w:r>
        <w:rPr>
          <w:rFonts w:ascii="Calibri" w:cs="Calibri" w:eastAsia="Calibri" w:hAnsi="Calibri"/>
          <w:b/>
          <w:bCs/>
          <w:color w:val="0E2841"/>
          <w:sz w:val="21"/>
          <w:szCs w:val="21"/>
        </w:rPr>
        <w:t xml:space="preserve">2.  </w:t>
      </w:r>
      <w:r>
        <w:rPr>
          <w:rFonts w:ascii="Calibri" w:cs="Calibri" w:eastAsia="Calibri" w:hAnsi="Calibri"/>
          <w:sz w:val="21"/>
          <w:szCs w:val="21"/>
        </w:rPr>
        <w:t xml:space="preserve">Check the target line names the correct database, then type CLEAR.</w:t>
      </w:r>
    </w:p>
    <w:p>
      <w:pPr>
        <w:spacing w:after="70"/>
        <w:ind w:left="520" w:hanging="300"/>
      </w:pPr>
      <w:r>
        <w:rPr>
          <w:rFonts w:ascii="Calibri" w:cs="Calibri" w:eastAsia="Calibri" w:hAnsi="Calibri"/>
          <w:b/>
          <w:bCs/>
          <w:color w:val="0E2841"/>
          <w:sz w:val="21"/>
          <w:szCs w:val="21"/>
        </w:rPr>
        <w:t xml:space="preserve">3.  </w:t>
      </w:r>
      <w:r>
        <w:rPr>
          <w:rFonts w:ascii="Calibri" w:cs="Calibri" w:eastAsia="Calibri" w:hAnsi="Calibri"/>
          <w:sz w:val="21"/>
          <w:szCs w:val="21"/>
        </w:rPr>
        <w:t xml:space="preserve">Restart the API afterwards as the script instructs.</w:t>
      </w:r>
    </w:p>
    <w:p>
      <w:pPr>
        <w:pStyle w:val="Heading2"/>
        <w:spacing w:after="120" w:before="220"/>
      </w:pPr>
      <w:r>
        <w:rPr>
          <w:rFonts w:ascii="Calibri" w:cs="Calibri" w:eastAsia="Calibri" w:hAnsi="Calibri"/>
          <w:b/>
          <w:bCs/>
          <w:color w:val="0E2841"/>
          <w:sz w:val="21"/>
          <w:szCs w:val="21"/>
        </w:rPr>
        <w:t xml:space="preserve">7.2 Deploying an update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Each tier updates with deploy/update.sh {db|backend|frontend} on its host (pull, rebuild, restart).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After a frontend change, also reload the host nginx.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The application runs as a least-privilege database role that cannot change the schema. If a release changes the schema, apply it first with an owner account: DB_USER=&lt;owner&gt; DB_PASSWORD=&lt;owner-pw&gt; DB_AUTO_MIGRATE=true docker compose run --rm api --migrate, then start normally with DB_AUTO_MIGRATE=false.</w:t>
      </w:r>
    </w:p>
    <w:p>
      <w:pPr>
        <w:pStyle w:val="Heading2"/>
        <w:spacing w:after="120" w:before="220"/>
      </w:pPr>
      <w:r>
        <w:rPr>
          <w:rFonts w:ascii="Calibri" w:cs="Calibri" w:eastAsia="Calibri" w:hAnsi="Calibri"/>
          <w:b/>
          <w:bCs/>
          <w:color w:val="0E2841"/>
          <w:sz w:val="21"/>
          <w:szCs w:val="21"/>
        </w:rPr>
        <w:t xml:space="preserve">7.3 Health &amp; hardening checks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deploy/harden.sh reports on secret-file permissions, the database account, the container user and TLS; --apply tightens what it can.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deploy/scan-dependencies.sh scans the .NET and npm dependencies and the images.</w:t>
      </w:r>
    </w:p>
    <w:p>
      <w:pPr>
        <w:pStyle w:val="Heading1"/>
        <w:spacing w:after="120" w:before="340"/>
      </w:pPr>
      <w:r>
        <w:rPr>
          <w:rFonts w:ascii="Calibri" w:cs="Calibri" w:eastAsia="Calibri" w:hAnsi="Calibri"/>
          <w:b/>
          <w:bCs/>
          <w:color w:val="0E2841"/>
          <w:sz w:val="27"/>
          <w:szCs w:val="27"/>
        </w:rPr>
        <w:t xml:space="preserve">8. Security responsibilities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Rotate seeded and default passwords, including the initial administrator, to strong passphrases.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Keep the application on its least-privilege database role (bcapp_rw), not a privileged account.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Enable TLS before any production use — a ready-to-enable configuration ships with the deployment.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Review the audit log periodically, especially failed sign-ins and permission changes.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Treat any credential shared over chat or e-mail as exposed and rotate it.</w:t>
      </w:r>
    </w:p>
    <w:sectPr>
      <w:pgSz w:w="12240" w:h="15840" w:orient="portrait"/>
      <w:pgMar w:top="1100" w:right="1200" w:bottom="11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5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34568dd3f912f8225909edc43d3b7d63cf5596c.png"/><Relationship Id="rId8" Type="http://schemas.openxmlformats.org/officeDocument/2006/relationships/image" Target="media/26fa82da51ddcfdddf46327dd94dbef2fa68c4ba.png"/><Relationship Id="rId9" Type="http://schemas.openxmlformats.org/officeDocument/2006/relationships/image" Target="media/74967478d05c5753938c3724f6cd017e00b3bf8b.png"/><Relationship Id="rId10" Type="http://schemas.openxmlformats.org/officeDocument/2006/relationships/image" Target="media/77c60733c61d807481b66eebd9ad0e14cda9a4c0.png"/><Relationship Id="rId11" Type="http://schemas.openxmlformats.org/officeDocument/2006/relationships/image" Target="media/7336590f500ed4219cfcd7649580eb97be3f4733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BC Inventory Reporting System — Administrator Manual</dc:title>
  <dc:creator>BC Inventory Reporting System</dc:creator>
  <cp:lastModifiedBy>Un-named</cp:lastModifiedBy>
  <cp:revision>1</cp:revision>
  <dcterms:created xsi:type="dcterms:W3CDTF">2026-09-03T08:10:48.812Z</dcterms:created>
  <dcterms:modified xsi:type="dcterms:W3CDTF">2026-09-03T08:10:48.812Z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