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2841"/>
          <w:sz w:val="42"/>
          <w:szCs w:val="42"/>
        </w:rPr>
        <w:t xml:space="preserve">BC Inventory Reporting System</w:t>
      </w:r>
    </w:p>
    <w:p>
      <w:pPr>
        <w:spacing w:after="60"/>
      </w:pPr>
      <w:r>
        <w:rPr>
          <w:rFonts w:ascii="Calibri" w:cs="Calibri" w:eastAsia="Calibri" w:hAnsi="Calibri"/>
          <w:color w:val="B73532"/>
          <w:sz w:val="30"/>
          <w:szCs w:val="30"/>
        </w:rPr>
        <w:t xml:space="preserve">User Manual</w:t>
      </w:r>
    </w:p>
    <w:p>
      <w:pPr>
        <w:spacing w:after="260"/>
      </w:pPr>
      <w:r>
        <w:rPr>
          <w:rFonts w:ascii="Calibri" w:cs="Calibri" w:eastAsia="Calibri" w:hAnsi="Calibri"/>
          <w:i/>
          <w:iCs/>
          <w:color w:val="6B7683"/>
          <w:sz w:val="21"/>
          <w:szCs w:val="21"/>
        </w:rPr>
        <w:t xml:space="preserve">For everyday users: viewing reports, uploading files, exporting.</w:t>
      </w:r>
    </w:p>
    <w:tbl>
      <w:tblPr>
        <w:tblW w:type="dxa" w:w="9700"/>
        <w:tblBorders>
          <w:top w:val="single" w:color="D6DCE4" w:sz="2"/>
          <w:left w:val="single" w:color="D6DCE4" w:sz="2"/>
          <w:bottom w:val="single" w:color="D6DCE4" w:sz="2"/>
          <w:right w:val="single" w:color="D6DCE4" w:sz="2"/>
          <w:insideH w:val="single" w:color="D6DCE4" w:sz="2"/>
          <w:insideV w:val="single" w:color="D6DCE4" w:sz="2"/>
        </w:tblBorders>
      </w:tblPr>
      <w:tblGrid>
        <w:gridCol w:w="2600"/>
        <w:gridCol w:w="7100"/>
      </w:tblGrid>
      <w:tr>
        <w:trPr>
          <w:tblHeader/>
        </w:trPr>
        <w:tc>
          <w:tcPr>
            <w:tcW w:type="dxa" w:w="2600"/>
            <w:shd w:fill="0E2841"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Field</w:t>
            </w:r>
          </w:p>
        </w:tc>
        <w:tc>
          <w:tcPr>
            <w:tcW w:type="dxa" w:w="7100"/>
            <w:shd w:fill="0E2841"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Value</w:t>
            </w:r>
          </w:p>
        </w:tc>
      </w:tr>
      <w:tr>
        <w:tc>
          <w:tcPr>
            <w:tcW w:type="dxa" w:w="2600"/>
            <w:tcMar>
              <w:top w:type="dxa" w:w="60"/>
              <w:left w:type="dxa" w:w="100"/>
              <w:bottom w:type="dxa" w:w="60"/>
              <w:right w:type="dxa" w:w="100"/>
            </w:tcMar>
          </w:tcPr>
          <w:p>
            <w:pPr>
              <w:spacing w:after="0"/>
            </w:pPr>
            <w:r>
              <w:rPr>
                <w:rFonts w:ascii="Calibri" w:cs="Calibri" w:eastAsia="Calibri" w:hAnsi="Calibri"/>
                <w:b/>
                <w:bCs/>
                <w:sz w:val="18"/>
                <w:szCs w:val="18"/>
              </w:rPr>
              <w:t xml:space="preserve">System</w:t>
            </w:r>
          </w:p>
        </w:tc>
        <w:tc>
          <w:tcPr>
            <w:tcW w:type="dxa" w:w="7100"/>
            <w:tcMar>
              <w:top w:type="dxa" w:w="60"/>
              <w:left w:type="dxa" w:w="100"/>
              <w:bottom w:type="dxa" w:w="60"/>
              <w:right w:type="dxa" w:w="100"/>
            </w:tcMar>
          </w:tcPr>
          <w:p>
            <w:pPr>
              <w:spacing w:after="0"/>
            </w:pPr>
            <w:r>
              <w:rPr>
                <w:rFonts w:ascii="Calibri" w:cs="Calibri" w:eastAsia="Calibri" w:hAnsi="Calibri"/>
                <w:sz w:val="18"/>
                <w:szCs w:val="18"/>
              </w:rPr>
              <w:t xml:space="preserve">BC Inventory Reporting System</w:t>
            </w:r>
          </w:p>
        </w:tc>
      </w:tr>
      <w:tr>
        <w:tc>
          <w:tcPr>
            <w:tcW w:type="dxa" w:w="2600"/>
            <w:shd w:fill="F4F6F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Audience</w:t>
            </w:r>
          </w:p>
        </w:tc>
        <w:tc>
          <w:tcPr>
            <w:tcW w:type="dxa" w:w="7100"/>
            <w:shd w:fill="F4F6F9" w:color="auto" w:val="clear"/>
            <w:tcMar>
              <w:top w:type="dxa" w:w="60"/>
              <w:left w:type="dxa" w:w="100"/>
              <w:bottom w:type="dxa" w:w="60"/>
              <w:right w:type="dxa" w:w="100"/>
            </w:tcMar>
          </w:tcPr>
          <w:p>
            <w:pPr>
              <w:spacing w:after="0"/>
            </w:pPr>
            <w:r>
              <w:rPr>
                <w:rFonts w:ascii="Calibri" w:cs="Calibri" w:eastAsia="Calibri" w:hAnsi="Calibri"/>
                <w:sz w:val="18"/>
                <w:szCs w:val="18"/>
              </w:rPr>
              <w:t xml:space="preserve">Reporting users (HO / Site BC User, Data Steward, Auditor)</w:t>
            </w:r>
          </w:p>
        </w:tc>
      </w:tr>
      <w:tr>
        <w:tc>
          <w:tcPr>
            <w:tcW w:type="dxa" w:w="2600"/>
            <w:tcMar>
              <w:top w:type="dxa" w:w="60"/>
              <w:left w:type="dxa" w:w="100"/>
              <w:bottom w:type="dxa" w:w="60"/>
              <w:right w:type="dxa" w:w="100"/>
            </w:tcMar>
          </w:tcPr>
          <w:p>
            <w:pPr>
              <w:spacing w:after="0"/>
            </w:pPr>
            <w:r>
              <w:rPr>
                <w:rFonts w:ascii="Calibri" w:cs="Calibri" w:eastAsia="Calibri" w:hAnsi="Calibri"/>
                <w:b/>
                <w:bCs/>
                <w:sz w:val="18"/>
                <w:szCs w:val="18"/>
              </w:rPr>
              <w:t xml:space="preserve">Version</w:t>
            </w:r>
          </w:p>
        </w:tc>
        <w:tc>
          <w:tcPr>
            <w:tcW w:type="dxa" w:w="7100"/>
            <w:tcMar>
              <w:top w:type="dxa" w:w="60"/>
              <w:left w:type="dxa" w:w="100"/>
              <w:bottom w:type="dxa" w:w="60"/>
              <w:right w:type="dxa" w:w="100"/>
            </w:tcMar>
          </w:tcPr>
          <w:p>
            <w:pPr>
              <w:spacing w:after="0"/>
            </w:pPr>
            <w:r>
              <w:rPr>
                <w:rFonts w:ascii="Calibri" w:cs="Calibri" w:eastAsia="Calibri" w:hAnsi="Calibri"/>
                <w:sz w:val="18"/>
                <w:szCs w:val="18"/>
              </w:rPr>
              <w:t xml:space="preserve">1.0 (matches build PRD v1.3)</w:t>
            </w:r>
          </w:p>
        </w:tc>
      </w:tr>
      <w:tr>
        <w:tc>
          <w:tcPr>
            <w:tcW w:type="dxa" w:w="2600"/>
            <w:shd w:fill="F4F6F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Language</w:t>
            </w:r>
          </w:p>
        </w:tc>
        <w:tc>
          <w:tcPr>
            <w:tcW w:type="dxa" w:w="7100"/>
            <w:shd w:fill="F4F6F9" w:color="auto" w:val="clear"/>
            <w:tcMar>
              <w:top w:type="dxa" w:w="60"/>
              <w:left w:type="dxa" w:w="100"/>
              <w:bottom w:type="dxa" w:w="60"/>
              <w:right w:type="dxa" w:w="100"/>
            </w:tcMar>
          </w:tcPr>
          <w:p>
            <w:pPr>
              <w:spacing w:after="0"/>
            </w:pPr>
            <w:r>
              <w:rPr>
                <w:rFonts w:ascii="Calibri" w:cs="Calibri" w:eastAsia="Calibri" w:hAnsi="Calibri"/>
                <w:sz w:val="18"/>
                <w:szCs w:val="18"/>
              </w:rPr>
              <w:t xml:space="preserve">English</w:t>
            </w:r>
          </w:p>
        </w:tc>
      </w:tr>
    </w:tbl>
    <w:p>
      <w:r>
        <w:br w:type="page"/>
      </w:r>
    </w:p>
    <w:p>
      <w:pPr>
        <w:pStyle w:val="Heading1"/>
        <w:spacing w:after="120" w:before="340"/>
      </w:pPr>
      <w:r>
        <w:rPr>
          <w:rFonts w:ascii="Calibri" w:cs="Calibri" w:eastAsia="Calibri" w:hAnsi="Calibri"/>
          <w:b/>
          <w:bCs/>
          <w:color w:val="0E2841"/>
          <w:sz w:val="27"/>
          <w:szCs w:val="27"/>
        </w:rPr>
        <w:t xml:space="preserve">1. Getting started</w:t>
      </w:r>
    </w:p>
    <w:p>
      <w:pPr>
        <w:pStyle w:val="Heading2"/>
        <w:spacing w:after="120" w:before="220"/>
      </w:pPr>
      <w:r>
        <w:rPr>
          <w:rFonts w:ascii="Calibri" w:cs="Calibri" w:eastAsia="Calibri" w:hAnsi="Calibri"/>
          <w:b/>
          <w:bCs/>
          <w:color w:val="0E2841"/>
          <w:sz w:val="21"/>
          <w:szCs w:val="21"/>
        </w:rPr>
        <w:t xml:space="preserve">1.1 Signing in</w:t>
      </w:r>
    </w:p>
    <w:p>
      <w:pPr>
        <w:spacing w:after="120" w:before="0"/>
      </w:pPr>
      <w:r>
        <w:rPr>
          <w:rFonts w:ascii="Calibri" w:cs="Calibri" w:eastAsia="Calibri" w:hAnsi="Calibri"/>
          <w:sz w:val="21"/>
          <w:szCs w:val="21"/>
        </w:rPr>
        <w:t xml:space="preserve">Open the application address in your browser. Enter your e-mail and password and click Sign in.</w:t>
      </w:r>
    </w:p>
    <w:p>
      <w:pPr>
        <w:spacing w:after="20" w:before="8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rFonts w:ascii="Calibri" w:cs="Calibri" w:eastAsia="Calibri" w:hAnsi="Calibri"/>
          <w:i/>
          <w:iCs/>
          <w:color w:val="6B7683"/>
          <w:sz w:val="17"/>
          <w:szCs w:val="17"/>
        </w:rPr>
        <w:t xml:space="preserve">Figure 1 — the sign-in screen.</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Go to the application address given by your administrator.</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Type your e-mail and password.</w:t>
      </w:r>
    </w:p>
    <w:p>
      <w:pPr>
        <w:spacing w:after="70"/>
        <w:ind w:left="520" w:hanging="300"/>
      </w:pPr>
      <w:r>
        <w:rPr>
          <w:rFonts w:ascii="Calibri" w:cs="Calibri" w:eastAsia="Calibri" w:hAnsi="Calibri"/>
          <w:b/>
          <w:bCs/>
          <w:color w:val="0E2841"/>
          <w:sz w:val="21"/>
          <w:szCs w:val="21"/>
        </w:rPr>
        <w:t xml:space="preserve">3.  </w:t>
      </w:r>
      <w:r>
        <w:rPr>
          <w:rFonts w:ascii="Calibri" w:cs="Calibri" w:eastAsia="Calibri" w:hAnsi="Calibri"/>
          <w:sz w:val="21"/>
          <w:szCs w:val="21"/>
        </w:rPr>
        <w:t xml:space="preserve">Click Sign in.</w:t>
      </w:r>
    </w:p>
    <w:tbl>
      <w:tblPr>
        <w:tblW w:type="dxa" w:w="9700"/>
        <w:tblBorders>
          <w:top w:val="single" w:color="BCCFE0" w:sz="2"/>
          <w:left w:val="single" w:color="2F6F9E" w:sz="12"/>
          <w:bottom w:val="single" w:color="BCCFE0" w:sz="2"/>
          <w:right w:val="single" w:color="BCCFE0" w:sz="2"/>
          <w:insideH w:val="single" w:color="auto" w:sz="4"/>
          <w:insideV w:val="single" w:color="auto" w:sz="4"/>
        </w:tblBorders>
      </w:tblPr>
      <w:tblGrid>
        <w:gridCol w:w="9700"/>
      </w:tblGrid>
      <w:tr>
        <w:tc>
          <w:tcPr>
            <w:tcW w:type="dxa" w:w="9700"/>
            <w:shd w:fill="EEF3F8" w:color="auto" w:val="clear"/>
            <w:tcMar>
              <w:top w:type="dxa" w:w="80"/>
              <w:left w:type="dxa" w:w="140"/>
              <w:bottom w:type="dxa" w:w="80"/>
              <w:right w:type="dxa" w:w="120"/>
            </w:tcMar>
          </w:tcPr>
          <w:p>
            <w:r>
              <w:rPr>
                <w:rFonts w:ascii="Calibri" w:cs="Calibri" w:eastAsia="Calibri" w:hAnsi="Calibri"/>
                <w:b/>
                <w:bCs/>
                <w:color w:val="2F6F9E"/>
                <w:sz w:val="19"/>
                <w:szCs w:val="19"/>
              </w:rPr>
              <w:t xml:space="preserve">ℹ  </w:t>
            </w:r>
            <w:r>
              <w:rPr>
                <w:rFonts w:ascii="Calibri" w:cs="Calibri" w:eastAsia="Calibri" w:hAnsi="Calibri"/>
                <w:color w:val="1f2733"/>
                <w:sz w:val="19"/>
                <w:szCs w:val="19"/>
              </w:rPr>
              <w:t xml:space="preserve">If the password is wrong you will see “Invalid credentials.” After several failed attempts the account is locked for a short time — wait, then try again, or ask an administrator to reset it. The message never says whether the e-mail exists, on purpose.</w:t>
            </w:r>
          </w:p>
        </w:tc>
      </w:tr>
    </w:tbl>
    <w:p>
      <w:pPr>
        <w:spacing w:after="40" w:before="0"/>
      </w:pPr>
      <w:r>
        <w:rPr>
          <w:rFonts w:ascii="Calibri" w:cs="Calibri" w:eastAsia="Calibri" w:hAnsi="Calibri"/>
          <w:sz w:val="21"/>
          <w:szCs w:val="21"/>
        </w:rPr>
        <w:t xml:space="preserve"/>
      </w:r>
    </w:p>
    <w:p>
      <w:pPr>
        <w:pStyle w:val="Heading2"/>
        <w:spacing w:after="120" w:before="220"/>
      </w:pPr>
      <w:r>
        <w:rPr>
          <w:rFonts w:ascii="Calibri" w:cs="Calibri" w:eastAsia="Calibri" w:hAnsi="Calibri"/>
          <w:b/>
          <w:bCs/>
          <w:color w:val="0E2841"/>
          <w:sz w:val="21"/>
          <w:szCs w:val="21"/>
        </w:rPr>
        <w:t xml:space="preserve">1.2 What you can see</w:t>
      </w:r>
    </w:p>
    <w:p>
      <w:pPr>
        <w:spacing w:after="120" w:before="0"/>
      </w:pPr>
      <w:r>
        <w:rPr>
          <w:rFonts w:ascii="Calibri" w:cs="Calibri" w:eastAsia="Calibri" w:hAnsi="Calibri"/>
          <w:sz w:val="21"/>
          <w:szCs w:val="21"/>
        </w:rPr>
        <w:t xml:space="preserve">The menu on the left lists only the pages your role is allowed to use. If you are limited to one site, every figure and report you see already covers only your entity — you never see another entity’s data. If you cannot open the Dashboard, the system takes you to Reports instead.</w:t>
      </w:r>
    </w:p>
    <w:p>
      <w:pPr>
        <w:pStyle w:val="Heading2"/>
        <w:spacing w:after="120" w:before="220"/>
      </w:pPr>
      <w:r>
        <w:rPr>
          <w:rFonts w:ascii="Calibri" w:cs="Calibri" w:eastAsia="Calibri" w:hAnsi="Calibri"/>
          <w:b/>
          <w:bCs/>
          <w:color w:val="0E2841"/>
          <w:sz w:val="21"/>
          <w:szCs w:val="21"/>
        </w:rPr>
        <w:t xml:space="preserve">1.3 Signing out</w:t>
      </w:r>
    </w:p>
    <w:p>
      <w:pPr>
        <w:spacing w:after="120" w:before="0"/>
      </w:pPr>
      <w:r>
        <w:rPr>
          <w:rFonts w:ascii="Calibri" w:cs="Calibri" w:eastAsia="Calibri" w:hAnsi="Calibri"/>
          <w:sz w:val="21"/>
          <w:szCs w:val="21"/>
        </w:rPr>
        <w:t xml:space="preserve">Click Sign out at the bottom of the menu. For your security, changing your password or being disabled by an administrator also ends your session immediately, and you will be asked to sign in again.</w:t>
      </w:r>
    </w:p>
    <w:p>
      <w:pPr>
        <w:pStyle w:val="Heading1"/>
        <w:spacing w:after="120" w:before="340"/>
      </w:pPr>
      <w:r>
        <w:rPr>
          <w:rFonts w:ascii="Calibri" w:cs="Calibri" w:eastAsia="Calibri" w:hAnsi="Calibri"/>
          <w:b/>
          <w:bCs/>
          <w:color w:val="0E2841"/>
          <w:sz w:val="27"/>
          <w:szCs w:val="27"/>
        </w:rPr>
        <w:t xml:space="preserve">2. Reports and Inventory Movement</w:t>
      </w:r>
    </w:p>
    <w:p>
      <w:pPr>
        <w:spacing w:after="120" w:before="0"/>
      </w:pPr>
      <w:r>
        <w:rPr>
          <w:rFonts w:ascii="Calibri" w:cs="Calibri" w:eastAsia="Calibri" w:hAnsi="Calibri"/>
          <w:sz w:val="21"/>
          <w:szCs w:val="21"/>
        </w:rPr>
        <w:t xml:space="preserve">“Reports” holds the customs documents (BC 2.3, BC 4.0, BC 3.0, BC 2.7, BC 2.5, BC 4.1). “Inventory Movement” holds the periodic stock reports (WIP, Bahan Baku dan Bahan Penolong, Barang Jadi, Sparepart, Aset, Scraps). Both work the same way.</w:t>
      </w:r>
    </w:p>
    <w:p>
      <w:pPr>
        <w:pStyle w:val="Heading2"/>
        <w:spacing w:after="120" w:before="220"/>
      </w:pPr>
      <w:r>
        <w:rPr>
          <w:rFonts w:ascii="Calibri" w:cs="Calibri" w:eastAsia="Calibri" w:hAnsi="Calibri"/>
          <w:b/>
          <w:bCs/>
          <w:color w:val="0E2841"/>
          <w:sz w:val="21"/>
          <w:szCs w:val="21"/>
        </w:rPr>
        <w:t xml:space="preserve">2.1 Choosing a report</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Open Reports or Inventory Movement from the menu.</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Pick a report from the Report dropdown. The grid loads with its standard columns.</w:t>
      </w:r>
    </w:p>
    <w:p>
      <w:pPr>
        <w:spacing w:after="20" w:before="8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rFonts w:ascii="Calibri" w:cs="Calibri" w:eastAsia="Calibri" w:hAnsi="Calibri"/>
          <w:i/>
          <w:iCs/>
          <w:color w:val="6B7683"/>
          <w:sz w:val="17"/>
          <w:szCs w:val="17"/>
        </w:rPr>
        <w:t xml:space="preserve">Figure 2 — the Reports page: report picker, filters, and the grid.</w:t>
      </w:r>
    </w:p>
    <w:p>
      <w:pPr>
        <w:pStyle w:val="Heading2"/>
        <w:spacing w:after="120" w:before="220"/>
      </w:pPr>
      <w:r>
        <w:rPr>
          <w:rFonts w:ascii="Calibri" w:cs="Calibri" w:eastAsia="Calibri" w:hAnsi="Calibri"/>
          <w:b/>
          <w:bCs/>
          <w:color w:val="0E2841"/>
          <w:sz w:val="21"/>
          <w:szCs w:val="21"/>
        </w:rPr>
        <w:t xml:space="preserve">2.2 Filtering</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Use Entity to narrow to one entity (if you have more than one).</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Use Period From / Period To to limit by reporting period.</w:t>
      </w:r>
    </w:p>
    <w:p>
      <w:pPr>
        <w:spacing w:after="70"/>
        <w:ind w:left="520" w:hanging="300"/>
      </w:pPr>
      <w:r>
        <w:rPr>
          <w:rFonts w:ascii="Calibri" w:cs="Calibri" w:eastAsia="Calibri" w:hAnsi="Calibri"/>
          <w:b/>
          <w:bCs/>
          <w:color w:val="0E2841"/>
          <w:sz w:val="21"/>
          <w:szCs w:val="21"/>
        </w:rPr>
        <w:t xml:space="preserve">3.  </w:t>
      </w:r>
      <w:r>
        <w:rPr>
          <w:rFonts w:ascii="Calibri" w:cs="Calibri" w:eastAsia="Calibri" w:hAnsi="Calibri"/>
          <w:sz w:val="21"/>
          <w:szCs w:val="21"/>
        </w:rPr>
        <w:t xml:space="preserve">Type in Search to find a document number, supplier, or item code.</w:t>
      </w:r>
    </w:p>
    <w:tbl>
      <w:tblPr>
        <w:tblW w:type="dxa" w:w="9700"/>
        <w:tblBorders>
          <w:top w:val="single" w:color="BCCFE0" w:sz="2"/>
          <w:left w:val="single" w:color="2F6F9E" w:sz="12"/>
          <w:bottom w:val="single" w:color="BCCFE0" w:sz="2"/>
          <w:right w:val="single" w:color="BCCFE0" w:sz="2"/>
          <w:insideH w:val="single" w:color="auto" w:sz="4"/>
          <w:insideV w:val="single" w:color="auto" w:sz="4"/>
        </w:tblBorders>
      </w:tblPr>
      <w:tblGrid>
        <w:gridCol w:w="9700"/>
      </w:tblGrid>
      <w:tr>
        <w:tc>
          <w:tcPr>
            <w:tcW w:type="dxa" w:w="9700"/>
            <w:shd w:fill="EEF3F8" w:color="auto" w:val="clear"/>
            <w:tcMar>
              <w:top w:type="dxa" w:w="80"/>
              <w:left w:type="dxa" w:w="140"/>
              <w:bottom w:type="dxa" w:w="80"/>
              <w:right w:type="dxa" w:w="120"/>
            </w:tcMar>
          </w:tcPr>
          <w:p>
            <w:r>
              <w:rPr>
                <w:rFonts w:ascii="Calibri" w:cs="Calibri" w:eastAsia="Calibri" w:hAnsi="Calibri"/>
                <w:b/>
                <w:bCs/>
                <w:color w:val="2F6F9E"/>
                <w:sz w:val="19"/>
                <w:szCs w:val="19"/>
              </w:rPr>
              <w:t xml:space="preserve">ℹ  </w:t>
            </w:r>
            <w:r>
              <w:rPr>
                <w:rFonts w:ascii="Calibri" w:cs="Calibri" w:eastAsia="Calibri" w:hAnsi="Calibri"/>
                <w:color w:val="1f2733"/>
                <w:sz w:val="19"/>
                <w:szCs w:val="19"/>
              </w:rPr>
              <w:t xml:space="preserve">If Period From is later than Period To, the result is simply empty — this is not an error.</w:t>
            </w:r>
          </w:p>
        </w:tc>
      </w:tr>
    </w:tbl>
    <w:p>
      <w:pPr>
        <w:spacing w:after="40" w:before="0"/>
      </w:pPr>
      <w:r>
        <w:rPr>
          <w:rFonts w:ascii="Calibri" w:cs="Calibri" w:eastAsia="Calibri" w:hAnsi="Calibri"/>
          <w:sz w:val="21"/>
          <w:szCs w:val="21"/>
        </w:rPr>
        <w:t xml:space="preserve"/>
      </w:r>
    </w:p>
    <w:p>
      <w:pPr>
        <w:pStyle w:val="Heading2"/>
        <w:spacing w:after="120" w:before="220"/>
      </w:pPr>
      <w:r>
        <w:rPr>
          <w:rFonts w:ascii="Calibri" w:cs="Calibri" w:eastAsia="Calibri" w:hAnsi="Calibri"/>
          <w:b/>
          <w:bCs/>
          <w:color w:val="0E2841"/>
          <w:sz w:val="21"/>
          <w:szCs w:val="21"/>
        </w:rPr>
        <w:t xml:space="preserve">2.3 Choosing and arranging columns</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Click ⚙ Columns to open the column chooser.</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Tick a field to show it, untick to hide it.</w:t>
      </w:r>
    </w:p>
    <w:p>
      <w:pPr>
        <w:spacing w:after="70"/>
        <w:ind w:left="520" w:hanging="300"/>
      </w:pPr>
      <w:r>
        <w:rPr>
          <w:rFonts w:ascii="Calibri" w:cs="Calibri" w:eastAsia="Calibri" w:hAnsi="Calibri"/>
          <w:b/>
          <w:bCs/>
          <w:color w:val="0E2841"/>
          <w:sz w:val="21"/>
          <w:szCs w:val="21"/>
        </w:rPr>
        <w:t xml:space="preserve">3.  </w:t>
      </w:r>
      <w:r>
        <w:rPr>
          <w:rFonts w:ascii="Calibri" w:cs="Calibri" w:eastAsia="Calibri" w:hAnsi="Calibri"/>
          <w:sz w:val="21"/>
          <w:szCs w:val="21"/>
        </w:rPr>
        <w:t xml:space="preserve">Use the up/down controls beside a field to change the column order.</w:t>
      </w:r>
    </w:p>
    <w:p>
      <w:pPr>
        <w:spacing w:after="70"/>
        <w:ind w:left="520" w:hanging="300"/>
      </w:pPr>
      <w:r>
        <w:rPr>
          <w:rFonts w:ascii="Calibri" w:cs="Calibri" w:eastAsia="Calibri" w:hAnsi="Calibri"/>
          <w:b/>
          <w:bCs/>
          <w:color w:val="0E2841"/>
          <w:sz w:val="21"/>
          <w:szCs w:val="21"/>
        </w:rPr>
        <w:t xml:space="preserve">4.  </w:t>
      </w:r>
      <w:r>
        <w:rPr>
          <w:rFonts w:ascii="Calibri" w:cs="Calibri" w:eastAsia="Calibri" w:hAnsi="Calibri"/>
          <w:sz w:val="21"/>
          <w:szCs w:val="21"/>
        </w:rPr>
        <w:t xml:space="preserve">Click a column heading to sort; click again to reverse. Hold Shift and click a second heading to sort by more than one column.</w:t>
      </w:r>
    </w:p>
    <w:tbl>
      <w:tblPr>
        <w:tblW w:type="dxa" w:w="9700"/>
        <w:tblBorders>
          <w:top w:val="single" w:color="BCCFE0" w:sz="2"/>
          <w:left w:val="single" w:color="2F6F9E" w:sz="12"/>
          <w:bottom w:val="single" w:color="BCCFE0" w:sz="2"/>
          <w:right w:val="single" w:color="BCCFE0" w:sz="2"/>
          <w:insideH w:val="single" w:color="auto" w:sz="4"/>
          <w:insideV w:val="single" w:color="auto" w:sz="4"/>
        </w:tblBorders>
      </w:tblPr>
      <w:tblGrid>
        <w:gridCol w:w="9700"/>
      </w:tblGrid>
      <w:tr>
        <w:tc>
          <w:tcPr>
            <w:tcW w:type="dxa" w:w="9700"/>
            <w:shd w:fill="EEF3F8" w:color="auto" w:val="clear"/>
            <w:tcMar>
              <w:top w:type="dxa" w:w="80"/>
              <w:left w:type="dxa" w:w="140"/>
              <w:bottom w:type="dxa" w:w="80"/>
              <w:right w:type="dxa" w:w="120"/>
            </w:tcMar>
          </w:tcPr>
          <w:p>
            <w:r>
              <w:rPr>
                <w:rFonts w:ascii="Calibri" w:cs="Calibri" w:eastAsia="Calibri" w:hAnsi="Calibri"/>
                <w:b/>
                <w:bCs/>
                <w:color w:val="2F6F9E"/>
                <w:sz w:val="19"/>
                <w:szCs w:val="19"/>
              </w:rPr>
              <w:t xml:space="preserve">ℹ  </w:t>
            </w:r>
            <w:r>
              <w:rPr>
                <w:rFonts w:ascii="Calibri" w:cs="Calibri" w:eastAsia="Calibri" w:hAnsi="Calibri"/>
                <w:color w:val="1f2733"/>
                <w:sz w:val="19"/>
                <w:szCs w:val="19"/>
              </w:rPr>
              <w:t xml:space="preserve">Hover over a column heading to see the exact field name from the uploaded file.</w:t>
            </w:r>
          </w:p>
        </w:tc>
      </w:tr>
    </w:tbl>
    <w:p>
      <w:pPr>
        <w:spacing w:after="40" w:before="0"/>
      </w:pPr>
      <w:r>
        <w:rPr>
          <w:rFonts w:ascii="Calibri" w:cs="Calibri" w:eastAsia="Calibri" w:hAnsi="Calibri"/>
          <w:sz w:val="21"/>
          <w:szCs w:val="21"/>
        </w:rPr>
        <w:t xml:space="preserve"/>
      </w:r>
    </w:p>
    <w:p>
      <w:pPr>
        <w:spacing w:after="20" w:before="8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rFonts w:ascii="Calibri" w:cs="Calibri" w:eastAsia="Calibri" w:hAnsi="Calibri"/>
          <w:i/>
          <w:iCs/>
          <w:color w:val="6B7683"/>
          <w:sz w:val="17"/>
          <w:szCs w:val="17"/>
        </w:rPr>
        <w:t xml:space="preserve">Figure 3 — the column chooser: tick to show or hide, use the arrows to reorder.</w:t>
      </w:r>
    </w:p>
    <w:p>
      <w:pPr>
        <w:pStyle w:val="Heading2"/>
        <w:spacing w:after="120" w:before="220"/>
      </w:pPr>
      <w:r>
        <w:rPr>
          <w:rFonts w:ascii="Calibri" w:cs="Calibri" w:eastAsia="Calibri" w:hAnsi="Calibri"/>
          <w:b/>
          <w:bCs/>
          <w:color w:val="0E2841"/>
          <w:sz w:val="21"/>
          <w:szCs w:val="21"/>
        </w:rPr>
        <w:t xml:space="preserve">2.4 Saving a layout (views)</w:t>
      </w:r>
    </w:p>
    <w:p>
      <w:pPr>
        <w:spacing w:after="120" w:before="0"/>
      </w:pPr>
      <w:r>
        <w:rPr>
          <w:rFonts w:ascii="Calibri" w:cs="Calibri" w:eastAsia="Calibri" w:hAnsi="Calibri"/>
          <w:sz w:val="21"/>
          <w:szCs w:val="21"/>
        </w:rPr>
        <w:t xml:space="preserve">When you have the columns, order and sort you like, click + View, give it a name and save it. You can re-apply it later from the views list. Your layout is also remembered automatically per report. You can only see and delete your own views.</w:t>
      </w:r>
    </w:p>
    <w:p>
      <w:pPr>
        <w:pStyle w:val="Heading2"/>
        <w:spacing w:after="120" w:before="220"/>
      </w:pPr>
      <w:r>
        <w:rPr>
          <w:rFonts w:ascii="Calibri" w:cs="Calibri" w:eastAsia="Calibri" w:hAnsi="Calibri"/>
          <w:b/>
          <w:bCs/>
          <w:color w:val="0E2841"/>
          <w:sz w:val="21"/>
          <w:szCs w:val="21"/>
        </w:rPr>
        <w:t xml:space="preserve">2.5 Reading the numbers</w:t>
      </w:r>
    </w:p>
    <w:p>
      <w:pPr>
        <w:spacing w:after="120" w:before="0"/>
      </w:pPr>
      <w:r>
        <w:rPr>
          <w:rFonts w:ascii="Calibri" w:cs="Calibri" w:eastAsia="Calibri" w:hAnsi="Calibri"/>
          <w:sz w:val="21"/>
          <w:szCs w:val="21"/>
        </w:rPr>
        <w:t xml:space="preserve">Numbers use Indonesian format — “.” separates thousands and “,” separates decimals (for example 8.201,657). Dates are shown in Indonesian format. Quantities keep their full precision and are never rounded.</w:t>
      </w:r>
    </w:p>
    <w:p>
      <w:pPr>
        <w:pStyle w:val="Heading1"/>
        <w:spacing w:after="120" w:before="340"/>
      </w:pPr>
      <w:r>
        <w:rPr>
          <w:rFonts w:ascii="Calibri" w:cs="Calibri" w:eastAsia="Calibri" w:hAnsi="Calibri"/>
          <w:b/>
          <w:bCs/>
          <w:color w:val="0E2841"/>
          <w:sz w:val="27"/>
          <w:szCs w:val="27"/>
        </w:rPr>
        <w:t xml:space="preserve">3. The Aset / Sparepart reports</w:t>
      </w:r>
    </w:p>
    <w:p>
      <w:pPr>
        <w:spacing w:after="120" w:before="0"/>
      </w:pPr>
      <w:r>
        <w:rPr>
          <w:rFonts w:ascii="Calibri" w:cs="Calibri" w:eastAsia="Calibri" w:hAnsi="Calibri"/>
          <w:sz w:val="21"/>
          <w:szCs w:val="21"/>
        </w:rPr>
        <w:t xml:space="preserve">You upload one “Laporan Aset dan Sparepart” file, but you read it as separate reports, split automatically by the Kode Barang:</w:t>
      </w:r>
    </w:p>
    <w:tbl>
      <w:tblPr>
        <w:tblW w:type="dxa" w:w="9700"/>
        <w:tblBorders>
          <w:top w:val="single" w:color="D6DCE4" w:sz="2"/>
          <w:left w:val="single" w:color="D6DCE4" w:sz="2"/>
          <w:bottom w:val="single" w:color="D6DCE4" w:sz="2"/>
          <w:right w:val="single" w:color="D6DCE4" w:sz="2"/>
          <w:insideH w:val="single" w:color="D6DCE4" w:sz="2"/>
          <w:insideV w:val="single" w:color="D6DCE4" w:sz="2"/>
        </w:tblBorders>
      </w:tblPr>
      <w:tblGrid>
        <w:gridCol w:w="4300"/>
        <w:gridCol w:w="5400"/>
      </w:tblGrid>
      <w:tr>
        <w:trPr>
          <w:tblHeader/>
        </w:trPr>
        <w:tc>
          <w:tcPr>
            <w:tcW w:type="dxa" w:w="4300"/>
            <w:shd w:fill="0E2841"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Report</w:t>
            </w:r>
          </w:p>
        </w:tc>
        <w:tc>
          <w:tcPr>
            <w:tcW w:type="dxa" w:w="5400"/>
            <w:shd w:fill="0E2841"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Contains</w:t>
            </w:r>
          </w:p>
        </w:tc>
      </w:tr>
      <w:tr>
        <w:tc>
          <w:tcPr>
            <w:tcW w:type="dxa" w:w="4300"/>
            <w:tcMar>
              <w:top w:type="dxa" w:w="60"/>
              <w:left w:type="dxa" w:w="100"/>
              <w:bottom w:type="dxa" w:w="60"/>
              <w:right w:type="dxa" w:w="100"/>
            </w:tcMar>
          </w:tcPr>
          <w:p>
            <w:pPr>
              <w:spacing w:after="0"/>
            </w:pPr>
            <w:r>
              <w:rPr>
                <w:rFonts w:ascii="Calibri" w:cs="Calibri" w:eastAsia="Calibri" w:hAnsi="Calibri"/>
                <w:b/>
                <w:bCs/>
                <w:sz w:val="18"/>
                <w:szCs w:val="18"/>
              </w:rPr>
              <w:t xml:space="preserve">Laporan Sparepart</w:t>
            </w:r>
          </w:p>
        </w:tc>
        <w:tc>
          <w:tcPr>
            <w:tcW w:type="dxa" w:w="5400"/>
            <w:tcMar>
              <w:top w:type="dxa" w:w="60"/>
              <w:left w:type="dxa" w:w="100"/>
              <w:bottom w:type="dxa" w:w="60"/>
              <w:right w:type="dxa" w:w="100"/>
            </w:tcMar>
          </w:tcPr>
          <w:p>
            <w:pPr>
              <w:spacing w:after="0"/>
            </w:pPr>
            <w:r>
              <w:rPr>
                <w:rFonts w:ascii="Calibri" w:cs="Calibri" w:eastAsia="Calibri" w:hAnsi="Calibri"/>
                <w:sz w:val="18"/>
                <w:szCs w:val="18"/>
              </w:rPr>
              <w:t xml:space="preserve">Kode Barang starting with 9, except 912</w:t>
            </w:r>
          </w:p>
        </w:tc>
      </w:tr>
      <w:tr>
        <w:tc>
          <w:tcPr>
            <w:tcW w:type="dxa" w:w="4300"/>
            <w:shd w:fill="F4F6F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Laporan Aset</w:t>
            </w:r>
          </w:p>
        </w:tc>
        <w:tc>
          <w:tcPr>
            <w:tcW w:type="dxa" w:w="5400"/>
            <w:shd w:fill="F4F6F9" w:color="auto" w:val="clear"/>
            <w:tcMar>
              <w:top w:type="dxa" w:w="60"/>
              <w:left w:type="dxa" w:w="100"/>
              <w:bottom w:type="dxa" w:w="60"/>
              <w:right w:type="dxa" w:w="100"/>
            </w:tcMar>
          </w:tcPr>
          <w:p>
            <w:pPr>
              <w:spacing w:after="0"/>
            </w:pPr>
            <w:r>
              <w:rPr>
                <w:rFonts w:ascii="Calibri" w:cs="Calibri" w:eastAsia="Calibri" w:hAnsi="Calibri"/>
                <w:sz w:val="18"/>
                <w:szCs w:val="18"/>
              </w:rPr>
              <w:t xml:space="preserve">Kode Barang not starting with 9 (including a row with no code)</w:t>
            </w:r>
          </w:p>
        </w:tc>
      </w:tr>
      <w:tr>
        <w:tc>
          <w:tcPr>
            <w:tcW w:type="dxa" w:w="4300"/>
            <w:tcMar>
              <w:top w:type="dxa" w:w="60"/>
              <w:left w:type="dxa" w:w="100"/>
              <w:bottom w:type="dxa" w:w="60"/>
              <w:right w:type="dxa" w:w="100"/>
            </w:tcMar>
          </w:tcPr>
          <w:p>
            <w:pPr>
              <w:spacing w:after="0"/>
            </w:pPr>
            <w:r>
              <w:rPr>
                <w:rFonts w:ascii="Calibri" w:cs="Calibri" w:eastAsia="Calibri" w:hAnsi="Calibri"/>
                <w:b/>
                <w:bCs/>
                <w:sz w:val="18"/>
                <w:szCs w:val="18"/>
              </w:rPr>
              <w:t xml:space="preserve">Laporan Bahan Baku dan Bahan Penolong</w:t>
            </w:r>
          </w:p>
        </w:tc>
        <w:tc>
          <w:tcPr>
            <w:tcW w:type="dxa" w:w="5400"/>
            <w:tcMar>
              <w:top w:type="dxa" w:w="60"/>
              <w:left w:type="dxa" w:w="100"/>
              <w:bottom w:type="dxa" w:w="60"/>
              <w:right w:type="dxa" w:w="100"/>
            </w:tcMar>
          </w:tcPr>
          <w:p>
            <w:pPr>
              <w:spacing w:after="0"/>
            </w:pPr>
            <w:r>
              <w:rPr>
                <w:rFonts w:ascii="Calibri" w:cs="Calibri" w:eastAsia="Calibri" w:hAnsi="Calibri"/>
                <w:sz w:val="18"/>
                <w:szCs w:val="18"/>
              </w:rPr>
              <w:t xml:space="preserve">Kode Barang starting with 912 (bahan penolong), shown together with the Bahan Baku file’s own rows</w:t>
            </w:r>
          </w:p>
        </w:tc>
      </w:tr>
    </w:tbl>
    <w:tbl>
      <w:tblPr>
        <w:tblW w:type="dxa" w:w="9700"/>
        <w:tblBorders>
          <w:top w:val="single" w:color="BCCFE0" w:sz="2"/>
          <w:left w:val="single" w:color="2F6F9E" w:sz="12"/>
          <w:bottom w:val="single" w:color="BCCFE0" w:sz="2"/>
          <w:right w:val="single" w:color="BCCFE0" w:sz="2"/>
          <w:insideH w:val="single" w:color="auto" w:sz="4"/>
          <w:insideV w:val="single" w:color="auto" w:sz="4"/>
        </w:tblBorders>
      </w:tblPr>
      <w:tblGrid>
        <w:gridCol w:w="9700"/>
      </w:tblGrid>
      <w:tr>
        <w:tc>
          <w:tcPr>
            <w:tcW w:type="dxa" w:w="9700"/>
            <w:shd w:fill="EEF3F8" w:color="auto" w:val="clear"/>
            <w:tcMar>
              <w:top w:type="dxa" w:w="80"/>
              <w:left w:type="dxa" w:w="140"/>
              <w:bottom w:type="dxa" w:w="80"/>
              <w:right w:type="dxa" w:w="120"/>
            </w:tcMar>
          </w:tcPr>
          <w:p>
            <w:r>
              <w:rPr>
                <w:rFonts w:ascii="Calibri" w:cs="Calibri" w:eastAsia="Calibri" w:hAnsi="Calibri"/>
                <w:b/>
                <w:bCs/>
                <w:color w:val="2F6F9E"/>
                <w:sz w:val="19"/>
                <w:szCs w:val="19"/>
              </w:rPr>
              <w:t xml:space="preserve">ℹ  </w:t>
            </w:r>
            <w:r>
              <w:rPr>
                <w:rFonts w:ascii="Calibri" w:cs="Calibri" w:eastAsia="Calibri" w:hAnsi="Calibri"/>
                <w:color w:val="1f2733"/>
                <w:sz w:val="19"/>
                <w:szCs w:val="19"/>
              </w:rPr>
              <w:t xml:space="preserve">“Laporan Aset dan Sparepart” itself is only an upload template — you will not find it in the report list to browse. If Laporan Aset looks empty, it simply means every item in your file is a 9xx sparepart code.</w:t>
            </w:r>
          </w:p>
        </w:tc>
      </w:tr>
    </w:tbl>
    <w:p>
      <w:pPr>
        <w:spacing w:after="40" w:before="0"/>
      </w:pPr>
      <w:r>
        <w:rPr>
          <w:rFonts w:ascii="Calibri" w:cs="Calibri" w:eastAsia="Calibri" w:hAnsi="Calibri"/>
          <w:sz w:val="21"/>
          <w:szCs w:val="21"/>
        </w:rPr>
        <w:t xml:space="preserve"/>
      </w:r>
    </w:p>
    <w:p>
      <w:pPr>
        <w:spacing w:after="20" w:before="8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rFonts w:ascii="Calibri" w:cs="Calibri" w:eastAsia="Calibri" w:hAnsi="Calibri"/>
          <w:i/>
          <w:iCs/>
          <w:color w:val="6B7683"/>
          <w:sz w:val="17"/>
          <w:szCs w:val="17"/>
        </w:rPr>
        <w:t xml:space="preserve">Figure 4 — Laporan Sparepart in Inventory Movement.</w:t>
      </w:r>
    </w:p>
    <w:p>
      <w:pPr>
        <w:pStyle w:val="Heading1"/>
        <w:spacing w:after="120" w:before="340"/>
      </w:pPr>
      <w:r>
        <w:rPr>
          <w:rFonts w:ascii="Calibri" w:cs="Calibri" w:eastAsia="Calibri" w:hAnsi="Calibri"/>
          <w:b/>
          <w:bCs/>
          <w:color w:val="0E2841"/>
          <w:sz w:val="27"/>
          <w:szCs w:val="27"/>
        </w:rPr>
        <w:t xml:space="preserve">4. Uploading a file</w:t>
      </w:r>
    </w:p>
    <w:p>
      <w:pPr>
        <w:spacing w:after="120" w:before="0"/>
      </w:pPr>
      <w:r>
        <w:rPr>
          <w:rFonts w:ascii="Calibri" w:cs="Calibri" w:eastAsia="Calibri" w:hAnsi="Calibri"/>
          <w:sz w:val="21"/>
          <w:szCs w:val="21"/>
        </w:rPr>
        <w:t xml:space="preserve">The Ingestion &amp; Upload page (if your role allows it) lists every report template, its expected columns, and how many rows are loaded.</w:t>
      </w:r>
    </w:p>
    <w:p>
      <w:pPr>
        <w:pStyle w:val="Heading2"/>
        <w:spacing w:after="120" w:before="220"/>
      </w:pPr>
      <w:r>
        <w:rPr>
          <w:rFonts w:ascii="Calibri" w:cs="Calibri" w:eastAsia="Calibri" w:hAnsi="Calibri"/>
          <w:b/>
          <w:bCs/>
          <w:color w:val="0E2841"/>
          <w:sz w:val="21"/>
          <w:szCs w:val="21"/>
        </w:rPr>
        <w:t xml:space="preserve">4.1 Getting a blank template</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Open Ingestion &amp; Upload.</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Find the report you want and click the ⭳ .xlsx button to download a blank template.</w:t>
      </w:r>
    </w:p>
    <w:p>
      <w:pPr>
        <w:spacing w:after="70"/>
        <w:ind w:left="520" w:hanging="300"/>
      </w:pPr>
      <w:r>
        <w:rPr>
          <w:rFonts w:ascii="Calibri" w:cs="Calibri" w:eastAsia="Calibri" w:hAnsi="Calibri"/>
          <w:b/>
          <w:bCs/>
          <w:color w:val="0E2841"/>
          <w:sz w:val="21"/>
          <w:szCs w:val="21"/>
        </w:rPr>
        <w:t xml:space="preserve">3.  </w:t>
      </w:r>
      <w:r>
        <w:rPr>
          <w:rFonts w:ascii="Calibri" w:cs="Calibri" w:eastAsia="Calibri" w:hAnsi="Calibri"/>
          <w:sz w:val="21"/>
          <w:szCs w:val="21"/>
        </w:rPr>
        <w:t xml:space="preserve">The file has the exact column headings, plus a “Petunjuk” sheet explaining each column.</w:t>
      </w:r>
    </w:p>
    <w:p>
      <w:pPr>
        <w:spacing w:after="20" w:before="8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rFonts w:ascii="Calibri" w:cs="Calibri" w:eastAsia="Calibri" w:hAnsi="Calibri"/>
          <w:i/>
          <w:iCs/>
          <w:color w:val="6B7683"/>
          <w:sz w:val="17"/>
          <w:szCs w:val="17"/>
        </w:rPr>
        <w:t xml:space="preserve">Figure 5 — the Ingestion &amp; Upload page, with a blank-template download per report.</w:t>
      </w:r>
    </w:p>
    <w:p>
      <w:pPr>
        <w:pStyle w:val="Heading2"/>
        <w:spacing w:after="120" w:before="220"/>
      </w:pPr>
      <w:r>
        <w:rPr>
          <w:rFonts w:ascii="Calibri" w:cs="Calibri" w:eastAsia="Calibri" w:hAnsi="Calibri"/>
          <w:b/>
          <w:bCs/>
          <w:color w:val="0E2841"/>
          <w:sz w:val="21"/>
          <w:szCs w:val="21"/>
        </w:rPr>
        <w:t xml:space="preserve">4.2 Filling it in</w:t>
      </w:r>
    </w:p>
    <w:p>
      <w:pPr>
        <w:pStyle w:val="ListParagraph"/>
        <w:numPr>
          <w:ilvl w:val="0"/>
          <w:numId w:val="2"/>
        </w:numPr>
        <w:spacing w:after="60"/>
      </w:pPr>
      <w:r>
        <w:rPr>
          <w:rFonts w:ascii="Calibri" w:cs="Calibri" w:eastAsia="Calibri" w:hAnsi="Calibri"/>
          <w:sz w:val="21"/>
          <w:szCs w:val="21"/>
        </w:rPr>
        <w:t xml:space="preserve">Keep the heading row as it is. You may reorder columns — they are matched by their heading text, not their position.</w:t>
      </w:r>
    </w:p>
    <w:p>
      <w:pPr>
        <w:pStyle w:val="ListParagraph"/>
        <w:numPr>
          <w:ilvl w:val="0"/>
          <w:numId w:val="2"/>
        </w:numPr>
        <w:spacing w:after="60"/>
      </w:pPr>
      <w:r>
        <w:rPr>
          <w:rFonts w:ascii="Calibri" w:cs="Calibri" w:eastAsia="Calibri" w:hAnsi="Calibri"/>
          <w:sz w:val="21"/>
          <w:szCs w:val="21"/>
        </w:rPr>
        <w:t xml:space="preserve">Enter dates and numbers in the format shown in the Petunjuk sheet.</w:t>
      </w:r>
    </w:p>
    <w:p>
      <w:pPr>
        <w:pStyle w:val="ListParagraph"/>
        <w:numPr>
          <w:ilvl w:val="0"/>
          <w:numId w:val="2"/>
        </w:numPr>
        <w:spacing w:after="60"/>
      </w:pPr>
      <w:r>
        <w:rPr>
          <w:rFonts w:ascii="Calibri" w:cs="Calibri" w:eastAsia="Calibri" w:hAnsi="Calibri"/>
          <w:sz w:val="21"/>
          <w:szCs w:val="21"/>
        </w:rPr>
        <w:t xml:space="preserve">The five movement templates start with a Tanggal Transaksi column — fill in the transaction date.</w:t>
      </w:r>
    </w:p>
    <w:p>
      <w:pPr>
        <w:pStyle w:val="Heading2"/>
        <w:spacing w:after="120" w:before="220"/>
      </w:pPr>
      <w:r>
        <w:rPr>
          <w:rFonts w:ascii="Calibri" w:cs="Calibri" w:eastAsia="Calibri" w:hAnsi="Calibri"/>
          <w:b/>
          <w:bCs/>
          <w:color w:val="0E2841"/>
          <w:sz w:val="21"/>
          <w:szCs w:val="21"/>
        </w:rPr>
        <w:t xml:space="preserve">4.3 Uploading</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On Ingestion &amp; Upload, choose your file and upload it.</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The system identifies the template from the column headings automatically.</w:t>
      </w:r>
    </w:p>
    <w:p>
      <w:pPr>
        <w:spacing w:after="70"/>
        <w:ind w:left="520" w:hanging="300"/>
      </w:pPr>
      <w:r>
        <w:rPr>
          <w:rFonts w:ascii="Calibri" w:cs="Calibri" w:eastAsia="Calibri" w:hAnsi="Calibri"/>
          <w:b/>
          <w:bCs/>
          <w:color w:val="0E2841"/>
          <w:sz w:val="21"/>
          <w:szCs w:val="21"/>
        </w:rPr>
        <w:t xml:space="preserve">3.  </w:t>
      </w:r>
      <w:r>
        <w:rPr>
          <w:rFonts w:ascii="Calibri" w:cs="Calibri" w:eastAsia="Calibri" w:hAnsi="Calibri"/>
          <w:sz w:val="21"/>
          <w:szCs w:val="21"/>
        </w:rPr>
        <w:t xml:space="preserve">When it loads, you see how many rows were accepted.</w:t>
      </w:r>
    </w:p>
    <w:p>
      <w:pPr>
        <w:pStyle w:val="Heading2"/>
        <w:spacing w:after="120" w:before="220"/>
      </w:pPr>
      <w:r>
        <w:rPr>
          <w:rFonts w:ascii="Calibri" w:cs="Calibri" w:eastAsia="Calibri" w:hAnsi="Calibri"/>
          <w:b/>
          <w:bCs/>
          <w:color w:val="0E2841"/>
          <w:sz w:val="21"/>
          <w:szCs w:val="21"/>
        </w:rPr>
        <w:t xml:space="preserve">4.4 What can happen</w:t>
      </w:r>
    </w:p>
    <w:tbl>
      <w:tblPr>
        <w:tblW w:type="dxa" w:w="9700"/>
        <w:tblBorders>
          <w:top w:val="single" w:color="D6DCE4" w:sz="2"/>
          <w:left w:val="single" w:color="D6DCE4" w:sz="2"/>
          <w:bottom w:val="single" w:color="D6DCE4" w:sz="2"/>
          <w:right w:val="single" w:color="D6DCE4" w:sz="2"/>
          <w:insideH w:val="single" w:color="D6DCE4" w:sz="2"/>
          <w:insideV w:val="single" w:color="D6DCE4" w:sz="2"/>
        </w:tblBorders>
      </w:tblPr>
      <w:tblGrid>
        <w:gridCol w:w="4300"/>
        <w:gridCol w:w="5400"/>
      </w:tblGrid>
      <w:tr>
        <w:trPr>
          <w:tblHeader/>
        </w:trPr>
        <w:tc>
          <w:tcPr>
            <w:tcW w:type="dxa" w:w="4300"/>
            <w:shd w:fill="0E2841"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Result</w:t>
            </w:r>
          </w:p>
        </w:tc>
        <w:tc>
          <w:tcPr>
            <w:tcW w:type="dxa" w:w="5400"/>
            <w:shd w:fill="0E2841"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What it means</w:t>
            </w:r>
          </w:p>
        </w:tc>
      </w:tr>
      <w:tr>
        <w:tc>
          <w:tcPr>
            <w:tcW w:type="dxa" w:w="4300"/>
            <w:tcMar>
              <w:top w:type="dxa" w:w="60"/>
              <w:left w:type="dxa" w:w="100"/>
              <w:bottom w:type="dxa" w:w="60"/>
              <w:right w:type="dxa" w:w="100"/>
            </w:tcMar>
          </w:tcPr>
          <w:p>
            <w:pPr>
              <w:spacing w:after="0"/>
            </w:pPr>
            <w:r>
              <w:rPr>
                <w:rFonts w:ascii="Calibri" w:cs="Calibri" w:eastAsia="Calibri" w:hAnsi="Calibri"/>
                <w:b/>
                <w:bCs/>
                <w:sz w:val="18"/>
                <w:szCs w:val="18"/>
              </w:rPr>
              <w:t xml:space="preserve">Loaded</w:t>
            </w:r>
          </w:p>
        </w:tc>
        <w:tc>
          <w:tcPr>
            <w:tcW w:type="dxa" w:w="5400"/>
            <w:tcMar>
              <w:top w:type="dxa" w:w="60"/>
              <w:left w:type="dxa" w:w="100"/>
              <w:bottom w:type="dxa" w:w="60"/>
              <w:right w:type="dxa" w:w="100"/>
            </w:tcMar>
          </w:tcPr>
          <w:p>
            <w:pPr>
              <w:spacing w:after="0"/>
            </w:pPr>
            <w:r>
              <w:rPr>
                <w:rFonts w:ascii="Calibri" w:cs="Calibri" w:eastAsia="Calibri" w:hAnsi="Calibri"/>
                <w:sz w:val="18"/>
                <w:szCs w:val="18"/>
              </w:rPr>
              <w:t xml:space="preserve">The file was recognised and all rows were accepted.</w:t>
            </w:r>
          </w:p>
        </w:tc>
      </w:tr>
      <w:tr>
        <w:tc>
          <w:tcPr>
            <w:tcW w:type="dxa" w:w="4300"/>
            <w:shd w:fill="F4F6F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Partial + quarantined</w:t>
            </w:r>
          </w:p>
        </w:tc>
        <w:tc>
          <w:tcPr>
            <w:tcW w:type="dxa" w:w="5400"/>
            <w:shd w:fill="F4F6F9" w:color="auto" w:val="clear"/>
            <w:tcMar>
              <w:top w:type="dxa" w:w="60"/>
              <w:left w:type="dxa" w:w="100"/>
              <w:bottom w:type="dxa" w:w="60"/>
              <w:right w:type="dxa" w:w="100"/>
            </w:tcMar>
          </w:tcPr>
          <w:p>
            <w:pPr>
              <w:spacing w:after="0"/>
            </w:pPr>
            <w:r>
              <w:rPr>
                <w:rFonts w:ascii="Calibri" w:cs="Calibri" w:eastAsia="Calibri" w:hAnsi="Calibri"/>
                <w:sz w:val="18"/>
                <w:szCs w:val="18"/>
              </w:rPr>
              <w:t xml:space="preserve">Good rows loaded; some rows had a bad value (for example a non-number where a number is expected) and were set aside with a reason. Fix them and upload again.</w:t>
            </w:r>
          </w:p>
        </w:tc>
      </w:tr>
      <w:tr>
        <w:tc>
          <w:tcPr>
            <w:tcW w:type="dxa" w:w="4300"/>
            <w:tcMar>
              <w:top w:type="dxa" w:w="60"/>
              <w:left w:type="dxa" w:w="100"/>
              <w:bottom w:type="dxa" w:w="60"/>
              <w:right w:type="dxa" w:w="100"/>
            </w:tcMar>
          </w:tcPr>
          <w:p>
            <w:pPr>
              <w:spacing w:after="0"/>
            </w:pPr>
            <w:r>
              <w:rPr>
                <w:rFonts w:ascii="Calibri" w:cs="Calibri" w:eastAsia="Calibri" w:hAnsi="Calibri"/>
                <w:b/>
                <w:bCs/>
                <w:sz w:val="18"/>
                <w:szCs w:val="18"/>
              </w:rPr>
              <w:t xml:space="preserve">Duplicate</w:t>
            </w:r>
          </w:p>
        </w:tc>
        <w:tc>
          <w:tcPr>
            <w:tcW w:type="dxa" w:w="5400"/>
            <w:tcMar>
              <w:top w:type="dxa" w:w="60"/>
              <w:left w:type="dxa" w:w="100"/>
              <w:bottom w:type="dxa" w:w="60"/>
              <w:right w:type="dxa" w:w="100"/>
            </w:tcMar>
          </w:tcPr>
          <w:p>
            <w:pPr>
              <w:spacing w:after="0"/>
            </w:pPr>
            <w:r>
              <w:rPr>
                <w:rFonts w:ascii="Calibri" w:cs="Calibri" w:eastAsia="Calibri" w:hAnsi="Calibri"/>
                <w:sz w:val="18"/>
                <w:szCs w:val="18"/>
              </w:rPr>
              <w:t xml:space="preserve">This exact file was already uploaded. Nothing was changed.</w:t>
            </w:r>
          </w:p>
        </w:tc>
      </w:tr>
      <w:tr>
        <w:tc>
          <w:tcPr>
            <w:tcW w:type="dxa" w:w="4300"/>
            <w:shd w:fill="F4F6F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Rejected</w:t>
            </w:r>
          </w:p>
        </w:tc>
        <w:tc>
          <w:tcPr>
            <w:tcW w:type="dxa" w:w="5400"/>
            <w:shd w:fill="F4F6F9" w:color="auto" w:val="clear"/>
            <w:tcMar>
              <w:top w:type="dxa" w:w="60"/>
              <w:left w:type="dxa" w:w="100"/>
              <w:bottom w:type="dxa" w:w="60"/>
              <w:right w:type="dxa" w:w="100"/>
            </w:tcMar>
          </w:tcPr>
          <w:p>
            <w:pPr>
              <w:spacing w:after="0"/>
            </w:pPr>
            <w:r>
              <w:rPr>
                <w:rFonts w:ascii="Calibri" w:cs="Calibri" w:eastAsia="Calibri" w:hAnsi="Calibri"/>
                <w:sz w:val="18"/>
                <w:szCs w:val="18"/>
              </w:rPr>
              <w:t xml:space="preserve">The file was not recognised, or two reports share the same columns and nothing in the sheet/file name says which one it is. The message explains what to do.</w:t>
            </w:r>
          </w:p>
        </w:tc>
      </w:tr>
    </w:tbl>
    <w:tbl>
      <w:tblPr>
        <w:tblW w:type="dxa" w:w="9700"/>
        <w:tblBorders>
          <w:top w:val="single" w:color="BCCFE0" w:sz="2"/>
          <w:left w:val="single" w:color="2F6F9E" w:sz="12"/>
          <w:bottom w:val="single" w:color="BCCFE0" w:sz="2"/>
          <w:right w:val="single" w:color="BCCFE0" w:sz="2"/>
          <w:insideH w:val="single" w:color="auto" w:sz="4"/>
          <w:insideV w:val="single" w:color="auto" w:sz="4"/>
        </w:tblBorders>
      </w:tblPr>
      <w:tblGrid>
        <w:gridCol w:w="9700"/>
      </w:tblGrid>
      <w:tr>
        <w:tc>
          <w:tcPr>
            <w:tcW w:type="dxa" w:w="9700"/>
            <w:shd w:fill="EEF3F8" w:color="auto" w:val="clear"/>
            <w:tcMar>
              <w:top w:type="dxa" w:w="80"/>
              <w:left w:type="dxa" w:w="140"/>
              <w:bottom w:type="dxa" w:w="80"/>
              <w:right w:type="dxa" w:w="120"/>
            </w:tcMar>
          </w:tcPr>
          <w:p>
            <w:r>
              <w:rPr>
                <w:rFonts w:ascii="Calibri" w:cs="Calibri" w:eastAsia="Calibri" w:hAnsi="Calibri"/>
                <w:b/>
                <w:bCs/>
                <w:color w:val="2F6F9E"/>
                <w:sz w:val="19"/>
                <w:szCs w:val="19"/>
              </w:rPr>
              <w:t xml:space="preserve">ℹ  </w:t>
            </w:r>
            <w:r>
              <w:rPr>
                <w:rFonts w:ascii="Calibri" w:cs="Calibri" w:eastAsia="Calibri" w:hAnsi="Calibri"/>
                <w:color w:val="1f2733"/>
                <w:sz w:val="19"/>
                <w:szCs w:val="19"/>
              </w:rPr>
              <w:t xml:space="preserve">Re-uploading a corrected file for the same period replaces that period’s figures — this is intended.</w:t>
            </w:r>
          </w:p>
        </w:tc>
      </w:tr>
    </w:tbl>
    <w:p>
      <w:pPr>
        <w:spacing w:after="40" w:before="0"/>
      </w:pPr>
      <w:r>
        <w:rPr>
          <w:rFonts w:ascii="Calibri" w:cs="Calibri" w:eastAsia="Calibri" w:hAnsi="Calibri"/>
          <w:sz w:val="21"/>
          <w:szCs w:val="21"/>
        </w:rPr>
        <w:t xml:space="preserve"/>
      </w:r>
    </w:p>
    <w:p>
      <w:pPr>
        <w:pStyle w:val="Heading1"/>
        <w:spacing w:after="120" w:before="340"/>
      </w:pPr>
      <w:r>
        <w:rPr>
          <w:rFonts w:ascii="Calibri" w:cs="Calibri" w:eastAsia="Calibri" w:hAnsi="Calibri"/>
          <w:b/>
          <w:bCs/>
          <w:color w:val="0E2841"/>
          <w:sz w:val="27"/>
          <w:szCs w:val="27"/>
        </w:rPr>
        <w:t xml:space="preserve">5. Quarantined rows</w:t>
      </w:r>
    </w:p>
    <w:p>
      <w:pPr>
        <w:spacing w:after="120" w:before="0"/>
      </w:pPr>
      <w:r>
        <w:rPr>
          <w:rFonts w:ascii="Calibri" w:cs="Calibri" w:eastAsia="Calibri" w:hAnsi="Calibri"/>
          <w:sz w:val="21"/>
          <w:szCs w:val="21"/>
        </w:rPr>
        <w:t xml:space="preserve">If an upload was “partial”, open its quarantine view to see each rejected row together with the reason — which field failed and the value it contained. Correct those rows in your file and upload it again. Quarantined rows are never counted in the reports and never silently dropped.</w:t>
      </w:r>
    </w:p>
    <w:p>
      <w:pPr>
        <w:pStyle w:val="Heading1"/>
        <w:spacing w:after="120" w:before="340"/>
      </w:pPr>
      <w:r>
        <w:rPr>
          <w:rFonts w:ascii="Calibri" w:cs="Calibri" w:eastAsia="Calibri" w:hAnsi="Calibri"/>
          <w:b/>
          <w:bCs/>
          <w:color w:val="0E2841"/>
          <w:sz w:val="27"/>
          <w:szCs w:val="27"/>
        </w:rPr>
        <w:t xml:space="preserve">6. Exporting</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Arrange the grid (columns, order, sort, filters) the way you want the export.</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Click Excel for an .xlsx file or CSV for a comma-separated file.</w:t>
      </w:r>
    </w:p>
    <w:p>
      <w:pPr>
        <w:spacing w:after="70"/>
        <w:ind w:left="520" w:hanging="300"/>
      </w:pPr>
      <w:r>
        <w:rPr>
          <w:rFonts w:ascii="Calibri" w:cs="Calibri" w:eastAsia="Calibri" w:hAnsi="Calibri"/>
          <w:b/>
          <w:bCs/>
          <w:color w:val="0E2841"/>
          <w:sz w:val="21"/>
          <w:szCs w:val="21"/>
        </w:rPr>
        <w:t xml:space="preserve">3.  </w:t>
      </w:r>
      <w:r>
        <w:rPr>
          <w:rFonts w:ascii="Calibri" w:cs="Calibri" w:eastAsia="Calibri" w:hAnsi="Calibri"/>
          <w:sz w:val="21"/>
          <w:szCs w:val="21"/>
        </w:rPr>
        <w:t xml:space="preserve">The file contains exactly what you see — the same columns, order and filtered rows.</w:t>
      </w:r>
    </w:p>
    <w:tbl>
      <w:tblPr>
        <w:tblW w:type="dxa" w:w="9700"/>
        <w:tblBorders>
          <w:top w:val="single" w:color="BCCFE0" w:sz="2"/>
          <w:left w:val="single" w:color="2F6F9E" w:sz="12"/>
          <w:bottom w:val="single" w:color="BCCFE0" w:sz="2"/>
          <w:right w:val="single" w:color="BCCFE0" w:sz="2"/>
          <w:insideH w:val="single" w:color="auto" w:sz="4"/>
          <w:insideV w:val="single" w:color="auto" w:sz="4"/>
        </w:tblBorders>
      </w:tblPr>
      <w:tblGrid>
        <w:gridCol w:w="9700"/>
      </w:tblGrid>
      <w:tr>
        <w:tc>
          <w:tcPr>
            <w:tcW w:type="dxa" w:w="9700"/>
            <w:shd w:fill="EEF3F8" w:color="auto" w:val="clear"/>
            <w:tcMar>
              <w:top w:type="dxa" w:w="80"/>
              <w:left w:type="dxa" w:w="140"/>
              <w:bottom w:type="dxa" w:w="80"/>
              <w:right w:type="dxa" w:w="120"/>
            </w:tcMar>
          </w:tcPr>
          <w:p>
            <w:r>
              <w:rPr>
                <w:rFonts w:ascii="Calibri" w:cs="Calibri" w:eastAsia="Calibri" w:hAnsi="Calibri"/>
                <w:b/>
                <w:bCs/>
                <w:color w:val="2F6F9E"/>
                <w:sz w:val="19"/>
                <w:szCs w:val="19"/>
              </w:rPr>
              <w:t xml:space="preserve">ℹ  </w:t>
            </w:r>
            <w:r>
              <w:rPr>
                <w:rFonts w:ascii="Calibri" w:cs="Calibri" w:eastAsia="Calibri" w:hAnsi="Calibri"/>
                <w:color w:val="1f2733"/>
                <w:sz w:val="19"/>
                <w:szCs w:val="19"/>
              </w:rPr>
              <w:t xml:space="preserve">Numbers and dates in the file use the same Indonesian format as the screen. Item codes keep their leading zeros.</w:t>
            </w:r>
          </w:p>
        </w:tc>
      </w:tr>
    </w:tbl>
    <w:p>
      <w:pPr>
        <w:spacing w:after="40" w:before="0"/>
      </w:pPr>
      <w:r>
        <w:rPr>
          <w:rFonts w:ascii="Calibri" w:cs="Calibri" w:eastAsia="Calibri" w:hAnsi="Calibri"/>
          <w:sz w:val="21"/>
          <w:szCs w:val="21"/>
        </w:rPr>
        <w:t xml:space="preserve"/>
      </w:r>
    </w:p>
    <w:p>
      <w:pPr>
        <w:pStyle w:val="Heading1"/>
        <w:spacing w:after="120" w:before="340"/>
      </w:pPr>
      <w:r>
        <w:rPr>
          <w:rFonts w:ascii="Calibri" w:cs="Calibri" w:eastAsia="Calibri" w:hAnsi="Calibri"/>
          <w:b/>
          <w:bCs/>
          <w:color w:val="0E2841"/>
          <w:sz w:val="27"/>
          <w:szCs w:val="27"/>
        </w:rPr>
        <w:t xml:space="preserve">7. Notifications</w:t>
      </w:r>
    </w:p>
    <w:p>
      <w:pPr>
        <w:spacing w:after="120" w:before="0"/>
      </w:pPr>
      <w:r>
        <w:rPr>
          <w:rFonts w:ascii="Calibri" w:cs="Calibri" w:eastAsia="Calibri" w:hAnsi="Calibri"/>
          <w:sz w:val="21"/>
          <w:szCs w:val="21"/>
        </w:rPr>
        <w:t xml:space="preserve">The bell at the top right shows a number when you have unread notifications — for example when a file is ingested or rows are quarantined. Click it to read them, and use Mark all read to clear the count. Depending on your administrator’s settings you may also receive some of these by e-mail.</w:t>
      </w:r>
    </w:p>
    <w:p>
      <w:pPr>
        <w:spacing w:after="20" w:before="8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rFonts w:ascii="Calibri" w:cs="Calibri" w:eastAsia="Calibri" w:hAnsi="Calibri"/>
          <w:i/>
          <w:iCs/>
          <w:color w:val="6B7683"/>
          <w:sz w:val="17"/>
          <w:szCs w:val="17"/>
        </w:rPr>
        <w:t xml:space="preserve">Figure 6 — the dashboard; the notification bell is at the top right.</w:t>
      </w:r>
    </w:p>
    <w:p>
      <w:pPr>
        <w:pStyle w:val="Heading1"/>
        <w:spacing w:after="120" w:before="340"/>
      </w:pPr>
      <w:r>
        <w:rPr>
          <w:rFonts w:ascii="Calibri" w:cs="Calibri" w:eastAsia="Calibri" w:hAnsi="Calibri"/>
          <w:b/>
          <w:bCs/>
          <w:color w:val="0E2841"/>
          <w:sz w:val="27"/>
          <w:szCs w:val="27"/>
        </w:rPr>
        <w:t xml:space="preserve">8. Getting help</w:t>
      </w:r>
    </w:p>
    <w:p>
      <w:pPr>
        <w:pStyle w:val="ListParagraph"/>
        <w:numPr>
          <w:ilvl w:val="0"/>
          <w:numId w:val="2"/>
        </w:numPr>
        <w:spacing w:after="60"/>
      </w:pPr>
      <w:r>
        <w:rPr>
          <w:rFonts w:ascii="Calibri" w:cs="Calibri" w:eastAsia="Calibri" w:hAnsi="Calibri"/>
          <w:sz w:val="21"/>
          <w:szCs w:val="21"/>
        </w:rPr>
        <w:t xml:space="preserve">Locked out after failed sign-ins: wait a few minutes, or ask an administrator to reset your password.</w:t>
      </w:r>
    </w:p>
    <w:p>
      <w:pPr>
        <w:pStyle w:val="ListParagraph"/>
        <w:numPr>
          <w:ilvl w:val="0"/>
          <w:numId w:val="2"/>
        </w:numPr>
        <w:spacing w:after="60"/>
      </w:pPr>
      <w:r>
        <w:rPr>
          <w:rFonts w:ascii="Calibri" w:cs="Calibri" w:eastAsia="Calibri" w:hAnsi="Calibri"/>
          <w:sz w:val="21"/>
          <w:szCs w:val="21"/>
        </w:rPr>
        <w:t xml:space="preserve">A report you expect is missing from the menu: your role may not include that page — ask an administrator.</w:t>
      </w:r>
    </w:p>
    <w:p>
      <w:pPr>
        <w:pStyle w:val="ListParagraph"/>
        <w:numPr>
          <w:ilvl w:val="0"/>
          <w:numId w:val="2"/>
        </w:numPr>
        <w:spacing w:after="60"/>
      </w:pPr>
      <w:r>
        <w:rPr>
          <w:rFonts w:ascii="Calibri" w:cs="Calibri" w:eastAsia="Calibri" w:hAnsi="Calibri"/>
          <w:sz w:val="21"/>
          <w:szCs w:val="21"/>
        </w:rPr>
        <w:t xml:space="preserve">A figure looks wrong: note the report and row and tell your administrator; attach the source file if you can.</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0bd09a654fb2b623ed0121d498bf2efd0fd65e.png"/><Relationship Id="rId8" Type="http://schemas.openxmlformats.org/officeDocument/2006/relationships/image" Target="media/03eacfd9cfac01ad38d7e1b2069e6d4b58885ad6.png"/><Relationship Id="rId9" Type="http://schemas.openxmlformats.org/officeDocument/2006/relationships/image" Target="media/96fa1e543086f6a7342ac6fc8c9b877cc0c57de2.png"/><Relationship Id="rId10" Type="http://schemas.openxmlformats.org/officeDocument/2006/relationships/image" Target="media/43a63c0a062726cc76fcb30b4505f083fcb3ad4b.png"/><Relationship Id="rId11" Type="http://schemas.openxmlformats.org/officeDocument/2006/relationships/image" Target="media/61a9e19e545bea34c3f9d09fd45111d4298c8036.png"/><Relationship Id="rId12" Type="http://schemas.openxmlformats.org/officeDocument/2006/relationships/image" Target="media/5406aa5e3307c8f92787abc542e73ca6af4f8d0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Inventory Reporting System — User Manual</dc:title>
  <dc:creator>BC Inventory Reporting System</dc:creator>
  <cp:lastModifiedBy>Un-named</cp:lastModifiedBy>
  <cp:revision>1</cp:revision>
  <dcterms:created xsi:type="dcterms:W3CDTF">2026-09-03T08:10:48.502Z</dcterms:created>
  <dcterms:modified xsi:type="dcterms:W3CDTF">2026-09-03T08:10:48.502Z</dcterms:modified>
</cp:coreProperties>
</file>

<file path=docProps/custom.xml><?xml version="1.0" encoding="utf-8"?>
<Properties xmlns="http://schemas.openxmlformats.org/officeDocument/2006/custom-properties" xmlns:vt="http://schemas.openxmlformats.org/officeDocument/2006/docPropsVTypes"/>
</file>