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4"/>
          <w:szCs w:val="44"/>
        </w:rPr>
        <w:t xml:space="preserve">BC Inventory Reporting System</w:t>
      </w:r>
    </w:p>
    <w:p>
      <w:pPr>
        <w:spacing w:after="240"/>
      </w:pPr>
      <w:r>
        <w:rPr>
          <w:rFonts w:ascii="Calibri" w:cs="Calibri" w:eastAsia="Calibri" w:hAnsi="Calibri"/>
          <w:color w:val="B73532"/>
          <w:sz w:val="30"/>
          <w:szCs w:val="30"/>
        </w:rPr>
        <w:t xml:space="preserve">End-to-End Test Execution Report</w:t>
      </w:r>
    </w:p>
    <w:p>
      <w:pPr>
        <w:spacing w:after="240" w:before="0"/>
      </w:pPr>
      <w:r>
        <w:rPr>
          <w:rFonts w:ascii="Calibri" w:cs="Calibri" w:eastAsia="Calibri" w:hAnsi="Calibri"/>
          <w:i/>
          <w:iCs/>
          <w:color w:val="6B7683"/>
          <w:sz w:val="21"/>
          <w:szCs w:val="21"/>
        </w:rPr>
        <w:t xml:space="preserve">Results of executing the E2E functional test pack v1.0 against the current build, covering the API and the browser front end, with screenshot evidence.</w:t>
      </w:r>
    </w:p>
    <w:tbl>
      <w:tblPr>
        <w:tblW w:type="dxa" w:w="10200"/>
        <w:tblBorders>
          <w:top w:val="single" w:color="D6DCE4" w:sz="2"/>
          <w:left w:val="single" w:color="D6DCE4" w:sz="2"/>
          <w:bottom w:val="single" w:color="D6DCE4" w:sz="2"/>
          <w:right w:val="single" w:color="D6DCE4" w:sz="2"/>
          <w:insideH w:val="single" w:color="D6DCE4" w:sz="2"/>
          <w:insideV w:val="single" w:color="D6DCE4" w:sz="2"/>
        </w:tblBorders>
      </w:tblPr>
      <w:tblGrid>
        <w:gridCol w:w="3000"/>
        <w:gridCol w:w="7200"/>
      </w:tblGrid>
      <w:tr>
        <w:trPr>
          <w:tblHeader/>
        </w:trPr>
        <w:tc>
          <w:tcPr>
            <w:tcW w:type="dxa" w:w="3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Field</w:t>
            </w:r>
          </w:p>
        </w:tc>
        <w:tc>
          <w:tcPr>
            <w:tcW w:type="dxa" w:w="7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Value</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Document</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End-to-End Test Execution Report</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Test pack</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Inventory E2E Functional Test Scenarios v1.0</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Version</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1.0</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Build under test</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commit 2599f9e (main)</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Environment</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Local Docker stack — identical build to staging</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Database</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PostgreSQL 16 (container)</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Executed</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2026-09-02</w:t>
            </w:r>
          </w:p>
        </w:tc>
      </w:tr>
      <w:tr>
        <w:tc>
          <w:tcPr>
            <w:tcW w:type="dxa" w:w="30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Cases executed</w:t>
            </w:r>
          </w:p>
        </w:tc>
        <w:tc>
          <w:tcPr>
            <w:tcW w:type="dxa" w:w="7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134 (133 pass, 1 fail)</w:t>
            </w:r>
          </w:p>
        </w:tc>
      </w:tr>
      <w:tr>
        <w:tc>
          <w:tcPr>
            <w:tcW w:type="dxa" w:w="3000"/>
            <w:tcMar>
              <w:top w:type="dxa" w:w="60"/>
              <w:left w:type="dxa" w:w="90"/>
              <w:bottom w:type="dxa" w:w="60"/>
              <w:right w:type="dxa" w:w="90"/>
            </w:tcMar>
          </w:tcPr>
          <w:p>
            <w:pPr>
              <w:spacing w:after="0"/>
            </w:pPr>
            <w:r>
              <w:rPr>
                <w:rFonts w:ascii="Calibri" w:cs="Calibri" w:eastAsia="Calibri" w:hAnsi="Calibri"/>
                <w:b/>
                <w:bCs/>
                <w:sz w:val="17"/>
                <w:szCs w:val="17"/>
              </w:rPr>
              <w:t xml:space="preserve">Findings raised</w:t>
            </w:r>
          </w:p>
        </w:tc>
        <w:tc>
          <w:tcPr>
            <w:tcW w:type="dxa" w:w="7200"/>
            <w:tcMar>
              <w:top w:type="dxa" w:w="60"/>
              <w:left w:type="dxa" w:w="90"/>
              <w:bottom w:type="dxa" w:w="60"/>
              <w:right w:type="dxa" w:w="90"/>
            </w:tcMar>
          </w:tcPr>
          <w:p>
            <w:pPr>
              <w:spacing w:after="0"/>
            </w:pPr>
            <w:r>
              <w:rPr>
                <w:rFonts w:ascii="Calibri" w:cs="Calibri" w:eastAsia="Calibri" w:hAnsi="Calibri"/>
                <w:sz w:val="17"/>
                <w:szCs w:val="17"/>
              </w:rPr>
              <w:t xml:space="preserve">3 (0 critical, 0 major, 2 minor, 1 observation)</w:t>
            </w:r>
          </w:p>
        </w:tc>
      </w:tr>
    </w:tbl>
    <w:p>
      <w:r>
        <w:br w:type="page"/>
      </w:r>
    </w:p>
    <w:p>
      <w:pPr>
        <w:pStyle w:val="Heading1"/>
        <w:spacing w:after="130" w:before="260"/>
      </w:pPr>
      <w:r>
        <w:rPr>
          <w:rFonts w:ascii="Calibri" w:cs="Calibri" w:eastAsia="Calibri" w:hAnsi="Calibri"/>
          <w:b/>
          <w:bCs/>
          <w:color w:val="0E2841"/>
          <w:sz w:val="30"/>
          <w:szCs w:val="30"/>
        </w:rPr>
        <w:t xml:space="preserve">1. Summary</w:t>
      </w:r>
    </w:p>
    <w:p>
      <w:pPr>
        <w:spacing w:after="100" w:before="0"/>
      </w:pPr>
      <w:r>
        <w:rPr>
          <w:rFonts w:ascii="Calibri" w:cs="Calibri" w:eastAsia="Calibri" w:hAnsi="Calibri"/>
          <w:sz w:val="19"/>
          <w:szCs w:val="19"/>
        </w:rPr>
        <w:t xml:space="preserve">134 test cases were executed: 104 against the API and 30 against the browser front end. 133 passed and 1 failed.</w:t>
      </w:r>
    </w:p>
    <w:p>
      <w:pPr>
        <w:spacing w:after="100" w:before="0"/>
      </w:pPr>
      <w:r>
        <w:rPr>
          <w:rFonts w:ascii="Calibri" w:cs="Calibri" w:eastAsia="Calibri" w:hAnsi="Calibri"/>
          <w:sz w:val="19"/>
          <w:szCs w:val="19"/>
        </w:rPr>
        <w:t xml:space="preserve">No critical or major defect was found. The three findings below are a status-code inconsistency, a message-quality issue on very large uploads, and one dashboard figure that is not entity-scoped. None of them blocks user testing.</w:t>
      </w:r>
    </w:p>
    <w:p>
      <w:pPr>
        <w:spacing w:after="100" w:before="100"/>
      </w:pPr>
      <w:r>
        <w:rPr>
          <w:rFonts w:ascii="Calibri" w:cs="Calibri" w:eastAsia="Calibri" w:hAnsi="Calibri"/>
          <w:sz w:val="19"/>
          <w:szCs w:val="19"/>
        </w:rPr>
        <w:t xml:space="preserve">The highest-risk area in this release — the routing of the Aset dan Sparepart file into three separate reports — was tested row by row and reconciles exactly: 18 stored rows split as 13 Sparepart + 3 Aset + 2 routed to Bahan Baku, with nothing lost and nothing counted twice.</w:t>
      </w:r>
    </w:p>
    <w:p>
      <w:pPr>
        <w:spacing w:after="60" w:before="0"/>
      </w:pPr>
      <w:r>
        <w:rPr>
          <w:rFonts w:ascii="Calibri" w:cs="Calibri" w:eastAsia="Calibri" w:hAnsi="Calibri"/>
          <w:sz w:val="19"/>
          <w:szCs w:val="19"/>
        </w:rPr>
        <w:t xml:space="preserve"/>
      </w:r>
    </w:p>
    <w:tbl>
      <w:tblPr>
        <w:tblW w:type="dxa" w:w="10200"/>
        <w:tblBorders>
          <w:top w:val="single" w:color="D6DCE4" w:sz="2"/>
          <w:left w:val="single" w:color="D6DCE4" w:sz="2"/>
          <w:bottom w:val="single" w:color="D6DCE4" w:sz="2"/>
          <w:right w:val="single" w:color="D6DCE4" w:sz="2"/>
          <w:insideH w:val="single" w:color="D6DCE4" w:sz="2"/>
          <w:insideV w:val="single" w:color="D6DCE4" w:sz="2"/>
        </w:tblBorders>
      </w:tblPr>
      <w:tblGrid>
        <w:gridCol w:w="4400"/>
        <w:gridCol w:w="1400"/>
        <w:gridCol w:w="1300"/>
        <w:gridCol w:w="1300"/>
        <w:gridCol w:w="1800"/>
      </w:tblGrid>
      <w:tr>
        <w:trPr>
          <w:tblHeader/>
        </w:trPr>
        <w:tc>
          <w:tcPr>
            <w:tcW w:type="dxa" w:w="4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Suite</w:t>
            </w:r>
          </w:p>
        </w:tc>
        <w:tc>
          <w:tcPr>
            <w:tcW w:type="dxa" w:w="14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Executed</w:t>
            </w:r>
          </w:p>
        </w:tc>
        <w:tc>
          <w:tcPr>
            <w:tcW w:type="dxa" w:w="1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Passed</w:t>
            </w:r>
          </w:p>
        </w:tc>
        <w:tc>
          <w:tcPr>
            <w:tcW w:type="dxa" w:w="1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Failed</w:t>
            </w:r>
          </w:p>
        </w:tc>
        <w:tc>
          <w:tcPr>
            <w:tcW w:type="dxa" w:w="18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Status</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TS-01 Authentication &amp; session</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11</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11</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TS-02 Navigation &amp; RBAC</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6</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6</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TS-03 Dashboard</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TS-04 Reports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9</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8</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1 to review</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TS-05 Inventory Movement</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20</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20</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TS-06 Grid capabilities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5</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5</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TS-07 Export</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TS-08 Ingestion &amp; upload</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16</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16</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TS-09 Quarantine</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TS-10 LPM / Reconciliation</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TS-11 Admin — Users</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16</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16</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TS-12 Admin — Roles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8</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8</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TS-13 Admin — Notifications</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8</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8</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TS-14 Admin — Master data</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6</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6</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TS-15 Audit log</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5</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5</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TS-16 Notifications</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TS-17 Localisation &amp; labelling</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TS-18 Performance</w:t>
            </w:r>
          </w:p>
        </w:tc>
        <w:tc>
          <w:tcPr>
            <w:tcW w:type="dxa" w:w="14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2</w:t>
            </w:r>
          </w:p>
        </w:tc>
        <w:tc>
          <w:tcPr>
            <w:tcW w:type="dxa" w:w="1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r>
        <w:tc>
          <w:tcPr>
            <w:tcW w:type="dxa" w:w="4400"/>
            <w:tcMar>
              <w:top w:type="dxa" w:w="60"/>
              <w:left w:type="dxa" w:w="90"/>
              <w:bottom w:type="dxa" w:w="60"/>
              <w:right w:type="dxa" w:w="90"/>
            </w:tcMar>
          </w:tcPr>
          <w:p>
            <w:pPr>
              <w:spacing w:after="0"/>
            </w:pPr>
            <w:r>
              <w:rPr>
                <w:rFonts w:ascii="Calibri" w:cs="Calibri" w:eastAsia="Calibri" w:hAnsi="Calibri"/>
                <w:b/>
                <w:bCs/>
                <w:sz w:val="17"/>
                <w:szCs w:val="17"/>
              </w:rPr>
              <w:t xml:space="preserve">TS-19 Security</w:t>
            </w:r>
          </w:p>
        </w:tc>
        <w:tc>
          <w:tcPr>
            <w:tcW w:type="dxa" w:w="1400"/>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4</w:t>
            </w:r>
          </w:p>
        </w:tc>
        <w:tc>
          <w:tcPr>
            <w:tcW w:type="dxa" w:w="1300"/>
            <w:tcMar>
              <w:top w:type="dxa" w:w="60"/>
              <w:left w:type="dxa" w:w="90"/>
              <w:bottom w:type="dxa" w:w="60"/>
              <w:right w:type="dxa" w:w="90"/>
            </w:tcMar>
          </w:tcPr>
          <w:p>
            <w:pPr>
              <w:spacing w:after="0"/>
            </w:pPr>
            <w:r>
              <w:rPr>
                <w:rFonts w:ascii="Calibri" w:cs="Calibri" w:eastAsia="Calibri" w:hAnsi="Calibri"/>
                <w:sz w:val="17"/>
                <w:szCs w:val="17"/>
              </w:rPr>
              <w:t xml:space="preserve">0</w:t>
            </w:r>
          </w:p>
        </w:tc>
        <w:tc>
          <w:tcPr>
            <w:tcW w:type="dxa" w:w="1800"/>
            <w:tcMar>
              <w:top w:type="dxa" w:w="60"/>
              <w:left w:type="dxa" w:w="90"/>
              <w:bottom w:type="dxa" w:w="60"/>
              <w:right w:type="dxa" w:w="90"/>
            </w:tcMar>
          </w:tcPr>
          <w:p>
            <w:pPr>
              <w:spacing w:after="0"/>
            </w:pPr>
            <w:r>
              <w:rPr>
                <w:rFonts w:ascii="Calibri" w:cs="Calibri" w:eastAsia="Calibri" w:hAnsi="Calibri"/>
                <w:color w:val="1E7A46"/>
                <w:sz w:val="17"/>
                <w:szCs w:val="17"/>
              </w:rPr>
              <w:t xml:space="preserve">All passed</w:t>
            </w:r>
          </w:p>
        </w:tc>
      </w:tr>
    </w:tbl>
    <w:p>
      <w:pPr>
        <w:pStyle w:val="Heading1"/>
        <w:spacing w:after="130" w:before="260"/>
      </w:pPr>
      <w:r>
        <w:rPr>
          <w:rFonts w:ascii="Calibri" w:cs="Calibri" w:eastAsia="Calibri" w:hAnsi="Calibri"/>
          <w:b/>
          <w:bCs/>
          <w:color w:val="0E2841"/>
          <w:sz w:val="30"/>
          <w:szCs w:val="30"/>
        </w:rPr>
        <w:t xml:space="preserve">2. How the run was performed</w:t>
      </w:r>
    </w:p>
    <w:p>
      <w:pPr>
        <w:spacing w:after="100" w:before="0"/>
      </w:pPr>
      <w:r>
        <w:rPr>
          <w:rFonts w:ascii="Calibri" w:cs="Calibri" w:eastAsia="Calibri" w:hAnsi="Calibri"/>
          <w:sz w:val="19"/>
          <w:szCs w:val="19"/>
        </w:rPr>
        <w:t xml:space="preserve">Three mechanisms were used, deliberately, so that each claim rests on the right kind of evidence:</w:t>
      </w:r>
    </w:p>
    <w:p>
      <w:pPr>
        <w:pStyle w:val="ListParagraph"/>
        <w:numPr>
          <w:ilvl w:val="0"/>
          <w:numId w:val="2"/>
        </w:numPr>
        <w:spacing w:after="60"/>
      </w:pPr>
      <w:r>
        <w:rPr>
          <w:rFonts w:ascii="Calibri" w:cs="Calibri" w:eastAsia="Calibri" w:hAnsi="Calibri"/>
          <w:sz w:val="19"/>
          <w:szCs w:val="19"/>
        </w:rPr>
        <w:t xml:space="preserve">API and back-end cases were executed by a scripted harness that calls the same REST endpoints the browser calls, records the HTTP status and the response body for every case, and asserts on the observed value. Every result in section 4 quotes what was actually returned.</w:t>
      </w:r>
    </w:p>
    <w:p>
      <w:pPr>
        <w:pStyle w:val="ListParagraph"/>
        <w:numPr>
          <w:ilvl w:val="0"/>
          <w:numId w:val="2"/>
        </w:numPr>
        <w:spacing w:after="60"/>
      </w:pPr>
      <w:r>
        <w:rPr>
          <w:rFonts w:ascii="Calibri" w:cs="Calibri" w:eastAsia="Calibri" w:hAnsi="Calibri"/>
          <w:sz w:val="19"/>
          <w:szCs w:val="19"/>
        </w:rPr>
        <w:t xml:space="preserve">The browser front end was driven interactively in Chrome to confirm real user flows — signing in, being refused, moving between pages and opening the column chooser.</w:t>
      </w:r>
    </w:p>
    <w:p>
      <w:pPr>
        <w:pStyle w:val="ListParagraph"/>
        <w:numPr>
          <w:ilvl w:val="0"/>
          <w:numId w:val="2"/>
        </w:numPr>
        <w:spacing w:after="60"/>
      </w:pPr>
      <w:r>
        <w:rPr>
          <w:rFonts w:ascii="Calibri" w:cs="Calibri" w:eastAsia="Calibri" w:hAnsi="Calibri"/>
          <w:sz w:val="19"/>
          <w:szCs w:val="19"/>
        </w:rPr>
        <w:t xml:space="preserve">The screenshots in section 5 were captured by driving the same front end in headless Chromium, so each image is a real render of the application under test rather than a mock-up.</w:t>
      </w:r>
    </w:p>
    <w:p>
      <w:pPr>
        <w:pStyle w:val="ListParagraph"/>
        <w:numPr>
          <w:ilvl w:val="0"/>
          <w:numId w:val="2"/>
        </w:numPr>
        <w:spacing w:after="60"/>
      </w:pPr>
      <w:r>
        <w:rPr>
          <w:rFonts w:ascii="Calibri" w:cs="Calibri" w:eastAsia="Calibri" w:hAnsi="Calibri"/>
          <w:sz w:val="19"/>
          <w:szCs w:val="19"/>
        </w:rPr>
        <w:t xml:space="preserve">Database-level assertions (row routing, append-only enforcement) were made by querying the database directly, because a count taken through the same API being tested would not be independent evidence.</w:t>
      </w:r>
    </w:p>
    <w:p>
      <w:pPr>
        <w:spacing w:after="100" w:before="100"/>
      </w:pPr>
      <w:r>
        <w:rPr>
          <w:rFonts w:ascii="Calibri" w:cs="Calibri" w:eastAsia="Calibri" w:hAnsi="Calibri"/>
          <w:sz w:val="19"/>
          <w:szCs w:val="19"/>
        </w:rPr>
        <w:t xml:space="preserve">The run is repeatable: the harness clears transaction data and its own test accounts before starting, so a re-run produces the same numbers.</w:t>
      </w:r>
    </w:p>
    <w:p>
      <w:pPr>
        <w:pStyle w:val="Heading1"/>
        <w:spacing w:after="130" w:before="260"/>
      </w:pPr>
      <w:r>
        <w:rPr>
          <w:rFonts w:ascii="Calibri" w:cs="Calibri" w:eastAsia="Calibri" w:hAnsi="Calibri"/>
          <w:b/>
          <w:bCs/>
          <w:color w:val="0E2841"/>
          <w:sz w:val="30"/>
          <w:szCs w:val="30"/>
        </w:rPr>
        <w:t xml:space="preserve">3. Environment and test data</w:t>
      </w:r>
    </w:p>
    <w:p>
      <w:pPr>
        <w:spacing w:after="100" w:before="0"/>
      </w:pPr>
      <w:r>
        <w:rPr>
          <w:rFonts w:ascii="Calibri" w:cs="Calibri" w:eastAsia="Calibri" w:hAnsi="Calibri"/>
          <w:sz w:val="19"/>
          <w:szCs w:val="19"/>
        </w:rPr>
        <w:t xml:space="preserve">Testing was performed against the local Docker stack rather than staging. Staging had just been cleared of transaction data so that user testing could start from a clean sheet, and a real execution creates users, changes role permissions, adds master data and uploads files — it would have undone exactly that clean slate. The local stack runs the same build.</w:t>
      </w:r>
    </w:p>
    <w:p>
      <w:pPr>
        <w:spacing w:after="60" w:before="100"/>
      </w:pPr>
      <w:r>
        <w:rPr>
          <w:rFonts w:ascii="Calibri" w:cs="Calibri" w:eastAsia="Calibri" w:hAnsi="Calibri"/>
          <w:sz w:val="19"/>
          <w:szCs w:val="19"/>
        </w:rPr>
        <w:t xml:space="preserve">Twelve genuine vendor extracts were ingested, plus five files crafted for the negative and routing cases:</w:t>
      </w:r>
    </w:p>
    <w:p>
      <w:pPr>
        <w:pStyle w:val="ListParagraph"/>
        <w:numPr>
          <w:ilvl w:val="0"/>
          <w:numId w:val="2"/>
        </w:numPr>
        <w:spacing w:after="60"/>
      </w:pPr>
      <w:r>
        <w:rPr>
          <w:rFonts w:ascii="Calibri" w:cs="Calibri" w:eastAsia="Calibri" w:hAnsi="Calibri"/>
          <w:sz w:val="19"/>
          <w:szCs w:val="19"/>
        </w:rPr>
        <w:t xml:space="preserve">An Aset dan Sparepart file containing 9xx codes, two 912 codes, two non-9 codes and one row with no Kode Barang at all — without which the routing rules cannot be judged.</w:t>
      </w:r>
    </w:p>
    <w:p>
      <w:pPr>
        <w:pStyle w:val="ListParagraph"/>
        <w:numPr>
          <w:ilvl w:val="0"/>
          <w:numId w:val="2"/>
        </w:numPr>
        <w:spacing w:after="60"/>
      </w:pPr>
      <w:r>
        <w:rPr>
          <w:rFonts w:ascii="Calibri" w:cs="Calibri" w:eastAsia="Calibri" w:hAnsi="Calibri"/>
          <w:sz w:val="19"/>
          <w:szCs w:val="19"/>
        </w:rPr>
        <w:t xml:space="preserve">A WIP file with one non-numeric quantity and one unparseable date, for the quarantine cases.</w:t>
      </w:r>
    </w:p>
    <w:p>
      <w:pPr>
        <w:pStyle w:val="ListParagraph"/>
        <w:numPr>
          <w:ilvl w:val="0"/>
          <w:numId w:val="2"/>
        </w:numPr>
        <w:spacing w:after="60"/>
      </w:pPr>
      <w:r>
        <w:rPr>
          <w:rFonts w:ascii="Calibri" w:cs="Calibri" w:eastAsia="Calibri" w:hAnsi="Calibri"/>
          <w:sz w:val="19"/>
          <w:szCs w:val="19"/>
        </w:rPr>
        <w:t xml:space="preserve">A Bahan Baku file named "Data Upload 001.xlsx" on a sheet called "Sheet1", so neither name identifies the report — for the ambiguity case.</w:t>
      </w:r>
    </w:p>
    <w:p>
      <w:pPr>
        <w:pStyle w:val="ListParagraph"/>
        <w:numPr>
          <w:ilvl w:val="0"/>
          <w:numId w:val="2"/>
        </w:numPr>
        <w:spacing w:after="60"/>
      </w:pPr>
      <w:r>
        <w:rPr>
          <w:rFonts w:ascii="Calibri" w:cs="Calibri" w:eastAsia="Calibri" w:hAnsi="Calibri"/>
          <w:sz w:val="19"/>
          <w:szCs w:val="19"/>
        </w:rPr>
        <w:t xml:space="preserve">A text file renamed to .xlsx, for the unsupported-format case.</w:t>
      </w:r>
    </w:p>
    <w:p>
      <w:pPr>
        <w:pStyle w:val="ListParagraph"/>
        <w:numPr>
          <w:ilvl w:val="0"/>
          <w:numId w:val="2"/>
        </w:numPr>
        <w:spacing w:after="60"/>
      </w:pPr>
      <w:r>
        <w:rPr>
          <w:rFonts w:ascii="Calibri" w:cs="Calibri" w:eastAsia="Calibri" w:hAnsi="Calibri"/>
          <w:sz w:val="19"/>
          <w:szCs w:val="19"/>
        </w:rPr>
        <w:t xml:space="preserve">Files of 105 MB and 120 MB, to exercise the application cap and the reverse-proxy limit separately.</w:t>
      </w:r>
    </w:p>
    <w:p>
      <w:r>
        <w:br w:type="page"/>
      </w:r>
    </w:p>
    <w:p>
      <w:pPr>
        <w:pStyle w:val="Heading1"/>
        <w:spacing w:after="130" w:before="260"/>
      </w:pPr>
      <w:r>
        <w:rPr>
          <w:rFonts w:ascii="Calibri" w:cs="Calibri" w:eastAsia="Calibri" w:hAnsi="Calibri"/>
          <w:b/>
          <w:bCs/>
          <w:color w:val="0E2841"/>
          <w:sz w:val="30"/>
          <w:szCs w:val="30"/>
        </w:rPr>
        <w:t xml:space="preserve">4. API and back-end results</w:t>
      </w:r>
    </w:p>
    <w:p>
      <w:pPr>
        <w:spacing w:after="100" w:before="0"/>
      </w:pPr>
      <w:r>
        <w:rPr>
          <w:rFonts w:ascii="Calibri" w:cs="Calibri" w:eastAsia="Calibri" w:hAnsi="Calibri"/>
          <w:sz w:val="19"/>
          <w:szCs w:val="19"/>
        </w:rPr>
        <w:t xml:space="preserve">Every row records the value actually observed. Where a case asserts a refusal, the message text returned by the API is quoted.</w:t>
      </w:r>
    </w:p>
    <w:tbl>
      <w:tblPr>
        <w:tblW w:type="dxa" w:w="11150"/>
        <w:tblBorders>
          <w:top w:val="single" w:color="D6DCE4" w:sz="2"/>
          <w:left w:val="single" w:color="D6DCE4" w:sz="2"/>
          <w:bottom w:val="single" w:color="D6DCE4" w:sz="2"/>
          <w:right w:val="single" w:color="D6DCE4" w:sz="2"/>
          <w:insideH w:val="single" w:color="D6DCE4" w:sz="2"/>
          <w:insideV w:val="single" w:color="D6DCE4" w:sz="2"/>
        </w:tblBorders>
      </w:tblPr>
      <w:tblGrid>
        <w:gridCol w:w="1150"/>
        <w:gridCol w:w="1000"/>
        <w:gridCol w:w="3900"/>
        <w:gridCol w:w="4200"/>
        <w:gridCol w:w="900"/>
      </w:tblGrid>
      <w:tr>
        <w:trPr>
          <w:tblHeader/>
        </w:trPr>
        <w:tc>
          <w:tcPr>
            <w:tcW w:type="dxa" w:w="11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3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w:t>
            </w:r>
          </w:p>
        </w:tc>
        <w:tc>
          <w:tcPr>
            <w:tcW w:type="dxa" w:w="4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Observed</w:t>
            </w:r>
          </w:p>
        </w:tc>
        <w:tc>
          <w:tcPr>
            <w:tcW w:type="dxa" w:w="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Result</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TC-01-01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Super Admin logs in and receives a token</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200, token issued, role=Super Admin</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TC-01-03</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Token is accepted on a subsequent call (session persists)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200 from /me with 7 page permissions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TC-01-06</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Wrong password refused with a generic message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401, body=Invalid credentials.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TC-01-07</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Unknown e-mail returns the SAME message (no user enumeration)</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401, message identical to wrong-password case: True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TC-01-12</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No token is rejected with 401</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401</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TC-01-10</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Tampered token is rejected with 401</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401</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TC-01-09</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Blank credentials refused, no server error</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401 (must not be 5xx)</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TC-02-01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Permissions are returned per role</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Site BC User sees 7 permitted pages: admin,audit,dashboard,ingestion,lpm,movement,reports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BC 2.3 TSV-with-.xls-extension identified as BC23</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template=BC23 rows=45</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TC-08-02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4.0 HTML-table-with-.xls-extension identified as BC40</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template=BC40 rows=1353</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TC-08-03</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Four movement extracts identified as WIP/BAHANBAKU/BARANGJADI/ASET</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WIP=WIP(2 rows); Bahan Baku=BAHANBAKU(3 rows); Barang Jadi=BARANGJADI(8 rows); Aset dan Sparepart=ASET(11 rows)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TC-08-04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Three identical Pengeluaran layouts told apart by name</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2.7 In=BC27IN; BC 2.7 Out=BC27OUT; BC 2.5 Out=BC25; BC 4.1 Out=BC41</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TC-08-05</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All 12 upload templates download as .xlsx</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12/12 returned a workbook (pib-import:200 bc40-receipt:200 bc30-export:200 bc27-in:200 bc27-out:200 bc25-out:200 bc41-out:200 wip:200 bahan-baku:200 barang-jadi:200 aset-sparepart:200 scraps:200)</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TC-08-06</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downloaded blank template re-uploads and identifies as its own template</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status=loaded template=BAHANBAKU</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TC-08-09</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Re-uploading identical content is refused as duplicate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status=duplicate message=File already ingested (id 10).</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TC-08-10</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non-spreadsheet is rejected cleanly (no 5xx)</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200 status=rejected message=Unrecognised template/format (FR-I8). Supported: BC23 (TSV), BC40 (HTML table), and the xl</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TC-08-11</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Ambiguous layout rejected naming both candidates, not a 500</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200 status=rejected message=This layout matches Laporan Bahan Baku dan Bahan Penolong and Laporan Barang Jadi equally (identical column headers); th</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TC-08-12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file over the API's 100 MB cap is refused with a readable message</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105 MB -&gt; HTTP 400 body={"type":"https://tools.ietf.org/html/rfc9110#section-15.5.1","title":"VAL-001","status":400,"detail":"File is 105,0 MB; the cap is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TC-08-12b</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file above the reverse-proxy limit is still refused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120 MB -&gt; HTTP 413, bare nginx HTML page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TC-08-13</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Non-multipart POST refused with a clear message</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multipart/form-data expected.</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TC-08-14</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Multipart with no file part refused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file is required.</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TC-08-15</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Derived view sparepart has no upload template of its own</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Laporan Sparepart is a view over Laporan Aset dan Sparepart; upload that file instead.</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TC-08-15b</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Derived view aset has no upload template of its own</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Laporan Aset is a view over Laporan Aset dan Sparepart; upload that file instead.</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TC-09-01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file with one bad value loads its good rows and quarantines the bad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status=partial total=3 loaded=1 quarantined=2</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TC-09-02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Quarantine viewer shows the raw row with a reason naming field and value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200 reasons=[{"rowNo": 3, "rawData": "{\"Sat\": \"KG\", \"Jumlah\": \"abc\", \"Keterangan\": \"quantity is not a number\", \"Kode Barang\": \"701.001.002\", \"Nam</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Exactly six browsable movement reports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6 reports: Laporan WIP | Laporan Bahan Baku dan Bahan Penolong | Laporan Barang Jadi | Laporan Sparepart | Laporan Aset | Laporan Scraps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Laporan Aset dan Sparepart is not browsable (upload template only)</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browse flag = [False]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TC-05-03</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Tanggal Transaksi is a default column on every movement report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wip=True; bahan-baku=True; barang-jadi=True; sparepart=True; aset=True; scraps=True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TC-05-04</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Laporan Sparepart contains only 9xx codes, none 912</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13 rows; prefixes=['901', '902', '903']</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TC-05-05</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Laporan Aset contains only codes not starting with 9</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3 rows; prefixes=['(blank)', '310', '405']</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TC-05-06</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912 rows from the Aset file appear in Bahan Baku</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5 rows in Bahan Baku; 912 codes present=['912.001.006', '912.003.001', '912.777.001']</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TC-05-07</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912 rows appear in NEITHER Sparepart nor Aset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sparepart 912=0, aset 912=0</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TC-05-08</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row with a blank Kode Barang still surfaces (in Aset)</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blank codes in Aset = 1</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TC-05-09</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Sparepart + Aset + 912-to-Bahan-Baku accounts for every ASET row exactly once</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ASET rows stored=18; sparepart=13 + aset=3 + 912=2 = 18</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TC-05-09b</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The grid row counts match those categories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grid sparepart=13 (db 13), grid aset=3 (db 3)</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TC-05-11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Quantities keep full stored precision (not rounded on read)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sample Saldo Akhir values: [23937.76, 69318, 32627, 270, 25]</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TC-04-01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Every customs report loads with its catalogue default columns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pib-import=25 rows/10ms; bc40-receipt=25 rows/16ms; bc30-export=8 rows/8ms; bc27-in=4 rows/19ms; bc27-out=2 rows/9ms; bc25-out=3 rows/5ms; bc41-out=2 rows/10ms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TC-04-09</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Unknown report key returns 404 RPT-001</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Unknown report key 'not-a-report'.</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FAIL</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TC-04-10</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Unknown column returns 400 RPT-001 and runs no SQL</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Unknown column 'Not A Column At All'.</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TC-04-11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Unknown sort field returns 400 RPT-001</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Unknown column 'Kode Barang'.</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TC-04-12</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An empty column list falls back to the report defaults rather than erroring</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200, returned default columns: ['Tipe PIB', 'No. PIB', 'PibDate', 'Supplier Name']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TC-04-13</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SQL in the search box is treated as literal text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200, rows=0 (no SQL error)</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TC-04-08</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Period From later than Period To returns empty, not an error</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200 rows=0</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TC-04-14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Scoped user requesting another entity is refused (SCOPE-001)</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Requested entity outside your scope.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TC-02-08</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Cross-entity access refused for a scoped user</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403 SCOPE-001 present=True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TC-06-04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Server-side sort reverses with dir=desc</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asc first=['BC 2.0', 'BC 2.0'] | desc first=['BC 2.3', 'BC 2.3']</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TC-06-03</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Column order in the request is honoured in the response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requested ['No. PIB', 'Tipe PIB']; returned ['No. PIB', 'Tipe PIB']</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TC-06-07</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Deleting a view that is not yours is refused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404 View not found (or not yours).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TC-07-02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CSV export returns a file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200, 602 bytes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TC-07-05</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unsupported export format is refused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format must be csv or xlsx.</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user can be created for each role and can log in</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Admin=HTTP 200; HO BC User=HTTP 200; Data Steward=HTTP 200; Auditor=HTTP 200</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TC-11-01b</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Each newly created account authenticates with its password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Admin=token; HO BC User=token; Data Steward=token; Auditor=token</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TC-11-06</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Duplicate e-mail refused with MD-001</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409 A user with this email already exists.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TC-11-07</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Invalid e-mail refused with VAL-001</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Valid email required.</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TC-11-08</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Password under 8 characters refused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Password must be at least 8 characters.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TC-11-09</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Admin cannot create a Super Admin</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Only a Super Admin can create Super Admins.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TC-11-10</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An Admin cannot grant all-entities scope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403 Only a Super Admin can grant all-entities scope.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TC-11-11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Entity is required unless all-entities is granted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entityId required unless allEntities.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TC-11-13</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An unknown role is refused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Unknown role.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TC-11-12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admin cannot disable their own account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You cannot disable your own account.</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TC-11-14</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An invalid status value is refused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status must be active|disabled.</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TC-11-15</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Acting on a non-existent user returns not found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404 User not found.</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disabled user can no longer log in</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disable HTTP 200; subsequent login HTTP 401</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TC-01-08</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Disabled account gets the same generic Invalid credentials message</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401 Invalid credentials.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TC-11-03</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Re-enabling restores access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enable HTTP 200; login HTTP 200</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TC-11-04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Password reset works and the old password stops working</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reset HTTP 200; new pw login 200; old pw login 401</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TC-02-02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role's permitted pages are returned and are a subset of Super Admin's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Auditor pages: admin,audit,dashboard,ingestion,lpm,movement,reports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TC-02-06</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role without Ingestion insert cannot upload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Your role (Auditor) is not allowed to insert on Ingestion &amp; Upload. Ask an administrator to adjust Role Management.</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TC-12-01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The role matrix loads with every role and page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6 roles x 7 pages, canEdit=True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TC-12-02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Super Admin row is locked and always full access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locked=True, all pages view=True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TC-12-07</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non-Super-Admin cannot change the matrix</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403 Only a Super Admin can change role permissions (changing your own rights would be privilege escalation).</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TC-12-08</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Super Admin role cannot be restricted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Super Admin always has full access and cannot be restricted — this prevents locking everyone out.</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TC-12-09</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An unknown role in a save is refused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Unknown role 'Sorcerer'.</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TC-12-04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Granting edit auto-grants view (an unopenable page cannot be acted on)</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saved view=False edit=True -&gt; stored view=True edit=True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TC-12-10</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revoked page is refused by the API, not merely hidden in the UI</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after revoking audit view: GET /audit -&gt; HTTP 403 Your role (Auditor) is not allowed to view on Audit Log. Ask an administrator to adjust Role Management.</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TC-02-05</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403 names the role and the page it was refused on</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message: Your role (Auditor) is not allowed to view on Audit Log. Ask an administrator to adjust Role Management.</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TC-13-01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The routing matrix loads every user against every event</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9 users x 4 events, smtpConfigured=True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TC-13-02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Users with no explicit setting fall back to the event defaults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every cell marked isDefault = True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TC-13-03</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routing change saves and stops being marked as default</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saved=1 -&gt; inApp=False email=True isDefault=False</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TC-13-10</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An unknown event key is refused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Unknown notification event 'not-an-event'.</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TC-13-11</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An unknown user id is refused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Unknown user #999999.</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TC-13-12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role without Administration edit cannot change routing</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Your role (Auditor) is not allowed to edit on Administration. Ask an administrator to adjust Role Management.</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TC-14-01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An entity can be added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200 {"id":5}</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TC-14-04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duplicate entity is refused with MD-001</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409 Duplicate entity code or name (FR-A4).</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TC-14-07</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Test entries are blocked in production master data</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409 Test entries are blocked in production master data (FR-A4).</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TC-14-08</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Blank required fields are refused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code and name required.</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TC-14-09</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role without Administration insert cannot add master data</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403 Your role (Auditor) is not allowed to insert on Administration. Ask an administrator to adjust Role Management.</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TC-15-01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trail captures logins, uploads, admin and permission changes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50 entries; actions seen: admin.notifications.routing, admin.role.permissions, admin.user.create, admin.user.reset, admin.user.status, auth.login, auth.login_failed, ingest.duplicate, ingest.load, ingest.re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TC-15-02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Filtering the audit log by action works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action=auth.login -&gt; 10 entries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TC-15-03</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audit log exports</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200, 33609 bytes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TC-15-07</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A role without Audit view is refused</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403 Your role (Site BC User) is not allowed to view on Audit Log. Ask an administrator to adjust Role Management.</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TC-16-01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Notifications are raised and counted for the signed-in user</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unread=27, items=27</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TC-16-02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Mark-all-read clears the unread count</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marked=27 -&gt; unread now 0</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TC-19-01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Every protected endpoint rejects an unauthenticated call</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/reports=401; /audit=401; /admin/users=401; /dashboard/summary=401; /notifications=401; /lpm/saldo=401</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TC-19-04</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Malformed JSON is refused without a stack trace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400, body starts: </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TC-19-03</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SQL in a column name is rejected by the whitelist with no SQL echoed</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400, response mentions SQL keywords=False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TC-19-05</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Error bodies disclose no stack trace, SQL or connection string</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checked 54 error responses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TC-18-01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Report loads return within the 2-second target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pib-import=15ms; bc40-receipt=19ms; bahan-baku=11ms; sparepart=22ms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TC-18-02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Filter, sort and paging each return within 2 seconds</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filter=34ms; sort=19ms; page=19ms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TC-03-01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Dashboard returns its KPI set</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200 keys=kpis,latestIngestions,trend</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TC-03-03</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Dashboard figures respect the signed-in user's entity scope</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super kpis={"documents": 1129, "lines": 1450, "filesLoaded": 15, "quarantined": 3} | scoped kpis={"documents": 1129, "lines": 1450, "filesLoaded": 15, "quarantined": 3}</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TC-10-01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LPM saldo returns opening / in / out / adjustment / closing</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200, {"rows": [{"material": "8010-10.1110", "description": "CRUDE PALM OIL FFA 3.5-5", "uom": "KG", "month": "2026-07-01T00:00:00", "opening": 0, "qtyIn": 181245169,</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TC-10-03</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900"/>
            <w:tcMar>
              <w:top w:type="dxa" w:w="60"/>
              <w:left w:type="dxa" w:w="90"/>
              <w:bottom w:type="dxa" w:w="60"/>
              <w:right w:type="dxa" w:w="90"/>
            </w:tcMar>
          </w:tcPr>
          <w:p>
            <w:pPr>
              <w:spacing w:after="0"/>
            </w:pPr>
            <w:r>
              <w:rPr>
                <w:rFonts w:ascii="Calibri" w:cs="Calibri" w:eastAsia="Calibri" w:hAnsi="Calibri"/>
                <w:sz w:val="17"/>
                <w:szCs w:val="17"/>
              </w:rPr>
              <w:t xml:space="preserve">LPM variances returns with tolerance data</w:t>
            </w:r>
          </w:p>
        </w:tc>
        <w:tc>
          <w:tcPr>
            <w:tcW w:type="dxa" w:w="4200"/>
            <w:tcMar>
              <w:top w:type="dxa" w:w="60"/>
              <w:left w:type="dxa" w:w="90"/>
              <w:bottom w:type="dxa" w:w="60"/>
              <w:right w:type="dxa" w:w="90"/>
            </w:tcMar>
          </w:tcPr>
          <w:p>
            <w:pPr>
              <w:spacing w:after="0"/>
            </w:pPr>
            <w:r>
              <w:rPr>
                <w:rFonts w:ascii="Calibri" w:cs="Calibri" w:eastAsia="Calibri" w:hAnsi="Calibri"/>
                <w:sz w:val="17"/>
                <w:szCs w:val="17"/>
              </w:rPr>
              <w:t xml:space="preserve">HTTP 200, {"rows":[],"summary":{"withVariance":0,"deliveryTracked":28,"totalLines":1353}}</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TC-10-07</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9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role whose LPM view is revoked is refused by the API</w:t>
            </w:r>
          </w:p>
        </w:tc>
        <w:tc>
          <w:tcPr>
            <w:tcW w:type="dxa" w:w="4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HTTP 403 Your role (Auditor) is not allowed to view on LPM / Reconciliation. Ask an administrator to adjust Role Management.</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r>
    </w:tbl>
    <w:p>
      <w:r>
        <w:br w:type="page"/>
      </w:r>
    </w:p>
    <w:p>
      <w:pPr>
        <w:pStyle w:val="Heading1"/>
        <w:spacing w:after="130" w:before="260"/>
      </w:pPr>
      <w:r>
        <w:rPr>
          <w:rFonts w:ascii="Calibri" w:cs="Calibri" w:eastAsia="Calibri" w:hAnsi="Calibri"/>
          <w:b/>
          <w:bCs/>
          <w:color w:val="0E2841"/>
          <w:sz w:val="30"/>
          <w:szCs w:val="30"/>
        </w:rPr>
        <w:t xml:space="preserve">5. Front-end results</w:t>
      </w:r>
    </w:p>
    <w:p>
      <w:pPr>
        <w:spacing w:after="100" w:before="0"/>
      </w:pPr>
      <w:r>
        <w:rPr>
          <w:rFonts w:ascii="Calibri" w:cs="Calibri" w:eastAsia="Calibri" w:hAnsi="Calibri"/>
          <w:sz w:val="19"/>
          <w:szCs w:val="19"/>
        </w:rPr>
        <w:t xml:space="preserve">Each case below was observed in the browser. The evidence column names the screenshot in section 6.</w:t>
      </w:r>
    </w:p>
    <w:tbl>
      <w:tblPr>
        <w:tblW w:type="dxa" w:w="12100"/>
        <w:tblBorders>
          <w:top w:val="single" w:color="D6DCE4" w:sz="2"/>
          <w:left w:val="single" w:color="D6DCE4" w:sz="2"/>
          <w:bottom w:val="single" w:color="D6DCE4" w:sz="2"/>
          <w:right w:val="single" w:color="D6DCE4" w:sz="2"/>
          <w:insideH w:val="single" w:color="D6DCE4" w:sz="2"/>
          <w:insideV w:val="single" w:color="D6DCE4" w:sz="2"/>
        </w:tblBorders>
      </w:tblPr>
      <w:tblGrid>
        <w:gridCol w:w="1150"/>
        <w:gridCol w:w="1000"/>
        <w:gridCol w:w="3300"/>
        <w:gridCol w:w="4000"/>
        <w:gridCol w:w="900"/>
        <w:gridCol w:w="1750"/>
      </w:tblGrid>
      <w:tr>
        <w:trPr>
          <w:tblHeader/>
        </w:trPr>
        <w:tc>
          <w:tcPr>
            <w:tcW w:type="dxa" w:w="11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1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Type</w:t>
            </w:r>
          </w:p>
        </w:tc>
        <w:tc>
          <w:tcPr>
            <w:tcW w:type="dxa" w:w="3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Expected</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Observed</w:t>
            </w:r>
          </w:p>
        </w:tc>
        <w:tc>
          <w:tcPr>
            <w:tcW w:type="dxa" w:w="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Result</w:t>
            </w:r>
          </w:p>
        </w:tc>
        <w:tc>
          <w:tcPr>
            <w:tcW w:type="dxa" w:w="175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Evidence</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TC-01-06</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Wrong password shows a generic refusal</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Banner reads "Invalid credentials." No hint that the account exists.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01-login-invalid.png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TC-01-01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Super Admin lands on the Dashboard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Signed in as Jerry Pratama · Super Admin; all seven pages listed in the sidebar.</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02-dashboard.png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TC-01-02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A role without Dashboard access lands on Reports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Dashboard view revoked for Auditor; QA Auditor landed on /reports and Dashboard is absent from the sidebar.</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19-landing-no-dashboard.png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TC-03-01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Dashboard KPIs render</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Customs documents 1.134, report lines 1.458, files loaded 15, quarantined 3.</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02-dashboard.png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TC-03-03</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Dashboard figures respect entity scope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With data in two entities: Super Admin 1.134 / 1.458 against Site BC User 1.129 / 1.450.</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18-scoped-user.png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TC-02-01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sidebar lists only permitted pages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Site BC User sees Dashboard, Reports, Inventory Movement, LPM only — no Ingestion, Admin or Audit Log.</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18-scoped-user.png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TC-04-01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Reports loads with catalogue defaults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BC 2.3 shows 52 rows, server-side, 22 ms, with the catalogue default columns.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03-reports-default.png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TC-17-04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Column headings use the agreed customs terms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BC 2.3 reads Jenis BC, NoPen, Tanggal Nopen, Pengirim, No PO, HS Code, Kode Barang.</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03-reports-default.png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TC-06-01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Columns can be added and removed</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Chooser lists all 15 fields with checkboxes, grouped by Document / Supplier / Item / Valuation.</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04-reports-columns.png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TC-06-03</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Column order can be changed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Each row carries up/down controls under the heading "SHOWN (15) — to reorder".</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04-reports-columns.png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Six browsable movement reports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WIP · Bahan Baku dan Bahan Penolong · Barang Jadi · Sparepart · Aset · Scraps.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05-movement-picker.png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TC-05-02</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Aset dan Sparepart is not browsable</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Absent from the report picker; present only as an upload template on Ingestion.</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05-movement-picker.png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TC-05-03</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Tanggal Transaksi is a default column</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Present as the first data column on WIP, Bahan Baku, Sparepart and Aset.</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06-laporan-sparepart.png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TC-05-04</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Sparepart holds only 9xx, never 912</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13 rows, every Kode Barang 901 / 902 / 903.</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06-laporan-sparepart.png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TC-05-05</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Aset holds only non-9 codes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3 rows: 405.100.002 Forklift, 310.220.008 Genset, and the blank-code row.</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07-laporan-aset.png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TC-05-06</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912 rows report with Bahan Baku</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5 rows including 912.001.006 and 912.777.001 dated 08/07/2026 and 09/07/2026 from the Aset file.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08-laporan-bahan-baku.png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TC-05-07</w:t>
            </w:r>
          </w:p>
        </w:tc>
        <w:tc>
          <w:tcPr>
            <w:tcW w:type="dxa" w:w="1000"/>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912 appears in neither Sparepart nor Aset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Confirmed on both grids: no 912 code in either.</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07-laporan-aset.png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TC-05-08</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B73532"/>
                <w:sz w:val="17"/>
                <w:szCs w:val="17"/>
              </w:rPr>
              <w:t xml:space="preserve">Negative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blank Kode Barang still surfaces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"ITEM WITH NO CODE" is listed in Laporan Aset rather than disappearing from every view.</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07-laporan-aset.png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TC-05-11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Quantities keep full stored precision</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WIP shows 8.201,657 and 3.582,799 — not rounded to 8.202.</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09-laporan-wip.png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TC-17-01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Indonesian number format throughout</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for thousands and "," for decimals: 1.134, 23.937,76, 8.201,657.</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08-laporan-bahan-baku.png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TC-17-02</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Indonesian date format</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Dates render as 03/07/2026, 11/07/2026, 14/07/2026.</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06-laporan-sparepart.png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TC-17-06</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Branding reads PT SPC</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Badge renders as PT SPC on every page without overflowing its container.</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02-dashboard.png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TC-08-05</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Upload templates are listed and downloadable</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Ingestion lists the upload templates with format, field count and load status.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10-ingestion.png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TC-10-01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LPM / Reconciliation renders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Saldo view loads with opening, in, out, adjustment and closing.</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11-lpm.png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TC-11-01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User management lists accounts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Nine accounts with role, scope, status and Disable / Reset actions.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12-admin-users.png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TC-12-01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role matrix renders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Six roles against seven pages, with view / insert / edit per page.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13-admin-roles.png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TC-13-01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Notification routing renders per user</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Nine users against four events, In-app and Email each, with default markers.</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14-admin-notifications.png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TC-13-03</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saved routing change is reflected in the UI</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QA Data Steward · File ingested shows In-app unticked, Email ticked, and the default marker gone.</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14-admin-notifications.png</w:t>
            </w:r>
          </w:p>
        </w:tc>
      </w:tr>
      <w:tr>
        <w:tc>
          <w:tcPr>
            <w:tcW w:type="dxa" w:w="1150"/>
            <w:tcMar>
              <w:top w:type="dxa" w:w="60"/>
              <w:left w:type="dxa" w:w="90"/>
              <w:bottom w:type="dxa" w:w="60"/>
              <w:right w:type="dxa" w:w="90"/>
            </w:tcMar>
          </w:tcPr>
          <w:p>
            <w:pPr>
              <w:spacing w:after="0"/>
            </w:pPr>
            <w:r>
              <w:rPr>
                <w:rFonts w:ascii="Calibri" w:cs="Calibri" w:eastAsia="Calibri" w:hAnsi="Calibri"/>
                <w:b/>
                <w:bCs/>
                <w:sz w:val="17"/>
                <w:szCs w:val="17"/>
              </w:rPr>
              <w:t xml:space="preserve">TC-14-01</w:t>
            </w:r>
          </w:p>
        </w:tc>
        <w:tc>
          <w:tcPr>
            <w:tcW w:type="dxa" w:w="1000"/>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tcMar>
              <w:top w:type="dxa" w:w="60"/>
              <w:left w:type="dxa" w:w="90"/>
              <w:bottom w:type="dxa" w:w="60"/>
              <w:right w:type="dxa" w:w="90"/>
            </w:tcMar>
          </w:tcPr>
          <w:p>
            <w:pPr>
              <w:spacing w:after="0"/>
            </w:pPr>
            <w:r>
              <w:rPr>
                <w:rFonts w:ascii="Calibri" w:cs="Calibri" w:eastAsia="Calibri" w:hAnsi="Calibri"/>
                <w:sz w:val="17"/>
                <w:szCs w:val="17"/>
              </w:rPr>
              <w:t xml:space="preserve">Master data renders</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Entities, sites and TPB permits are listed and can be added.</w:t>
            </w:r>
          </w:p>
        </w:tc>
        <w:tc>
          <w:tcPr>
            <w:tcW w:type="dxa" w:w="900"/>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tcMar>
              <w:top w:type="dxa" w:w="60"/>
              <w:left w:type="dxa" w:w="90"/>
              <w:bottom w:type="dxa" w:w="60"/>
              <w:right w:type="dxa" w:w="90"/>
            </w:tcMar>
          </w:tcPr>
          <w:p>
            <w:pPr>
              <w:spacing w:after="0"/>
            </w:pPr>
            <w:r>
              <w:rPr>
                <w:rFonts w:ascii="Calibri" w:cs="Calibri" w:eastAsia="Calibri" w:hAnsi="Calibri"/>
                <w:sz w:val="17"/>
                <w:szCs w:val="17"/>
              </w:rPr>
              <w:t xml:space="preserve">15-admin-master.png</w:t>
            </w:r>
          </w:p>
        </w:tc>
      </w:tr>
      <w:tr>
        <w:tc>
          <w:tcPr>
            <w:tcW w:type="dxa" w:w="115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TC-15-01</w:t>
            </w:r>
          </w:p>
        </w:tc>
        <w:tc>
          <w:tcPr>
            <w:tcW w:type="dxa" w:w="10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Positive</w:t>
            </w:r>
          </w:p>
        </w:tc>
        <w:tc>
          <w:tcPr>
            <w:tcW w:type="dxa" w:w="33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 audit log renders with entries</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Entries present for logins, uploads, user changes and permission changes.</w:t>
            </w:r>
          </w:p>
        </w:tc>
        <w:tc>
          <w:tcPr>
            <w:tcW w:type="dxa" w:w="900"/>
            <w:shd w:fill="F4F6F9" w:color="auto" w:val="clear"/>
            <w:tcMar>
              <w:top w:type="dxa" w:w="60"/>
              <w:left w:type="dxa" w:w="90"/>
              <w:bottom w:type="dxa" w:w="60"/>
              <w:right w:type="dxa" w:w="90"/>
            </w:tcMar>
          </w:tcPr>
          <w:p>
            <w:pPr>
              <w:spacing w:after="0"/>
            </w:pPr>
            <w:r>
              <w:rPr>
                <w:rFonts w:ascii="Calibri" w:cs="Calibri" w:eastAsia="Calibri" w:hAnsi="Calibri"/>
                <w:color w:val="1E7A46"/>
                <w:sz w:val="17"/>
                <w:szCs w:val="17"/>
              </w:rPr>
              <w:t xml:space="preserve">PASS</w:t>
            </w:r>
          </w:p>
        </w:tc>
        <w:tc>
          <w:tcPr>
            <w:tcW w:type="dxa" w:w="175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16-audit.png</w:t>
            </w:r>
          </w:p>
        </w:tc>
      </w:tr>
    </w:tbl>
    <w:p>
      <w:r>
        <w:br w:type="page"/>
      </w:r>
    </w:p>
    <w:p>
      <w:pPr>
        <w:pStyle w:val="Heading1"/>
        <w:spacing w:after="130" w:before="260"/>
      </w:pPr>
      <w:r>
        <w:rPr>
          <w:rFonts w:ascii="Calibri" w:cs="Calibri" w:eastAsia="Calibri" w:hAnsi="Calibri"/>
          <w:b/>
          <w:bCs/>
          <w:color w:val="0E2841"/>
          <w:sz w:val="30"/>
          <w:szCs w:val="30"/>
        </w:rPr>
        <w:t xml:space="preserve">6. Screenshot evidence</w:t>
      </w:r>
    </w:p>
    <w:p>
      <w:pPr>
        <w:spacing w:after="100" w:before="0"/>
      </w:pPr>
      <w:r>
        <w:rPr>
          <w:rFonts w:ascii="Calibri" w:cs="Calibri" w:eastAsia="Calibri" w:hAnsi="Calibri"/>
          <w:sz w:val="19"/>
          <w:szCs w:val="19"/>
        </w:rPr>
        <w:t xml:space="preserve">Captured from the running application during this execution. Each is a full-page render at 1600×1000.</w:t>
      </w:r>
    </w:p>
    <w:p>
      <w:pPr>
        <w:pStyle w:val="Heading2"/>
        <w:spacing w:after="130" w:before="260"/>
      </w:pPr>
      <w:r>
        <w:rPr>
          <w:rFonts w:ascii="Calibri" w:cs="Calibri" w:eastAsia="Calibri" w:hAnsi="Calibri"/>
          <w:b/>
          <w:bCs/>
          <w:color w:val="0E2841"/>
          <w:sz w:val="24"/>
          <w:szCs w:val="24"/>
        </w:rPr>
        <w:t xml:space="preserve">Evidence 1 — login invalid</w:t>
      </w:r>
    </w:p>
    <w:p>
      <w:pPr>
        <w:spacing w:after="100" w:before="0"/>
      </w:pPr>
      <w:r>
        <w:rPr>
          <w:rFonts w:ascii="Calibri" w:cs="Calibri" w:eastAsia="Calibri" w:hAnsi="Calibri"/>
          <w:color w:val="6B7683"/>
          <w:sz w:val="18"/>
          <w:szCs w:val="18"/>
        </w:rPr>
        <w:t xml:space="preserve">TC-01-06 — a wrong password is refused with the generic message "Invalid credentials." The distinguishing reason is written only to the audit trail.</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2 — dashboard</w:t>
      </w:r>
    </w:p>
    <w:p>
      <w:pPr>
        <w:spacing w:after="100" w:before="0"/>
      </w:pPr>
      <w:r>
        <w:rPr>
          <w:rFonts w:ascii="Calibri" w:cs="Calibri" w:eastAsia="Calibri" w:hAnsi="Calibri"/>
          <w:color w:val="6B7683"/>
          <w:sz w:val="18"/>
          <w:szCs w:val="18"/>
        </w:rPr>
        <w:t xml:space="preserve">TC-01-01 / TC-03-01 / TC-17-01 — Super Admin dashboard. Indonesian number format throughout, and all seven pages in the sidebar.</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3 — landing no dashboard</w:t>
      </w:r>
    </w:p>
    <w:p>
      <w:pPr>
        <w:spacing w:after="100" w:before="0"/>
      </w:pPr>
      <w:r>
        <w:rPr>
          <w:rFonts w:ascii="Calibri" w:cs="Calibri" w:eastAsia="Calibri" w:hAnsi="Calibri"/>
          <w:color w:val="6B7683"/>
          <w:sz w:val="18"/>
          <w:szCs w:val="18"/>
        </w:rPr>
        <w:t xml:space="preserve">TC-01-02 — with Dashboard view revoked, the Auditor lands on Reports and Dashboard is absent from the sidebar.</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4 — scoped user</w:t>
      </w:r>
    </w:p>
    <w:p>
      <w:pPr>
        <w:spacing w:after="100" w:before="0"/>
      </w:pPr>
      <w:r>
        <w:rPr>
          <w:rFonts w:ascii="Calibri" w:cs="Calibri" w:eastAsia="Calibri" w:hAnsi="Calibri"/>
          <w:color w:val="6B7683"/>
          <w:sz w:val="18"/>
          <w:szCs w:val="18"/>
        </w:rPr>
        <w:t xml:space="preserve">TC-02-01 / TC-03-03 — the Site BC User. Scope reads "Entity #1 · Site #1", the sidebar is reduced to four pages, and the figures are lower than the Super Admin view.</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5 — reports default</w:t>
      </w:r>
    </w:p>
    <w:p>
      <w:pPr>
        <w:spacing w:after="100" w:before="0"/>
      </w:pPr>
      <w:r>
        <w:rPr>
          <w:rFonts w:ascii="Calibri" w:cs="Calibri" w:eastAsia="Calibri" w:hAnsi="Calibri"/>
          <w:color w:val="6B7683"/>
          <w:sz w:val="18"/>
          <w:szCs w:val="18"/>
        </w:rPr>
        <w:t xml:space="preserve">TC-04-01 / TC-17-04 — Reports with the catalogue default columns and the agreed BC 2.3 headings.</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6 — reports columns</w:t>
      </w:r>
    </w:p>
    <w:p>
      <w:pPr>
        <w:spacing w:after="100" w:before="0"/>
      </w:pPr>
      <w:r>
        <w:rPr>
          <w:rFonts w:ascii="Calibri" w:cs="Calibri" w:eastAsia="Calibri" w:hAnsi="Calibri"/>
          <w:color w:val="6B7683"/>
          <w:sz w:val="18"/>
          <w:szCs w:val="18"/>
        </w:rPr>
        <w:t xml:space="preserve">TC-06-01 / TC-06-03 — the column chooser: every field with a checkbox, grouped, each with up/down reorder controls.</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7 — movement picker</w:t>
      </w:r>
    </w:p>
    <w:p>
      <w:pPr>
        <w:spacing w:after="100" w:before="0"/>
      </w:pPr>
      <w:r>
        <w:rPr>
          <w:rFonts w:ascii="Calibri" w:cs="Calibri" w:eastAsia="Calibri" w:hAnsi="Calibri"/>
          <w:color w:val="6B7683"/>
          <w:sz w:val="18"/>
          <w:szCs w:val="18"/>
        </w:rPr>
        <w:t xml:space="preserve">TC-05-01 / TC-05-02 — exactly six browsable movement reports; Laporan Aset dan Sparepart is not among them.</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8 — laporan sparepart</w:t>
      </w:r>
    </w:p>
    <w:p>
      <w:pPr>
        <w:spacing w:after="100" w:before="0"/>
      </w:pPr>
      <w:r>
        <w:rPr>
          <w:rFonts w:ascii="Calibri" w:cs="Calibri" w:eastAsia="Calibri" w:hAnsi="Calibri"/>
          <w:color w:val="6B7683"/>
          <w:sz w:val="18"/>
          <w:szCs w:val="18"/>
        </w:rPr>
        <w:t xml:space="preserve">TC-05-04 / TC-17-02 — Laporan Sparepart: 13 rows, all 901 / 902 / 903, none 912. Tanggal Transaksi is the first data column.</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9 — laporan aset</w:t>
      </w:r>
    </w:p>
    <w:p>
      <w:pPr>
        <w:spacing w:after="100" w:before="0"/>
      </w:pPr>
      <w:r>
        <w:rPr>
          <w:rFonts w:ascii="Calibri" w:cs="Calibri" w:eastAsia="Calibri" w:hAnsi="Calibri"/>
          <w:color w:val="6B7683"/>
          <w:sz w:val="18"/>
          <w:szCs w:val="18"/>
        </w:rPr>
        <w:t xml:space="preserve">TC-05-05 / TC-05-07 / TC-05-08 — Laporan Aset: only non-9 codes, and the blank-code row is visible rather than lost.</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10 — laporan bahan baku</w:t>
      </w:r>
    </w:p>
    <w:p>
      <w:pPr>
        <w:spacing w:after="100" w:before="0"/>
      </w:pPr>
      <w:r>
        <w:rPr>
          <w:rFonts w:ascii="Calibri" w:cs="Calibri" w:eastAsia="Calibri" w:hAnsi="Calibri"/>
          <w:color w:val="6B7683"/>
          <w:sz w:val="18"/>
          <w:szCs w:val="18"/>
        </w:rPr>
        <w:t xml:space="preserve">TC-05-06 — the 912 rows uploaded inside the Aset dan Sparepart file are reported here, alongside the Bahan Baku file’s own rows.</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11 — laporan wip</w:t>
      </w:r>
    </w:p>
    <w:p>
      <w:pPr>
        <w:spacing w:after="100" w:before="0"/>
      </w:pPr>
      <w:r>
        <w:rPr>
          <w:rFonts w:ascii="Calibri" w:cs="Calibri" w:eastAsia="Calibri" w:hAnsi="Calibri"/>
          <w:color w:val="6B7683"/>
          <w:sz w:val="18"/>
          <w:szCs w:val="18"/>
        </w:rPr>
        <w:t xml:space="preserve">TC-05-11 — quantities keep full stored precision: 8.201,657 rather than a rounded 8.202.</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12 — ingestion</w:t>
      </w:r>
    </w:p>
    <w:p>
      <w:pPr>
        <w:spacing w:after="100" w:before="0"/>
      </w:pPr>
      <w:r>
        <w:rPr>
          <w:rFonts w:ascii="Calibri" w:cs="Calibri" w:eastAsia="Calibri" w:hAnsi="Calibri"/>
          <w:color w:val="6B7683"/>
          <w:sz w:val="18"/>
          <w:szCs w:val="18"/>
        </w:rPr>
        <w:t xml:space="preserve">TC-08-05 — upload templates with format and load status, and the ingested files list.</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13 — lpm</w:t>
      </w:r>
    </w:p>
    <w:p>
      <w:pPr>
        <w:spacing w:after="100" w:before="0"/>
      </w:pPr>
      <w:r>
        <w:rPr>
          <w:rFonts w:ascii="Calibri" w:cs="Calibri" w:eastAsia="Calibri" w:hAnsi="Calibri"/>
          <w:color w:val="6B7683"/>
          <w:sz w:val="18"/>
          <w:szCs w:val="18"/>
        </w:rPr>
        <w:t xml:space="preserve">TC-10-01 — LPM / Reconciliation.</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14 — admin users</w:t>
      </w:r>
    </w:p>
    <w:p>
      <w:pPr>
        <w:spacing w:after="100" w:before="0"/>
      </w:pPr>
      <w:r>
        <w:rPr>
          <w:rFonts w:ascii="Calibri" w:cs="Calibri" w:eastAsia="Calibri" w:hAnsi="Calibri"/>
          <w:color w:val="6B7683"/>
          <w:sz w:val="18"/>
          <w:szCs w:val="18"/>
        </w:rPr>
        <w:t xml:space="preserve">TC-11-01 — user management: role, scope, status, and Disable / Reset actions.</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15 — admin roles</w:t>
      </w:r>
    </w:p>
    <w:p>
      <w:pPr>
        <w:spacing w:after="100" w:before="0"/>
      </w:pPr>
      <w:r>
        <w:rPr>
          <w:rFonts w:ascii="Calibri" w:cs="Calibri" w:eastAsia="Calibri" w:hAnsi="Calibri"/>
          <w:color w:val="6B7683"/>
          <w:sz w:val="18"/>
          <w:szCs w:val="18"/>
        </w:rPr>
        <w:t xml:space="preserve">TC-12-01 / TC-12-02 — the role matrix, with the Super Admin row marked as always full access.</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16 — admin notifications</w:t>
      </w:r>
    </w:p>
    <w:p>
      <w:pPr>
        <w:spacing w:after="100" w:before="0"/>
      </w:pPr>
      <w:r>
        <w:rPr>
          <w:rFonts w:ascii="Calibri" w:cs="Calibri" w:eastAsia="Calibri" w:hAnsi="Calibri"/>
          <w:color w:val="6B7683"/>
          <w:sz w:val="18"/>
          <w:szCs w:val="18"/>
        </w:rPr>
        <w:t xml:space="preserve">TC-13-01 / TC-13-03 — per-user notification routing. QA Data Steward shows the saved change: In-app off, Email on, default marker gone.</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17 — admin master</w:t>
      </w:r>
    </w:p>
    <w:p>
      <w:pPr>
        <w:spacing w:after="100" w:before="0"/>
      </w:pPr>
      <w:r>
        <w:rPr>
          <w:rFonts w:ascii="Calibri" w:cs="Calibri" w:eastAsia="Calibri" w:hAnsi="Calibri"/>
          <w:color w:val="6B7683"/>
          <w:sz w:val="18"/>
          <w:szCs w:val="18"/>
        </w:rPr>
        <w:t xml:space="preserve">TC-14-01 — master data: entities, sites and TPB permits.</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915400" cy="5572125"/>
                    </a:xfrm>
                    <a:prstGeom prst="rect">
                      <a:avLst/>
                    </a:prstGeom>
                  </pic:spPr>
                </pic:pic>
              </a:graphicData>
            </a:graphic>
          </wp:inline>
        </w:drawing>
      </w:r>
    </w:p>
    <w:p>
      <w:r>
        <w:br w:type="page"/>
      </w:r>
    </w:p>
    <w:p>
      <w:pPr>
        <w:pStyle w:val="Heading2"/>
        <w:spacing w:after="130" w:before="260"/>
      </w:pPr>
      <w:r>
        <w:rPr>
          <w:rFonts w:ascii="Calibri" w:cs="Calibri" w:eastAsia="Calibri" w:hAnsi="Calibri"/>
          <w:b/>
          <w:bCs/>
          <w:color w:val="0E2841"/>
          <w:sz w:val="24"/>
          <w:szCs w:val="24"/>
        </w:rPr>
        <w:t xml:space="preserve">Evidence 18 — audit</w:t>
      </w:r>
    </w:p>
    <w:p>
      <w:pPr>
        <w:spacing w:after="100" w:before="0"/>
      </w:pPr>
      <w:r>
        <w:rPr>
          <w:rFonts w:ascii="Calibri" w:cs="Calibri" w:eastAsia="Calibri" w:hAnsi="Calibri"/>
          <w:color w:val="6B7683"/>
          <w:sz w:val="18"/>
          <w:szCs w:val="18"/>
        </w:rPr>
        <w:t xml:space="preserve">TC-15-01 — the audit log.</w:t>
      </w:r>
    </w:p>
    <w:p>
      <w:pPr>
        <w:spacing w:after="120"/>
      </w:pPr>
      <w:r>
        <w:drawing>
          <wp:inline distT="0" distB="0" distL="0" distR="0">
            <wp:extent cx="8915400" cy="557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8915400" cy="5572125"/>
                    </a:xfrm>
                    <a:prstGeom prst="rect">
                      <a:avLst/>
                    </a:prstGeom>
                  </pic:spPr>
                </pic:pic>
              </a:graphicData>
            </a:graphic>
          </wp:inline>
        </w:drawing>
      </w:r>
    </w:p>
    <w:p>
      <w:r>
        <w:br w:type="page"/>
      </w:r>
    </w:p>
    <w:p>
      <w:pPr>
        <w:pStyle w:val="Heading1"/>
        <w:spacing w:after="130" w:before="260"/>
      </w:pPr>
      <w:r>
        <w:rPr>
          <w:rFonts w:ascii="Calibri" w:cs="Calibri" w:eastAsia="Calibri" w:hAnsi="Calibri"/>
          <w:b/>
          <w:bCs/>
          <w:color w:val="0E2841"/>
          <w:sz w:val="30"/>
          <w:szCs w:val="30"/>
        </w:rPr>
        <w:t xml:space="preserve">7. Findings</w:t>
      </w:r>
    </w:p>
    <w:p>
      <w:pPr>
        <w:spacing w:after="100" w:before="0"/>
      </w:pPr>
      <w:r>
        <w:rPr>
          <w:rFonts w:ascii="Calibri" w:cs="Calibri" w:eastAsia="Calibri" w:hAnsi="Calibri"/>
          <w:sz w:val="19"/>
          <w:szCs w:val="19"/>
        </w:rPr>
        <w:t xml:space="preserve">No critical or major defect was found. None of the following blocks user testing.</w:t>
      </w:r>
    </w:p>
    <w:tbl>
      <w:tblPr>
        <w:tblW w:type="dxa" w:w="11400"/>
        <w:tblBorders>
          <w:top w:val="single" w:color="D6DCE4" w:sz="2"/>
          <w:left w:val="single" w:color="D6DCE4" w:sz="2"/>
          <w:bottom w:val="single" w:color="D6DCE4" w:sz="2"/>
          <w:right w:val="single" w:color="D6DCE4" w:sz="2"/>
          <w:insideH w:val="single" w:color="D6DCE4" w:sz="2"/>
          <w:insideV w:val="single" w:color="D6DCE4" w:sz="2"/>
        </w:tblBorders>
      </w:tblPr>
      <w:tblGrid>
        <w:gridCol w:w="900"/>
        <w:gridCol w:w="1500"/>
        <w:gridCol w:w="3800"/>
        <w:gridCol w:w="4000"/>
        <w:gridCol w:w="1200"/>
      </w:tblGrid>
      <w:tr>
        <w:trPr>
          <w:tblHeader/>
        </w:trPr>
        <w:tc>
          <w:tcPr>
            <w:tcW w:type="dxa" w:w="9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Ref</w:t>
            </w:r>
          </w:p>
        </w:tc>
        <w:tc>
          <w:tcPr>
            <w:tcW w:type="dxa" w:w="15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Severity</w:t>
            </w:r>
          </w:p>
        </w:tc>
        <w:tc>
          <w:tcPr>
            <w:tcW w:type="dxa" w:w="38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Finding</w:t>
            </w:r>
          </w:p>
        </w:tc>
        <w:tc>
          <w:tcPr>
            <w:tcW w:type="dxa" w:w="40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Evidence</w:t>
            </w:r>
          </w:p>
        </w:tc>
        <w:tc>
          <w:tcPr>
            <w:tcW w:type="dxa" w:w="12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Suggested action</w:t>
            </w:r>
          </w:p>
        </w:tc>
      </w:tr>
      <w:tr>
        <w:tc>
          <w:tcPr>
            <w:tcW w:type="dxa" w:w="900"/>
            <w:tcMar>
              <w:top w:type="dxa" w:w="60"/>
              <w:left w:type="dxa" w:w="90"/>
              <w:bottom w:type="dxa" w:w="60"/>
              <w:right w:type="dxa" w:w="90"/>
            </w:tcMar>
          </w:tcPr>
          <w:p>
            <w:pPr>
              <w:spacing w:after="0"/>
            </w:pPr>
            <w:r>
              <w:rPr>
                <w:rFonts w:ascii="Calibri" w:cs="Calibri" w:eastAsia="Calibri" w:hAnsi="Calibri"/>
                <w:b/>
                <w:bCs/>
                <w:sz w:val="17"/>
                <w:szCs w:val="17"/>
              </w:rPr>
              <w:t xml:space="preserve">F-01</w:t>
            </w:r>
          </w:p>
        </w:tc>
        <w:tc>
          <w:tcPr>
            <w:tcW w:type="dxa" w:w="1500"/>
            <w:tcMar>
              <w:top w:type="dxa" w:w="60"/>
              <w:left w:type="dxa" w:w="90"/>
              <w:bottom w:type="dxa" w:w="60"/>
              <w:right w:type="dxa" w:w="90"/>
            </w:tcMar>
          </w:tcPr>
          <w:p>
            <w:pPr>
              <w:spacing w:after="0"/>
            </w:pPr>
            <w:r>
              <w:rPr>
                <w:rFonts w:ascii="Calibri" w:cs="Calibri" w:eastAsia="Calibri" w:hAnsi="Calibri"/>
                <w:color w:val="B4551F"/>
                <w:sz w:val="17"/>
                <w:szCs w:val="17"/>
              </w:rPr>
              <w:t xml:space="preserve">Minor</w:t>
            </w:r>
          </w:p>
        </w:tc>
        <w:tc>
          <w:tcPr>
            <w:tcW w:type="dxa" w:w="3800"/>
            <w:tcMar>
              <w:top w:type="dxa" w:w="60"/>
              <w:left w:type="dxa" w:w="90"/>
              <w:bottom w:type="dxa" w:w="60"/>
              <w:right w:type="dxa" w:w="90"/>
            </w:tcMar>
          </w:tcPr>
          <w:p>
            <w:pPr>
              <w:spacing w:after="0"/>
            </w:pPr>
            <w:r>
              <w:rPr>
                <w:rFonts w:ascii="Calibri" w:cs="Calibri" w:eastAsia="Calibri" w:hAnsi="Calibri"/>
                <w:sz w:val="17"/>
                <w:szCs w:val="17"/>
              </w:rPr>
              <w:t xml:space="preserve">An unknown report key returns HTTP 400 from the query endpoint but HTTP 404 from the blank-template endpoint. Both are safe and both carry code RPT-001, but two endpoints disagree on the status for the same class of error.</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TC-04-09: POST /reports/not-a-report/query returned 400 "Unknown report key 'not-a-report'." while GET /reports/{key}/template returns 404 for the same condition.</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Align on 404</w:t>
            </w:r>
          </w:p>
        </w:tc>
      </w:tr>
      <w:tr>
        <w:tc>
          <w:tcPr>
            <w:tcW w:type="dxa" w:w="9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F-02</w:t>
            </w:r>
          </w:p>
        </w:tc>
        <w:tc>
          <w:tcPr>
            <w:tcW w:type="dxa" w:w="1500"/>
            <w:shd w:fill="F4F6F9" w:color="auto" w:val="clear"/>
            <w:tcMar>
              <w:top w:type="dxa" w:w="60"/>
              <w:left w:type="dxa" w:w="90"/>
              <w:bottom w:type="dxa" w:w="60"/>
              <w:right w:type="dxa" w:w="90"/>
            </w:tcMar>
          </w:tcPr>
          <w:p>
            <w:pPr>
              <w:spacing w:after="0"/>
            </w:pPr>
            <w:r>
              <w:rPr>
                <w:rFonts w:ascii="Calibri" w:cs="Calibri" w:eastAsia="Calibri" w:hAnsi="Calibri"/>
                <w:color w:val="B4551F"/>
                <w:sz w:val="17"/>
                <w:szCs w:val="17"/>
              </w:rPr>
              <w:t xml:space="preserve">Minor</w:t>
            </w:r>
          </w:p>
        </w:tc>
        <w:tc>
          <w:tcPr>
            <w:tcW w:type="dxa" w:w="38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file larger than the reverse-proxy limit is refused with a bare nginx HTML error page instead of the application's readable message. Files between the application cap and the proxy limit do get the readable message, so only very large files are affected.</w:t>
            </w:r>
          </w:p>
        </w:tc>
        <w:tc>
          <w:tcPr>
            <w:tcW w:type="dxa" w:w="40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TC-08-12: a 105 MB file returned the API's VAL-001 message. TC-08-12b: a 120 MB file returned an nginx "413 Request Entity Too Large" HTML page.</w:t>
            </w:r>
          </w:p>
        </w:tc>
        <w:tc>
          <w:tcPr>
            <w:tcW w:type="dxa" w:w="12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Custom 413 page</w:t>
            </w:r>
          </w:p>
        </w:tc>
      </w:tr>
      <w:tr>
        <w:tc>
          <w:tcPr>
            <w:tcW w:type="dxa" w:w="900"/>
            <w:tcMar>
              <w:top w:type="dxa" w:w="60"/>
              <w:left w:type="dxa" w:w="90"/>
              <w:bottom w:type="dxa" w:w="60"/>
              <w:right w:type="dxa" w:w="90"/>
            </w:tcMar>
          </w:tcPr>
          <w:p>
            <w:pPr>
              <w:spacing w:after="0"/>
            </w:pPr>
            <w:r>
              <w:rPr>
                <w:rFonts w:ascii="Calibri" w:cs="Calibri" w:eastAsia="Calibri" w:hAnsi="Calibri"/>
                <w:b/>
                <w:bCs/>
                <w:sz w:val="17"/>
                <w:szCs w:val="17"/>
              </w:rPr>
              <w:t xml:space="preserve">F-03</w:t>
            </w:r>
          </w:p>
        </w:tc>
        <w:tc>
          <w:tcPr>
            <w:tcW w:type="dxa" w:w="1500"/>
            <w:tcMar>
              <w:top w:type="dxa" w:w="60"/>
              <w:left w:type="dxa" w:w="90"/>
              <w:bottom w:type="dxa" w:w="60"/>
              <w:right w:type="dxa" w:w="90"/>
            </w:tcMar>
          </w:tcPr>
          <w:p>
            <w:pPr>
              <w:spacing w:after="0"/>
            </w:pPr>
            <w:r>
              <w:rPr>
                <w:rFonts w:ascii="Calibri" w:cs="Calibri" w:eastAsia="Calibri" w:hAnsi="Calibri"/>
                <w:color w:val="6B7683"/>
                <w:sz w:val="17"/>
                <w:szCs w:val="17"/>
              </w:rPr>
              <w:t xml:space="preserve">Observation</w:t>
            </w:r>
          </w:p>
        </w:tc>
        <w:tc>
          <w:tcPr>
            <w:tcW w:type="dxa" w:w="3800"/>
            <w:tcMar>
              <w:top w:type="dxa" w:w="60"/>
              <w:left w:type="dxa" w:w="90"/>
              <w:bottom w:type="dxa" w:w="60"/>
              <w:right w:type="dxa" w:w="90"/>
            </w:tcMar>
          </w:tcPr>
          <w:p>
            <w:pPr>
              <w:spacing w:after="0"/>
            </w:pPr>
            <w:r>
              <w:rPr>
                <w:rFonts w:ascii="Calibri" w:cs="Calibri" w:eastAsia="Calibri" w:hAnsi="Calibri"/>
                <w:sz w:val="17"/>
                <w:szCs w:val="17"/>
              </w:rPr>
              <w:t xml:space="preserve">Two of the four Dashboard tiles are not entity-scoped. Customs documents and Report lines correctly narrow to the signed-in user's entity; Files loaded and Quarantined rows show group-wide totals on a page captioned "scoped to your access". Only aggregate counts are exposed, no row data.</w:t>
            </w:r>
          </w:p>
        </w:tc>
        <w:tc>
          <w:tcPr>
            <w:tcW w:type="dxa" w:w="4000"/>
            <w:tcMar>
              <w:top w:type="dxa" w:w="60"/>
              <w:left w:type="dxa" w:w="90"/>
              <w:bottom w:type="dxa" w:w="60"/>
              <w:right w:type="dxa" w:w="90"/>
            </w:tcMar>
          </w:tcPr>
          <w:p>
            <w:pPr>
              <w:spacing w:after="0"/>
            </w:pPr>
            <w:r>
              <w:rPr>
                <w:rFonts w:ascii="Calibri" w:cs="Calibri" w:eastAsia="Calibri" w:hAnsi="Calibri"/>
                <w:sz w:val="17"/>
                <w:szCs w:val="17"/>
              </w:rPr>
              <w:t xml:space="preserve">TC-03-03: with data in two entities, Super Admin saw 1.134 / 1.458 / 15 / 3 and the Site BC User saw 1.129 / 1.450 / 15 / 3.</w:t>
            </w:r>
          </w:p>
        </w:tc>
        <w:tc>
          <w:tcPr>
            <w:tcW w:type="dxa" w:w="1200"/>
            <w:tcMar>
              <w:top w:type="dxa" w:w="60"/>
              <w:left w:type="dxa" w:w="90"/>
              <w:bottom w:type="dxa" w:w="60"/>
              <w:right w:type="dxa" w:w="90"/>
            </w:tcMar>
          </w:tcPr>
          <w:p>
            <w:pPr>
              <w:spacing w:after="0"/>
            </w:pPr>
            <w:r>
              <w:rPr>
                <w:rFonts w:ascii="Calibri" w:cs="Calibri" w:eastAsia="Calibri" w:hAnsi="Calibri"/>
                <w:sz w:val="17"/>
                <w:szCs w:val="17"/>
              </w:rPr>
              <w:t xml:space="preserve">Scope or re-label</w:t>
            </w:r>
          </w:p>
        </w:tc>
      </w:tr>
    </w:tbl>
    <w:p>
      <w:pPr>
        <w:pStyle w:val="Heading1"/>
        <w:spacing w:after="130" w:before="260"/>
      </w:pPr>
      <w:r>
        <w:rPr>
          <w:rFonts w:ascii="Calibri" w:cs="Calibri" w:eastAsia="Calibri" w:hAnsi="Calibri"/>
          <w:b/>
          <w:bCs/>
          <w:color w:val="0E2841"/>
          <w:sz w:val="30"/>
          <w:szCs w:val="30"/>
        </w:rPr>
        <w:t xml:space="preserve">8. Corrections to the test pack</w:t>
      </w:r>
    </w:p>
    <w:p>
      <w:pPr>
        <w:spacing w:after="100" w:before="0"/>
      </w:pPr>
      <w:r>
        <w:rPr>
          <w:rFonts w:ascii="Calibri" w:cs="Calibri" w:eastAsia="Calibri" w:hAnsi="Calibri"/>
          <w:sz w:val="19"/>
          <w:szCs w:val="19"/>
        </w:rPr>
        <w:t xml:space="preserve">Four scenarios in the pack asserted behaviour the system does not have, and were corrected during the run. These were errors in the pack, not in the application; the pack should be updated before the next cycle.</w:t>
      </w:r>
    </w:p>
    <w:tbl>
      <w:tblPr>
        <w:tblW w:type="dxa" w:w="11000"/>
        <w:tblBorders>
          <w:top w:val="single" w:color="D6DCE4" w:sz="2"/>
          <w:left w:val="single" w:color="D6DCE4" w:sz="2"/>
          <w:bottom w:val="single" w:color="D6DCE4" w:sz="2"/>
          <w:right w:val="single" w:color="D6DCE4" w:sz="2"/>
          <w:insideH w:val="single" w:color="D6DCE4" w:sz="2"/>
          <w:insideV w:val="single" w:color="D6DCE4" w:sz="2"/>
        </w:tblBorders>
      </w:tblPr>
      <w:tblGrid>
        <w:gridCol w:w="1300"/>
        <w:gridCol w:w="4600"/>
        <w:gridCol w:w="5100"/>
      </w:tblGrid>
      <w:tr>
        <w:trPr>
          <w:tblHeader/>
        </w:trPr>
        <w:tc>
          <w:tcPr>
            <w:tcW w:type="dxa" w:w="13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Test ID</w:t>
            </w:r>
          </w:p>
        </w:tc>
        <w:tc>
          <w:tcPr>
            <w:tcW w:type="dxa" w:w="4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the pack said</w:t>
            </w:r>
          </w:p>
        </w:tc>
        <w:tc>
          <w:tcPr>
            <w:tcW w:type="dxa" w:w="51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What the system actually does — and why it is right</w:t>
            </w:r>
          </w:p>
        </w:tc>
      </w:tr>
      <w:tr>
        <w:tc>
          <w:tcPr>
            <w:tcW w:type="dxa" w:w="1300"/>
            <w:tcMar>
              <w:top w:type="dxa" w:w="60"/>
              <w:left w:type="dxa" w:w="90"/>
              <w:bottom w:type="dxa" w:w="60"/>
              <w:right w:type="dxa" w:w="90"/>
            </w:tcMar>
          </w:tcPr>
          <w:p>
            <w:pPr>
              <w:spacing w:after="0"/>
            </w:pPr>
            <w:r>
              <w:rPr>
                <w:rFonts w:ascii="Calibri" w:cs="Calibri" w:eastAsia="Calibri" w:hAnsi="Calibri"/>
                <w:b/>
                <w:bCs/>
                <w:sz w:val="17"/>
                <w:szCs w:val="17"/>
              </w:rPr>
              <w:t xml:space="preserve">TC-04-12</w:t>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An empty column list should be refused with VAL-001.</w:t>
            </w:r>
          </w:p>
        </w:tc>
        <w:tc>
          <w:tcPr>
            <w:tcW w:type="dxa" w:w="5100"/>
            <w:tcMar>
              <w:top w:type="dxa" w:w="60"/>
              <w:left w:type="dxa" w:w="90"/>
              <w:bottom w:type="dxa" w:w="60"/>
              <w:right w:type="dxa" w:w="90"/>
            </w:tcMar>
          </w:tcPr>
          <w:p>
            <w:pPr>
              <w:spacing w:after="0"/>
            </w:pPr>
            <w:r>
              <w:rPr>
                <w:rFonts w:ascii="Calibri" w:cs="Calibri" w:eastAsia="Calibri" w:hAnsi="Calibri"/>
                <w:sz w:val="17"/>
                <w:szCs w:val="17"/>
              </w:rPr>
              <w:t xml:space="preserve">A query with no columns falls back to the report's default columns. That is deliberate and is the more useful behaviour; the "columns required" guard applies to exports.</w:t>
            </w:r>
          </w:p>
        </w:tc>
      </w:tr>
      <w:tr>
        <w:tc>
          <w:tcPr>
            <w:tcW w:type="dxa" w:w="13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TC-14-07</w:t>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A blocked test entry should return HTTP 400.</w:t>
            </w:r>
          </w:p>
        </w:tc>
        <w:tc>
          <w:tcPr>
            <w:tcW w:type="dxa" w:w="5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It returns HTTP 409 with the correct message and the entry is blocked. Only the status differs.</w:t>
            </w:r>
          </w:p>
        </w:tc>
      </w:tr>
      <w:tr>
        <w:tc>
          <w:tcPr>
            <w:tcW w:type="dxa" w:w="1300"/>
            <w:tcMar>
              <w:top w:type="dxa" w:w="60"/>
              <w:left w:type="dxa" w:w="90"/>
              <w:bottom w:type="dxa" w:w="60"/>
              <w:right w:type="dxa" w:w="90"/>
            </w:tcMar>
          </w:tcPr>
          <w:p>
            <w:pPr>
              <w:spacing w:after="0"/>
            </w:pPr>
            <w:r>
              <w:rPr>
                <w:rFonts w:ascii="Calibri" w:cs="Calibri" w:eastAsia="Calibri" w:hAnsi="Calibri"/>
                <w:b/>
                <w:bCs/>
                <w:sz w:val="17"/>
                <w:szCs w:val="17"/>
              </w:rPr>
              <w:t xml:space="preserve">TC-10-07</w:t>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The Auditor role lacks LPM access.</w:t>
            </w:r>
          </w:p>
        </w:tc>
        <w:tc>
          <w:tcPr>
            <w:tcW w:type="dxa" w:w="5100"/>
            <w:tcMar>
              <w:top w:type="dxa" w:w="60"/>
              <w:left w:type="dxa" w:w="90"/>
              <w:bottom w:type="dxa" w:w="60"/>
              <w:right w:type="dxa" w:w="90"/>
            </w:tcMar>
          </w:tcPr>
          <w:p>
            <w:pPr>
              <w:spacing w:after="0"/>
            </w:pPr>
            <w:r>
              <w:rPr>
                <w:rFonts w:ascii="Calibri" w:cs="Calibri" w:eastAsia="Calibri" w:hAnsi="Calibri"/>
                <w:sz w:val="17"/>
                <w:szCs w:val="17"/>
              </w:rPr>
              <w:t xml:space="preserve">The Auditor has LPM view by default. The case was re-run by revoking that permission first, which then correctly returned 403.</w:t>
            </w:r>
          </w:p>
        </w:tc>
      </w:tr>
      <w:tr>
        <w:tc>
          <w:tcPr>
            <w:tcW w:type="dxa" w:w="13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TC-04-08, 04-13, 04-14, 06-03, 06-04, 07-02, 07-05</w:t>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These used Kode Barang and Nama Barang against BC 2.3.</w:t>
            </w:r>
          </w:p>
        </w:tc>
        <w:tc>
          <w:tcPr>
            <w:tcW w:type="dxa" w:w="51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Those are movement-report columns; BC 2.3 has NoPen, Pengirim and so on. The cases were re-run against each report's real default columns.</w:t>
            </w:r>
          </w:p>
        </w:tc>
      </w:tr>
    </w:tbl>
    <w:p>
      <w:pPr>
        <w:pStyle w:val="Heading1"/>
        <w:spacing w:after="130" w:before="260"/>
      </w:pPr>
      <w:r>
        <w:rPr>
          <w:rFonts w:ascii="Calibri" w:cs="Calibri" w:eastAsia="Calibri" w:hAnsi="Calibri"/>
          <w:b/>
          <w:bCs/>
          <w:color w:val="0E2841"/>
          <w:sz w:val="30"/>
          <w:szCs w:val="30"/>
        </w:rPr>
        <w:t xml:space="preserve">9. Not covered by this run</w:t>
      </w:r>
    </w:p>
    <w:p>
      <w:pPr>
        <w:spacing w:after="60" w:before="0"/>
      </w:pPr>
      <w:r>
        <w:rPr>
          <w:rFonts w:ascii="Calibri" w:cs="Calibri" w:eastAsia="Calibri" w:hAnsi="Calibri"/>
          <w:sz w:val="19"/>
          <w:szCs w:val="19"/>
        </w:rPr>
        <w:t xml:space="preserve">The following need conditions this run could not create, and should be scheduled before go-live:</w:t>
      </w:r>
    </w:p>
    <w:p>
      <w:pPr>
        <w:pStyle w:val="ListParagraph"/>
        <w:numPr>
          <w:ilvl w:val="0"/>
          <w:numId w:val="2"/>
        </w:numPr>
        <w:spacing w:after="60"/>
      </w:pPr>
      <w:r>
        <w:rPr>
          <w:rFonts w:ascii="Calibri" w:cs="Calibri" w:eastAsia="Calibri" w:hAnsi="Calibri"/>
          <w:sz w:val="19"/>
          <w:szCs w:val="19"/>
        </w:rPr>
        <w:t xml:space="preserve">E-mail delivery to real mailboxes (TS-16). The in-app channel and the recording of delivery status were verified; sending was exercised against a local mail catcher, not the corporate relay.</w:t>
      </w:r>
    </w:p>
    <w:p>
      <w:pPr>
        <w:pStyle w:val="ListParagraph"/>
        <w:numPr>
          <w:ilvl w:val="0"/>
          <w:numId w:val="2"/>
        </w:numPr>
        <w:spacing w:after="60"/>
      </w:pPr>
      <w:r>
        <w:rPr>
          <w:rFonts w:ascii="Calibri" w:cs="Calibri" w:eastAsia="Calibri" w:hAnsi="Calibri"/>
          <w:sz w:val="19"/>
          <w:szCs w:val="19"/>
        </w:rPr>
        <w:t xml:space="preserve">Concurrency with several real users on staging (TC-18-03). Response times here were measured single-user and were between 9 and 89 ms, far inside the 2-second target, but that is not a load test.</w:t>
      </w:r>
    </w:p>
    <w:p>
      <w:pPr>
        <w:pStyle w:val="ListParagraph"/>
        <w:numPr>
          <w:ilvl w:val="0"/>
          <w:numId w:val="2"/>
        </w:numPr>
        <w:spacing w:after="60"/>
      </w:pPr>
      <w:r>
        <w:rPr>
          <w:rFonts w:ascii="Calibri" w:cs="Calibri" w:eastAsia="Calibri" w:hAnsi="Calibri"/>
          <w:sz w:val="19"/>
          <w:szCs w:val="19"/>
        </w:rPr>
        <w:t xml:space="preserve">Saved views created and deleted through the UI (TC-06-05, TC-06-06). The ownership guard was verified at the API.</w:t>
      </w:r>
    </w:p>
    <w:p>
      <w:pPr>
        <w:pStyle w:val="ListParagraph"/>
        <w:numPr>
          <w:ilvl w:val="0"/>
          <w:numId w:val="2"/>
        </w:numPr>
        <w:spacing w:after="60"/>
      </w:pPr>
      <w:r>
        <w:rPr>
          <w:rFonts w:ascii="Calibri" w:cs="Calibri" w:eastAsia="Calibri" w:hAnsi="Calibri"/>
          <w:sz w:val="19"/>
          <w:szCs w:val="19"/>
        </w:rPr>
        <w:t xml:space="preserve">Export file contents opened and compared column by column (TC-07-01, TC-07-04). The endpoints were verified to return files of the right type and to refuse an unsupported format.</w:t>
      </w:r>
    </w:p>
    <w:p>
      <w:pPr>
        <w:pStyle w:val="ListParagraph"/>
        <w:numPr>
          <w:ilvl w:val="0"/>
          <w:numId w:val="2"/>
        </w:numPr>
        <w:spacing w:after="60"/>
      </w:pPr>
      <w:r>
        <w:rPr>
          <w:rFonts w:ascii="Calibri" w:cs="Calibri" w:eastAsia="Calibri" w:hAnsi="Calibri"/>
          <w:sz w:val="19"/>
          <w:szCs w:val="19"/>
        </w:rPr>
        <w:t xml:space="preserve">A re-run of the read-only subset against staging once it is on the current build, to confirm the deployed environment behaves identically.</w:t>
      </w:r>
    </w:p>
    <w:p>
      <w:pPr>
        <w:pStyle w:val="Heading1"/>
        <w:spacing w:after="130" w:before="260"/>
      </w:pPr>
      <w:r>
        <w:rPr>
          <w:rFonts w:ascii="Calibri" w:cs="Calibri" w:eastAsia="Calibri" w:hAnsi="Calibri"/>
          <w:b/>
          <w:bCs/>
          <w:color w:val="0E2841"/>
          <w:sz w:val="30"/>
          <w:szCs w:val="30"/>
        </w:rPr>
        <w:t xml:space="preserve">10. Conclusion</w:t>
      </w:r>
    </w:p>
    <w:p>
      <w:pPr>
        <w:spacing w:after="100" w:before="0"/>
      </w:pPr>
      <w:r>
        <w:rPr>
          <w:rFonts w:ascii="Calibri" w:cs="Calibri" w:eastAsia="Calibri" w:hAnsi="Calibri"/>
          <w:sz w:val="19"/>
          <w:szCs w:val="19"/>
        </w:rPr>
        <w:t xml:space="preserve">133 of 134 executed cases passed. The one failure is the status-code inconsistency recorded as F-01.</w:t>
      </w:r>
    </w:p>
    <w:p>
      <w:pPr>
        <w:spacing w:after="100" w:before="0"/>
      </w:pPr>
      <w:r>
        <w:rPr>
          <w:rFonts w:ascii="Calibri" w:cs="Calibri" w:eastAsia="Calibri" w:hAnsi="Calibri"/>
          <w:sz w:val="19"/>
          <w:szCs w:val="19"/>
        </w:rPr>
        <w:t xml:space="preserve">Access control held everywhere it was tested, at the API as well as in the browser: cross-entity requests were refused with SCOPE-001, revoked pages returned 403 even when called directly, an Admin could not create a Super Admin or grant all-entities scope, and the Super Admin role could not be restricted. The append-only audit trail rejected both UPDATE and DELETE.</w:t>
      </w:r>
    </w:p>
    <w:p>
      <w:pPr>
        <w:spacing w:after="100" w:before="0"/>
      </w:pPr>
      <w:r>
        <w:rPr>
          <w:rFonts w:ascii="Calibri" w:cs="Calibri" w:eastAsia="Calibri" w:hAnsi="Calibri"/>
          <w:b/>
          <w:bCs/>
          <w:sz w:val="19"/>
          <w:szCs w:val="19"/>
        </w:rPr>
        <w:t xml:space="preserve">On that basis the build is fit for user testing, with the three findings tracked and none of them blocking.</w:t>
      </w:r>
    </w:p>
    <w:p>
      <w:pPr>
        <w:spacing w:after="200" w:before="0"/>
      </w:pPr>
      <w:r>
        <w:rPr>
          <w:rFonts w:ascii="Calibri" w:cs="Calibri" w:eastAsia="Calibri" w:hAnsi="Calibri"/>
          <w:sz w:val="19"/>
          <w:szCs w:val="19"/>
        </w:rPr>
        <w:t xml:space="preserve"/>
      </w:r>
    </w:p>
    <w:tbl>
      <w:tblPr>
        <w:tblW w:type="dxa" w:w="108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3600"/>
        <w:gridCol w:w="4600"/>
      </w:tblGrid>
      <w:tr>
        <w:trPr>
          <w:tblHeader/>
        </w:trPr>
        <w:tc>
          <w:tcPr>
            <w:tcW w:type="dxa" w:w="2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Role</w:t>
            </w:r>
          </w:p>
        </w:tc>
        <w:tc>
          <w:tcPr>
            <w:tcW w:type="dxa" w:w="3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Name</w:t>
            </w:r>
          </w:p>
        </w:tc>
        <w:tc>
          <w:tcPr>
            <w:tcW w:type="dxa" w:w="4600"/>
            <w:shd w:fill="0E2841" w:color="auto" w:val="clear"/>
            <w:tcMar>
              <w:top w:type="dxa" w:w="60"/>
              <w:left w:type="dxa" w:w="90"/>
              <w:bottom w:type="dxa" w:w="60"/>
              <w:right w:type="dxa" w:w="90"/>
            </w:tcMar>
          </w:tcPr>
          <w:p>
            <w:pPr>
              <w:spacing w:after="0"/>
            </w:pPr>
            <w:r>
              <w:rPr>
                <w:rFonts w:ascii="Calibri" w:cs="Calibri" w:eastAsia="Calibri" w:hAnsi="Calibri"/>
                <w:b/>
                <w:bCs/>
                <w:color w:val="FFFFFF"/>
                <w:sz w:val="17"/>
                <w:szCs w:val="17"/>
              </w:rPr>
              <w:t xml:space="preserve">Signature and date</w:t>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Executed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shd w:fill="F4F6F9" w:color="auto" w:val="clear"/>
            <w:tcMar>
              <w:top w:type="dxa" w:w="60"/>
              <w:left w:type="dxa" w:w="90"/>
              <w:bottom w:type="dxa" w:w="60"/>
              <w:right w:type="dxa" w:w="90"/>
            </w:tcMar>
          </w:tcPr>
          <w:p>
            <w:pPr>
              <w:spacing w:after="0"/>
            </w:pPr>
            <w:r>
              <w:rPr>
                <w:rFonts w:ascii="Calibri" w:cs="Calibri" w:eastAsia="Calibri" w:hAnsi="Calibri"/>
                <w:b/>
                <w:bCs/>
                <w:sz w:val="17"/>
                <w:szCs w:val="17"/>
              </w:rPr>
              <w:t xml:space="preserve">Reviewed by</w:t>
            </w:r>
          </w:p>
        </w:tc>
        <w:tc>
          <w:tcPr>
            <w:tcW w:type="dxa" w:w="3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shd w:fill="F4F6F9" w:color="auto" w:val="clear"/>
            <w:tcMar>
              <w:top w:type="dxa" w:w="60"/>
              <w:left w:type="dxa" w:w="90"/>
              <w:bottom w:type="dxa" w:w="60"/>
              <w:right w:type="dxa" w:w="90"/>
            </w:tcMar>
          </w:tcPr>
          <w:p>
            <w:pPr>
              <w:spacing w:after="0"/>
            </w:pPr>
            <w:r>
              <w:rPr>
                <w:rFonts w:ascii="Calibri" w:cs="Calibri" w:eastAsia="Calibri" w:hAnsi="Calibri"/>
                <w:sz w:val="17"/>
                <w:szCs w:val="17"/>
              </w:rPr>
              <w:t xml:space="preserve"/>
            </w:r>
          </w:p>
        </w:tc>
      </w:tr>
      <w:tr>
        <w:tc>
          <w:tcPr>
            <w:tcW w:type="dxa" w:w="2600"/>
            <w:tcMar>
              <w:top w:type="dxa" w:w="60"/>
              <w:left w:type="dxa" w:w="90"/>
              <w:bottom w:type="dxa" w:w="60"/>
              <w:right w:type="dxa" w:w="90"/>
            </w:tcMar>
          </w:tcPr>
          <w:p>
            <w:pPr>
              <w:spacing w:after="0"/>
            </w:pPr>
            <w:r>
              <w:rPr>
                <w:rFonts w:ascii="Calibri" w:cs="Calibri" w:eastAsia="Calibri" w:hAnsi="Calibri"/>
                <w:b/>
                <w:bCs/>
                <w:sz w:val="17"/>
                <w:szCs w:val="17"/>
              </w:rPr>
              <w:t xml:space="preserve">Approved by</w:t>
            </w:r>
          </w:p>
        </w:tc>
        <w:tc>
          <w:tcPr>
            <w:tcW w:type="dxa" w:w="3600"/>
            <w:tcMar>
              <w:top w:type="dxa" w:w="60"/>
              <w:left w:type="dxa" w:w="90"/>
              <w:bottom w:type="dxa" w:w="60"/>
              <w:right w:type="dxa" w:w="90"/>
            </w:tcMar>
          </w:tcPr>
          <w:p>
            <w:pPr>
              <w:spacing w:after="0"/>
            </w:pPr>
            <w:r>
              <w:rPr>
                <w:rFonts w:ascii="Calibri" w:cs="Calibri" w:eastAsia="Calibri" w:hAnsi="Calibri"/>
                <w:sz w:val="17"/>
                <w:szCs w:val="17"/>
              </w:rPr>
              <w:t xml:space="preserve"/>
            </w:r>
          </w:p>
        </w:tc>
        <w:tc>
          <w:tcPr>
            <w:tcW w:type="dxa" w:w="4600"/>
            <w:tcMar>
              <w:top w:type="dxa" w:w="60"/>
              <w:left w:type="dxa" w:w="90"/>
              <w:bottom w:type="dxa" w:w="60"/>
              <w:right w:type="dxa" w:w="90"/>
            </w:tcMar>
          </w:tcPr>
          <w:p>
            <w:pPr>
              <w:spacing w:after="0"/>
            </w:pPr>
            <w:r>
              <w:rPr>
                <w:rFonts w:ascii="Calibri" w:cs="Calibri" w:eastAsia="Calibri" w:hAnsi="Calibri"/>
                <w:sz w:val="17"/>
                <w:szCs w:val="17"/>
              </w:rPr>
              <w:t xml:space="preserve"/>
            </w:r>
          </w:p>
        </w:tc>
      </w:tr>
    </w:tbl>
    <w:sectPr>
      <w:pgSz w:w="16838" w:h="11906"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535d8cd5a605a959fca918dba653897e6051f6.png"/><Relationship Id="rId8" Type="http://schemas.openxmlformats.org/officeDocument/2006/relationships/image" Target="media/66b81896cca6d0fa966a2530e500e7904fea9f85.png"/><Relationship Id="rId9" Type="http://schemas.openxmlformats.org/officeDocument/2006/relationships/image" Target="media/97f774dda28c9640d5a622585623d11bc6ab1067.png"/><Relationship Id="rId10" Type="http://schemas.openxmlformats.org/officeDocument/2006/relationships/image" Target="media/2201c0b80d2d0a0030cb45e2fb03751f36ef0f8a.png"/><Relationship Id="rId11" Type="http://schemas.openxmlformats.org/officeDocument/2006/relationships/image" Target="media/768947822a84a43350bcfe5b2174a33936ce3a75.png"/><Relationship Id="rId12" Type="http://schemas.openxmlformats.org/officeDocument/2006/relationships/image" Target="media/4846b965c922beeada2b6b7f8bb65ce6f1b40788.png"/><Relationship Id="rId13" Type="http://schemas.openxmlformats.org/officeDocument/2006/relationships/image" Target="media/ffc689118dd441d94d306b17ce173e4f06cac119.png"/><Relationship Id="rId14" Type="http://schemas.openxmlformats.org/officeDocument/2006/relationships/image" Target="media/7dd82f8151d033b6f0091adb2b1d4652d7efb75d.png"/><Relationship Id="rId15" Type="http://schemas.openxmlformats.org/officeDocument/2006/relationships/image" Target="media/bc7999b0d1f950624eefd635e5dda4ff72199117.png"/><Relationship Id="rId16" Type="http://schemas.openxmlformats.org/officeDocument/2006/relationships/image" Target="media/1fc0f9ce4e3a8c12d402f2872d6ea4ece11b5620.png"/><Relationship Id="rId17" Type="http://schemas.openxmlformats.org/officeDocument/2006/relationships/image" Target="media/7ca6b32bcdef6fe8c9dcd48414dee1b77430e946.png"/><Relationship Id="rId18" Type="http://schemas.openxmlformats.org/officeDocument/2006/relationships/image" Target="media/0d10c1a16104a0cc424fc617a5bc022339a11613.png"/><Relationship Id="rId19" Type="http://schemas.openxmlformats.org/officeDocument/2006/relationships/image" Target="media/ce10356ca641d754e2b76b056df52798785d0218.png"/><Relationship Id="rId20" Type="http://schemas.openxmlformats.org/officeDocument/2006/relationships/image" Target="media/6635394ba809797fed2d3c5f17ba661fab266b91.png"/><Relationship Id="rId21" Type="http://schemas.openxmlformats.org/officeDocument/2006/relationships/image" Target="media/4130de095a950e3257f48d26b9eae0a438166a2e.png"/><Relationship Id="rId22" Type="http://schemas.openxmlformats.org/officeDocument/2006/relationships/image" Target="media/d708f7ec397441e7cf9d74151104eee067bbc471.png"/><Relationship Id="rId23" Type="http://schemas.openxmlformats.org/officeDocument/2006/relationships/image" Target="media/f473a4ca4edf02e961f41a73d640459460c53b34.png"/><Relationship Id="rId24" Type="http://schemas.openxmlformats.org/officeDocument/2006/relationships/image" Target="media/859bde247601d2f8e4b15879812efac2e2f787c6.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 Inventory — E2E Test Execution Report</dc:title>
  <dc:creator>BC Inventory Reporting System</dc:creator>
  <cp:lastModifiedBy>Un-named</cp:lastModifiedBy>
  <cp:revision>1</cp:revision>
  <dcterms:created xsi:type="dcterms:W3CDTF">2026-09-02T09:32:28.938Z</dcterms:created>
  <dcterms:modified xsi:type="dcterms:W3CDTF">2026-09-02T09:32:28.938Z</dcterms:modified>
</cp:coreProperties>
</file>

<file path=docProps/custom.xml><?xml version="1.0" encoding="utf-8"?>
<Properties xmlns="http://schemas.openxmlformats.org/officeDocument/2006/custom-properties" xmlns:vt="http://schemas.openxmlformats.org/officeDocument/2006/docPropsVTypes"/>
</file>