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2841"/>
          <w:sz w:val="42"/>
          <w:szCs w:val="42"/>
        </w:rPr>
        <w:t xml:space="preserve">BC Inventory Reporting System</w:t>
      </w:r>
    </w:p>
    <w:p>
      <w:pPr>
        <w:spacing w:after="60"/>
      </w:pPr>
      <w:r>
        <w:rPr>
          <w:rFonts w:ascii="Calibri" w:cs="Calibri" w:eastAsia="Calibri" w:hAnsi="Calibri"/>
          <w:color w:val="B73532"/>
          <w:sz w:val="30"/>
          <w:szCs w:val="30"/>
        </w:rPr>
        <w:t xml:space="preserve">Administrator Manual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6B7683"/>
          <w:sz w:val="21"/>
          <w:szCs w:val="21"/>
        </w:rPr>
        <w:t xml:space="preserve">For Super Admins and Admins: users, roles, notifications, master data, audit, operations.</w:t>
      </w:r>
    </w:p>
    <w:tbl>
      <w:tblPr>
        <w:tblW w:type="dxa" w:w="9700"/>
        <w:tblBorders>
          <w:top w:val="single" w:color="D6DCE4" w:sz="2"/>
          <w:left w:val="single" w:color="D6DCE4" w:sz="2"/>
          <w:bottom w:val="single" w:color="D6DCE4" w:sz="2"/>
          <w:right w:val="single" w:color="D6DCE4" w:sz="2"/>
          <w:insideH w:val="single" w:color="D6DCE4" w:sz="2"/>
          <w:insideV w:val="single" w:color="D6DCE4" w:sz="2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BC Inventory Reporting System</w:t>
            </w:r>
          </w:p>
        </w:tc>
      </w:tr>
      <w:tr>
        <w:tc>
          <w:tcPr>
            <w:tcW w:type="dxa" w:w="26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71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 Admin and Admin roles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(matches build PRD v1.3)</w:t>
            </w:r>
          </w:p>
        </w:tc>
      </w:tr>
      <w:tr>
        <w:tc>
          <w:tcPr>
            <w:tcW w:type="dxa" w:w="26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71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English</w:t>
            </w:r>
          </w:p>
        </w:tc>
      </w:tr>
    </w:tbl>
    <w:p>
      <w:r>
        <w:br w:type="page"/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0E2841"/>
          <w:sz w:val="27"/>
          <w:szCs w:val="27"/>
        </w:rPr>
        <w:t xml:space="preserve">1. The administration area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Administration has four tabs: User Management, Role Management, Notifications and Master Data. What you can do depends on your role — a Super Admin can do everything; an Admin is blocked from the escalation-sensitive actions noted below. Every change here is written to the audit log and alerts the configured recipients.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0E2841"/>
          <w:sz w:val="27"/>
          <w:szCs w:val="27"/>
        </w:rPr>
        <w:t xml:space="preserve">2. User management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2.1 Creating a user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Administration → User Management → Add user.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Enter the e-mail, full name and role.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Set the scope: all entities, or one entity/site.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Set an initial password that meets the policy (see 2.4), then save.</w:t>
      </w:r>
    </w:p>
    <w:tbl>
      <w:tblPr>
        <w:tblW w:type="dxa" w:w="9700"/>
        <w:tblBorders>
          <w:top w:val="single" w:color="BCCFE0" w:sz="2"/>
          <w:left w:val="single" w:color="2F6F9E" w:sz="12"/>
          <w:bottom w:val="single" w:color="BCCFE0" w:sz="2"/>
          <w:right w:val="single" w:color="BCCFE0" w:sz="2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shd w:fill="EEF3F8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F9E"/>
                <w:sz w:val="19"/>
                <w:szCs w:val="19"/>
              </w:rPr>
              <w:t xml:space="preserve">ℹ  </w:t>
            </w: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Only a Super Admin can create a Super Admin or grant all-entities scope. An Admin attempting either is refused.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2.2 Disabling and re-enabling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Users are never deleted, only disabled. Disable removes their access immediately — any session they have open stops working within seconds, not at token expiry. Re-enable restores access.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2.3 Resetting a password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Reset sets a new password and, for security, ends the user’s existing sessions so the old password can no longer be used anywhere. Give the new password to the user through a safe channel.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2.4 Password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 least 10 characters.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Below 16 characters, at least three of: lower case, upper case, digits, symbols.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 an obvious word (the company, the system, “password”, etc.) and not the account’s own e-mail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long passphrase of a few words is the easiest way to satisfy this.</w:t>
      </w:r>
    </w:p>
    <w:tbl>
      <w:tblPr>
        <w:tblW w:type="dxa" w:w="9700"/>
        <w:tblBorders>
          <w:top w:val="single" w:color="BCCFE0" w:sz="2"/>
          <w:left w:val="single" w:color="2F6F9E" w:sz="12"/>
          <w:bottom w:val="single" w:color="BCCFE0" w:sz="2"/>
          <w:right w:val="single" w:color="BCCFE0" w:sz="2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shd w:fill="EEF3F8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F9E"/>
                <w:sz w:val="19"/>
                <w:szCs w:val="19"/>
              </w:rPr>
              <w:t xml:space="preserve">ℹ  </w:t>
            </w: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You cannot disable your own account (to avoid locking everyone out).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0E2841"/>
          <w:sz w:val="27"/>
          <w:szCs w:val="27"/>
        </w:rPr>
        <w:t xml:space="preserve">3. Role management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matrix of the six roles against the seven pages, with view / insert / edit per page. Only a Super Admin may change it.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3.1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Ticking Insert or Edit automatically grants View — a page you cannot open cannot be acted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Permissions are enforced by the server, not just hidden in the menu: a revoked page returns “access denied” even if called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Super Admin row is always full access and cannot be changed — this prevents locking everyone out.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3.2 Making a change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Administration → Role Management.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Tick or untick the boxes for a role.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Save. The change applies to that role’s users within seconds, including anyone currently signed in.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0E2841"/>
          <w:sz w:val="27"/>
          <w:szCs w:val="27"/>
        </w:rPr>
        <w:t xml:space="preserve">4. Notification routing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Decide, per user and per event, who is told about what and how. The four events are File ingested, Rows quarantined, Ingestion failed, and Security &amp; administration.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4.1 The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user has an In-app and an Email checkbox for each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box marked “default” means the user has no explicit setting and follows the event’s default recipient roles — so new users and new events are never silently unsubscribed.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Changing a box overrides the default for that user and event.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4.2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In-app shows in the bell. Email is sent only when an SMTP relay is configured (a banner tells you if it is not).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user set to Email only still does not see the item in their bell.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disabled user receives nothing on either channel, whatever is ticked.</w:t>
      </w:r>
    </w:p>
    <w:tbl>
      <w:tblPr>
        <w:tblW w:type="dxa" w:w="9700"/>
        <w:tblBorders>
          <w:top w:val="single" w:color="BCCFE0" w:sz="2"/>
          <w:left w:val="single" w:color="2F6F9E" w:sz="12"/>
          <w:bottom w:val="single" w:color="BCCFE0" w:sz="2"/>
          <w:right w:val="single" w:color="BCCFE0" w:sz="2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shd w:fill="EEF3F8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F9E"/>
                <w:sz w:val="19"/>
                <w:szCs w:val="19"/>
              </w:rPr>
              <w:t xml:space="preserve">ℹ  </w:t>
            </w: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Turning on e-mail later does not send the backlog — only events raised after that are e-mailed.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0E2841"/>
          <w:sz w:val="27"/>
          <w:szCs w:val="27"/>
        </w:rPr>
        <w:t xml:space="preserve">5. Master data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Manage entities, sites and TPB permit numbers. These populate the scope choices when you create users and the entity filters in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Duplicates are refused (same entity code/name, same site for an entity, same permit number).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entries are blocked in production data — a name or code containing “TEST” / “TESTING” is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Required fields (code, name, permit number) must be filled.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0E2841"/>
          <w:sz w:val="27"/>
          <w:szCs w:val="27"/>
        </w:rPr>
        <w:t xml:space="preserve">6. The audit log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complete, tamper-evident record. Use it to answer “who did what, when”.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6.1 What it captures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Sign-ins, including failures with the reason and source IP, and session rejections.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Report runs and exports.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Ingestion loads, duplicates and failures.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User, master-data, role-permission and notification-routing changes.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6.2 Using it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Administration → Audit Log.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Filter by date range, actor, action, or free text.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Click a row to expand its full detail.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Export the filtered list to CSV if needed.</w:t>
      </w:r>
    </w:p>
    <w:tbl>
      <w:tblPr>
        <w:tblW w:type="dxa" w:w="9700"/>
        <w:tblBorders>
          <w:top w:val="single" w:color="BCCFE0" w:sz="2"/>
          <w:left w:val="single" w:color="2F6F9E" w:sz="12"/>
          <w:bottom w:val="single" w:color="BCCFE0" w:sz="2"/>
          <w:right w:val="single" w:color="BCCFE0" w:sz="2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shd w:fill="EEF3F8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F9E"/>
                <w:sz w:val="19"/>
                <w:szCs w:val="19"/>
              </w:rPr>
              <w:t xml:space="preserve">ℹ  </w:t>
            </w: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The trail is append-only: the database itself rejects any attempt to change or delete an audit record, including a bulk wipe. This is enforced below the application, so it holds even against direct database access.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0E2841"/>
          <w:sz w:val="27"/>
          <w:szCs w:val="27"/>
        </w:rPr>
        <w:t xml:space="preserve">7. Operations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7.1 Between test cycles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To give testers a clean slate without losing configuration, run the transaction-data reset on the database host. It clears uploaded documents, ingestion records and notification history, and keeps users, roles, notification routing, saved views and master data.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On the database host: cd /opt/bc-inventory/deploy/db &amp;&amp; ./reset-transaction-data.sh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Check the target line names the correct database, then type CLEAR.</w:t>
      </w:r>
    </w:p>
    <w:p>
      <w:pPr>
        <w:spacing w:after="70"/>
        <w:ind w:left="520" w:hanging="30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Restart the API afterwards as the script instructs.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7.2 Deploying an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Each tier updates with deploy/update.sh {db|backend|frontend} on its host (pull, rebuild, restart).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After a frontend change, also reload the host nginx.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application runs as a least-privilege database role that cannot change the schema. If a release changes the schema, apply it first with an owner account: DB_USER=&lt;owner&gt; DB_PASSWORD=&lt;owner-pw&gt; DB_AUTO_MIGRATE=true docker compose run --rm api --migrate, then start normally with DB_AUTO_MIGRATE=false.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E2841"/>
          <w:sz w:val="21"/>
          <w:szCs w:val="21"/>
        </w:rPr>
        <w:t xml:space="preserve">7.3 Health &amp; hardening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deploy/harden.sh reports on secret-file permissions, the database account, the container user and TLS; --apply tightens what it 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deploy/scan-dependencies.sh scans the .NET and npm dependencies and the images.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0E2841"/>
          <w:sz w:val="27"/>
          <w:szCs w:val="27"/>
        </w:rPr>
        <w:t xml:space="preserve">8. Security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Rotate seeded and default passwords, including the initial administrator, to strong passphrases.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application on its least-privilege database role (bcapp_rw), not a privileged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Enable TLS before any production use — a ready-to-enable configuration ships with the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the audit log periodically, especially failed sign-ins and permission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Treat any credential shared over chat or e-mail as exposed and rotate it.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 Inventory Reporting System — Administrator Manual</dc:title>
  <dc:creator>BC Inventory Reporting System</dc:creator>
  <cp:lastModifiedBy>Un-named</cp:lastModifiedBy>
  <cp:revision>1</cp:revision>
  <dcterms:created xsi:type="dcterms:W3CDTF">2026-09-03T07:37:18.293Z</dcterms:created>
  <dcterms:modified xsi:type="dcterms:W3CDTF">2026-09-03T07:37:18.293Z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