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6"/>
          <w:szCs w:val="46"/>
        </w:rPr>
        <w:t xml:space="preserve">BC Inventory Reporting System</w:t>
      </w:r>
    </w:p>
    <w:p>
      <w:pPr>
        <w:spacing w:after="80"/>
      </w:pPr>
      <w:r>
        <w:rPr>
          <w:rFonts w:ascii="Calibri" w:cs="Calibri" w:eastAsia="Calibri" w:hAnsi="Calibri"/>
          <w:color w:val="B73532"/>
          <w:sz w:val="30"/>
          <w:szCs w:val="30"/>
        </w:rPr>
        <w:t xml:space="preserve">Product Requirements Document</w:t>
      </w:r>
    </w:p>
    <w:p>
      <w:pPr>
        <w:spacing w:after="300"/>
      </w:pPr>
      <w:r>
        <w:rPr>
          <w:rFonts w:ascii="Calibri" w:cs="Calibri" w:eastAsia="Calibri" w:hAnsi="Calibri"/>
          <w:color w:val="6B7683"/>
          <w:sz w:val="22"/>
          <w:szCs w:val="22"/>
        </w:rPr>
        <w:t xml:space="preserve">Version 1.3 — current implemented system</w:t>
      </w:r>
    </w:p>
    <w:tbl>
      <w:tblPr>
        <w:tblW w:type="dxa" w:w="96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7000"/>
      </w:tblGrid>
      <w:tr>
        <w:trPr>
          <w:tblHeader/>
        </w:trPr>
        <w:tc>
          <w:tcPr>
            <w:tcW w:type="dxa" w:w="26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Field</w:t>
            </w:r>
          </w:p>
        </w:tc>
        <w:tc>
          <w:tcPr>
            <w:tcW w:type="dxa" w:w="70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Value</w:t>
            </w:r>
          </w:p>
        </w:tc>
      </w:tr>
      <w:tr>
        <w:tc>
          <w:tcPr>
            <w:tcW w:type="dxa" w:w="2600"/>
            <w:tcMar>
              <w:top w:type="dxa" w:w="50"/>
              <w:left w:type="dxa" w:w="90"/>
              <w:bottom w:type="dxa" w:w="50"/>
              <w:right w:type="dxa" w:w="90"/>
            </w:tcMar>
          </w:tcPr>
          <w:p>
            <w:pPr>
              <w:spacing w:after="0"/>
            </w:pPr>
            <w:r>
              <w:rPr>
                <w:rFonts w:ascii="Calibri" w:cs="Calibri" w:eastAsia="Calibri" w:hAnsi="Calibri"/>
                <w:b/>
                <w:bCs/>
                <w:sz w:val="16"/>
                <w:szCs w:val="16"/>
              </w:rPr>
              <w:t xml:space="preserve">System</w:t>
            </w:r>
          </w:p>
        </w:tc>
        <w:tc>
          <w:tcPr>
            <w:tcW w:type="dxa" w:w="7000"/>
            <w:tcMar>
              <w:top w:type="dxa" w:w="50"/>
              <w:left w:type="dxa" w:w="90"/>
              <w:bottom w:type="dxa" w:w="50"/>
              <w:right w:type="dxa" w:w="90"/>
            </w:tcMar>
          </w:tcPr>
          <w:p>
            <w:pPr>
              <w:spacing w:after="0"/>
            </w:pPr>
            <w:r>
              <w:rPr>
                <w:rFonts w:ascii="Calibri" w:cs="Calibri" w:eastAsia="Calibri" w:hAnsi="Calibri"/>
                <w:sz w:val="16"/>
                <w:szCs w:val="16"/>
              </w:rPr>
              <w:t xml:space="preserve">BC Inventory Reporting System (customs &amp; stock reporting for a bonded zone / TPB)</w:t>
            </w:r>
          </w:p>
        </w:tc>
      </w:tr>
      <w:tr>
        <w:tc>
          <w:tcPr>
            <w:tcW w:type="dxa" w:w="2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Replaces</w:t>
            </w:r>
          </w:p>
        </w:tc>
        <w:tc>
          <w:tcPr>
            <w:tcW w:type="dxa" w:w="70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Web IT Inventory / BC Reports (legacy)</w:t>
            </w:r>
          </w:p>
        </w:tc>
      </w:tr>
      <w:tr>
        <w:tc>
          <w:tcPr>
            <w:tcW w:type="dxa" w:w="2600"/>
            <w:tcMar>
              <w:top w:type="dxa" w:w="50"/>
              <w:left w:type="dxa" w:w="90"/>
              <w:bottom w:type="dxa" w:w="50"/>
              <w:right w:type="dxa" w:w="90"/>
            </w:tcMar>
          </w:tcPr>
          <w:p>
            <w:pPr>
              <w:spacing w:after="0"/>
            </w:pPr>
            <w:r>
              <w:rPr>
                <w:rFonts w:ascii="Calibri" w:cs="Calibri" w:eastAsia="Calibri" w:hAnsi="Calibri"/>
                <w:b/>
                <w:bCs/>
                <w:sz w:val="16"/>
                <w:szCs w:val="16"/>
              </w:rPr>
              <w:t xml:space="preserve">Version</w:t>
            </w:r>
          </w:p>
        </w:tc>
        <w:tc>
          <w:tcPr>
            <w:tcW w:type="dxa" w:w="7000"/>
            <w:tcMar>
              <w:top w:type="dxa" w:w="50"/>
              <w:left w:type="dxa" w:w="90"/>
              <w:bottom w:type="dxa" w:w="50"/>
              <w:right w:type="dxa" w:w="90"/>
            </w:tcMar>
          </w:tcPr>
          <w:p>
            <w:pPr>
              <w:spacing w:after="0"/>
            </w:pPr>
            <w:r>
              <w:rPr>
                <w:rFonts w:ascii="Calibri" w:cs="Calibri" w:eastAsia="Calibri" w:hAnsi="Calibri"/>
                <w:sz w:val="16"/>
                <w:szCs w:val="16"/>
              </w:rPr>
              <w:t xml:space="preserve">1.3</w:t>
            </w:r>
          </w:p>
        </w:tc>
      </w:tr>
      <w:tr>
        <w:tc>
          <w:tcPr>
            <w:tcW w:type="dxa" w:w="2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Supersedes</w:t>
            </w:r>
          </w:p>
        </w:tc>
        <w:tc>
          <w:tcPr>
            <w:tcW w:type="dxa" w:w="70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PRD v1.2</w:t>
            </w:r>
          </w:p>
        </w:tc>
      </w:tr>
      <w:tr>
        <w:tc>
          <w:tcPr>
            <w:tcW w:type="dxa" w:w="2600"/>
            <w:tcMar>
              <w:top w:type="dxa" w:w="50"/>
              <w:left w:type="dxa" w:w="90"/>
              <w:bottom w:type="dxa" w:w="50"/>
              <w:right w:type="dxa" w:w="90"/>
            </w:tcMar>
          </w:tcPr>
          <w:p>
            <w:pPr>
              <w:spacing w:after="0"/>
            </w:pPr>
            <w:r>
              <w:rPr>
                <w:rFonts w:ascii="Calibri" w:cs="Calibri" w:eastAsia="Calibri" w:hAnsi="Calibri"/>
                <w:b/>
                <w:bCs/>
                <w:sz w:val="16"/>
                <w:szCs w:val="16"/>
              </w:rPr>
              <w:t xml:space="preserve">Status</w:t>
            </w:r>
          </w:p>
        </w:tc>
        <w:tc>
          <w:tcPr>
            <w:tcW w:type="dxa" w:w="7000"/>
            <w:tcMar>
              <w:top w:type="dxa" w:w="50"/>
              <w:left w:type="dxa" w:w="90"/>
              <w:bottom w:type="dxa" w:w="50"/>
              <w:right w:type="dxa" w:w="90"/>
            </w:tcMar>
          </w:tcPr>
          <w:p>
            <w:pPr>
              <w:spacing w:after="0"/>
            </w:pPr>
            <w:r>
              <w:rPr>
                <w:rFonts w:ascii="Calibri" w:cs="Calibri" w:eastAsia="Calibri" w:hAnsi="Calibri"/>
                <w:sz w:val="16"/>
                <w:szCs w:val="16"/>
              </w:rPr>
              <w:t xml:space="preserve">Baselined against the implemented and tested build</w:t>
            </w:r>
          </w:p>
        </w:tc>
      </w:tr>
      <w:tr>
        <w:tc>
          <w:tcPr>
            <w:tcW w:type="dxa" w:w="2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Prepared for</w:t>
            </w:r>
          </w:p>
        </w:tc>
        <w:tc>
          <w:tcPr>
            <w:tcW w:type="dxa" w:w="70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PT SPC — KPN Corp</w:t>
            </w:r>
          </w:p>
        </w:tc>
      </w:tr>
      <w:tr>
        <w:tc>
          <w:tcPr>
            <w:tcW w:type="dxa" w:w="2600"/>
            <w:tcMar>
              <w:top w:type="dxa" w:w="50"/>
              <w:left w:type="dxa" w:w="90"/>
              <w:bottom w:type="dxa" w:w="50"/>
              <w:right w:type="dxa" w:w="90"/>
            </w:tcMar>
          </w:tcPr>
          <w:p>
            <w:pPr>
              <w:spacing w:after="0"/>
            </w:pPr>
            <w:r>
              <w:rPr>
                <w:rFonts w:ascii="Calibri" w:cs="Calibri" w:eastAsia="Calibri" w:hAnsi="Calibri"/>
                <w:b/>
                <w:bCs/>
                <w:sz w:val="16"/>
                <w:szCs w:val="16"/>
              </w:rPr>
              <w:t xml:space="preserve">Regulatory context</w:t>
            </w:r>
          </w:p>
        </w:tc>
        <w:tc>
          <w:tcPr>
            <w:tcW w:type="dxa" w:w="7000"/>
            <w:tcMar>
              <w:top w:type="dxa" w:w="50"/>
              <w:left w:type="dxa" w:w="90"/>
              <w:bottom w:type="dxa" w:w="50"/>
              <w:right w:type="dxa" w:w="90"/>
            </w:tcMar>
          </w:tcPr>
          <w:p>
            <w:pPr>
              <w:spacing w:after="0"/>
            </w:pPr>
            <w:r>
              <w:rPr>
                <w:rFonts w:ascii="Calibri" w:cs="Calibri" w:eastAsia="Calibri" w:hAnsi="Calibri"/>
                <w:sz w:val="16"/>
                <w:szCs w:val="16"/>
              </w:rPr>
              <w:t xml:space="preserve">Reporting to Bea Cukai (Indonesian Customs) for a bonded zone</w:t>
            </w:r>
          </w:p>
        </w:tc>
      </w:tr>
    </w:tbl>
    <w:p>
      <w:r>
        <w:br w:type="page"/>
      </w:r>
    </w:p>
    <w:p>
      <w:pPr>
        <w:pStyle w:val="Heading1"/>
        <w:spacing w:after="130" w:before="320"/>
      </w:pPr>
      <w:r>
        <w:rPr>
          <w:rFonts w:ascii="Calibri" w:cs="Calibri" w:eastAsia="Calibri" w:hAnsi="Calibri"/>
          <w:b/>
          <w:bCs/>
          <w:color w:val="0E2841"/>
          <w:sz w:val="28"/>
          <w:szCs w:val="28"/>
        </w:rPr>
        <w:t xml:space="preserve">Revision history</w:t>
      </w:r>
    </w:p>
    <w:tbl>
      <w:tblPr>
        <w:tblW w:type="dxa" w:w="9600"/>
        <w:tblBorders>
          <w:top w:val="single" w:color="D6DCE4" w:sz="2"/>
          <w:left w:val="single" w:color="D6DCE4" w:sz="2"/>
          <w:bottom w:val="single" w:color="D6DCE4" w:sz="2"/>
          <w:right w:val="single" w:color="D6DCE4" w:sz="2"/>
          <w:insideH w:val="single" w:color="D6DCE4" w:sz="2"/>
          <w:insideV w:val="single" w:color="D6DCE4" w:sz="2"/>
        </w:tblBorders>
      </w:tblPr>
      <w:tblGrid>
        <w:gridCol w:w="1200"/>
        <w:gridCol w:w="1600"/>
        <w:gridCol w:w="6800"/>
      </w:tblGrid>
      <w:tr>
        <w:trPr>
          <w:tblHeader/>
        </w:trPr>
        <w:tc>
          <w:tcPr>
            <w:tcW w:type="dxa" w:w="1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Version</w:t>
            </w:r>
          </w:p>
        </w:tc>
        <w:tc>
          <w:tcPr>
            <w:tcW w:type="dxa" w:w="16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Date</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Change</w:t>
            </w:r>
          </w:p>
        </w:tc>
      </w:tr>
      <w:tr>
        <w:tc>
          <w:tcPr>
            <w:tcW w:type="dxa" w:w="1200"/>
            <w:tcMar>
              <w:top w:type="dxa" w:w="50"/>
              <w:left w:type="dxa" w:w="90"/>
              <w:bottom w:type="dxa" w:w="50"/>
              <w:right w:type="dxa" w:w="90"/>
            </w:tcMar>
          </w:tcPr>
          <w:p>
            <w:pPr>
              <w:spacing w:after="0"/>
            </w:pPr>
            <w:r>
              <w:rPr>
                <w:rFonts w:ascii="Calibri" w:cs="Calibri" w:eastAsia="Calibri" w:hAnsi="Calibri"/>
                <w:b/>
                <w:bCs/>
                <w:sz w:val="16"/>
                <w:szCs w:val="16"/>
              </w:rPr>
              <w:t xml:space="preserve">1.0</w:t>
            </w:r>
          </w:p>
        </w:tc>
        <w:tc>
          <w:tcPr>
            <w:tcW w:type="dxa" w:w="1600"/>
            <w:tcMar>
              <w:top w:type="dxa" w:w="50"/>
              <w:left w:type="dxa" w:w="90"/>
              <w:bottom w:type="dxa" w:w="50"/>
              <w:right w:type="dxa" w:w="90"/>
            </w:tcMar>
          </w:tcPr>
          <w:p>
            <w:pPr>
              <w:spacing w:after="0"/>
            </w:pPr>
            <w:r>
              <w:rPr>
                <w:rFonts w:ascii="Calibri" w:cs="Calibri" w:eastAsia="Calibri" w:hAnsi="Calibri"/>
                <w:sz w:val="16"/>
                <w:szCs w:val="16"/>
              </w:rPr>
              <w:t xml:space="preserve">2026-07</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Initial PRD from the mockup and BC 2.3 / BC 4.0 analysis.</w:t>
            </w:r>
          </w:p>
        </w:tc>
      </w:tr>
      <w:tr>
        <w:tc>
          <w:tcPr>
            <w:tcW w:type="dxa" w:w="12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1.1</w:t>
            </w:r>
          </w:p>
        </w:tc>
        <w:tc>
          <w:tcPr>
            <w:tcW w:type="dxa" w:w="16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2026-07</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Reports-grid capability (add/remove fields, sort, reorder).</w:t>
            </w:r>
          </w:p>
        </w:tc>
      </w:tr>
      <w:tr>
        <w:tc>
          <w:tcPr>
            <w:tcW w:type="dxa" w:w="1200"/>
            <w:tcMar>
              <w:top w:type="dxa" w:w="50"/>
              <w:left w:type="dxa" w:w="90"/>
              <w:bottom w:type="dxa" w:w="50"/>
              <w:right w:type="dxa" w:w="90"/>
            </w:tcMar>
          </w:tcPr>
          <w:p>
            <w:pPr>
              <w:spacing w:after="0"/>
            </w:pPr>
            <w:r>
              <w:rPr>
                <w:rFonts w:ascii="Calibri" w:cs="Calibri" w:eastAsia="Calibri" w:hAnsi="Calibri"/>
                <w:b/>
                <w:bCs/>
                <w:sz w:val="16"/>
                <w:szCs w:val="16"/>
              </w:rPr>
              <w:t xml:space="preserve">1.2</w:t>
            </w:r>
          </w:p>
        </w:tc>
        <w:tc>
          <w:tcPr>
            <w:tcW w:type="dxa" w:w="1600"/>
            <w:tcMar>
              <w:top w:type="dxa" w:w="50"/>
              <w:left w:type="dxa" w:w="90"/>
              <w:bottom w:type="dxa" w:w="50"/>
              <w:right w:type="dxa" w:w="90"/>
            </w:tcMar>
          </w:tcPr>
          <w:p>
            <w:pPr>
              <w:spacing w:after="0"/>
            </w:pPr>
            <w:r>
              <w:rPr>
                <w:rFonts w:ascii="Calibri" w:cs="Calibri" w:eastAsia="Calibri" w:hAnsi="Calibri"/>
                <w:sz w:val="16"/>
                <w:szCs w:val="16"/>
              </w:rPr>
              <w:t xml:space="preserve">2026-07</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Field names made verbatim to the upload headers; Appendices D &amp; E.</w:t>
            </w:r>
          </w:p>
        </w:tc>
      </w:tr>
      <w:tr>
        <w:tc>
          <w:tcPr>
            <w:tcW w:type="dxa" w:w="12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1.3</w:t>
            </w:r>
          </w:p>
        </w:tc>
        <w:tc>
          <w:tcPr>
            <w:tcW w:type="dxa" w:w="16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2026-09</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Baselined to the built system: four added report templates and the Aset/Sparepart split, the Tanggal Transaksi field, per-user notification routing, the security architecture (session revalidation, throttling, least-privilege DB role, header and CORS hardening, append-only audit incl. TRUNCATE), and staging deployment on ApsaraDB RDS.</w:t>
            </w:r>
          </w:p>
        </w:tc>
      </w:tr>
    </w:tbl>
    <w:p>
      <w:pPr>
        <w:pStyle w:val="Heading1"/>
        <w:spacing w:after="130" w:before="320"/>
      </w:pPr>
      <w:r>
        <w:rPr>
          <w:rFonts w:ascii="Calibri" w:cs="Calibri" w:eastAsia="Calibri" w:hAnsi="Calibri"/>
          <w:b/>
          <w:bCs/>
          <w:color w:val="0E2841"/>
          <w:sz w:val="28"/>
          <w:szCs w:val="28"/>
        </w:rPr>
        <w:t xml:space="preserve">1. Introduction</w:t>
      </w:r>
    </w:p>
    <w:p>
      <w:pPr>
        <w:pStyle w:val="Heading2"/>
        <w:spacing w:after="130" w:before="240"/>
      </w:pPr>
      <w:r>
        <w:rPr>
          <w:rFonts w:ascii="Calibri" w:cs="Calibri" w:eastAsia="Calibri" w:hAnsi="Calibri"/>
          <w:b/>
          <w:bCs/>
          <w:color w:val="0E2841"/>
          <w:sz w:val="23"/>
          <w:szCs w:val="23"/>
        </w:rPr>
        <w:t xml:space="preserve">1.1 Purpose</w:t>
      </w:r>
    </w:p>
    <w:p>
      <w:pPr>
        <w:spacing w:after="120" w:before="0"/>
      </w:pPr>
      <w:r>
        <w:rPr>
          <w:rFonts w:ascii="Calibri" w:cs="Calibri" w:eastAsia="Calibri" w:hAnsi="Calibri"/>
          <w:sz w:val="20"/>
          <w:szCs w:val="20"/>
        </w:rPr>
        <w:t xml:space="preserve">This document states what the BC Inventory Reporting System must do. It is baselined to the implemented and tested build, so it describes the system as it now behaves rather than an intended future. It is the reference for acceptance, for onboarding, and for planning further work.</w:t>
      </w:r>
    </w:p>
    <w:p>
      <w:pPr>
        <w:pStyle w:val="Heading2"/>
        <w:spacing w:after="130" w:before="240"/>
      </w:pPr>
      <w:r>
        <w:rPr>
          <w:rFonts w:ascii="Calibri" w:cs="Calibri" w:eastAsia="Calibri" w:hAnsi="Calibri"/>
          <w:b/>
          <w:bCs/>
          <w:color w:val="0E2841"/>
          <w:sz w:val="23"/>
          <w:szCs w:val="23"/>
        </w:rPr>
        <w:t xml:space="preserve">1.2 Background</w:t>
      </w:r>
    </w:p>
    <w:p>
      <w:pPr>
        <w:spacing w:after="120" w:before="0"/>
      </w:pPr>
      <w:r>
        <w:rPr>
          <w:rFonts w:ascii="Calibri" w:cs="Calibri" w:eastAsia="Calibri" w:hAnsi="Calibri"/>
          <w:sz w:val="20"/>
          <w:szCs w:val="20"/>
        </w:rPr>
        <w:t xml:space="preserve">The organisation operates a bonded zone (Tempat Penimbunan Berikat / Pusat Logistik Berikat) and must report inbound and outbound customs documents and periodic stock movements to Bea Cukai. The legacy Web IT Inventory / BC Reports tool is being replaced. Vendors and internal systems produce customs and stock extracts in several fixed layouts; this system ingests those extracts, stores them under a common model keyed by their own column headers, and presents them as governed, filterable, exportable reports with a reconciliation view and a tamper-evident audit trail.</w:t>
      </w:r>
    </w:p>
    <w:p>
      <w:pPr>
        <w:pStyle w:val="Heading2"/>
        <w:spacing w:after="130" w:before="240"/>
      </w:pPr>
      <w:r>
        <w:rPr>
          <w:rFonts w:ascii="Calibri" w:cs="Calibri" w:eastAsia="Calibri" w:hAnsi="Calibri"/>
          <w:b/>
          <w:bCs/>
          <w:color w:val="0E2841"/>
          <w:sz w:val="23"/>
          <w:szCs w:val="23"/>
        </w:rPr>
        <w:t xml:space="preserve">1.3 Scope</w:t>
      </w:r>
    </w:p>
    <w:p>
      <w:pPr>
        <w:spacing w:after="120" w:before="0"/>
      </w:pPr>
      <w:r>
        <w:rPr>
          <w:rFonts w:ascii="Calibri" w:cs="Calibri" w:eastAsia="Calibri" w:hAnsi="Calibri"/>
          <w:sz w:val="20"/>
          <w:szCs w:val="20"/>
        </w:rPr>
        <w:t xml:space="preserve">In scope: ingestion of the defined report templates; the Reports and Inventory Movement browsing surfaces; dashboard, export, reconciliation; user / role / master-data / notification administration; and the audit trail. Out of scope for this baseline: direct integration with Bea Cukai systems, SSO/MFA, and typed per-report storage tables (data is held in a JSON column keyed by header — see §9).</w:t>
      </w:r>
    </w:p>
    <w:p>
      <w:pPr>
        <w:pStyle w:val="Heading1"/>
        <w:spacing w:after="130" w:before="320"/>
      </w:pPr>
      <w:r>
        <w:rPr>
          <w:rFonts w:ascii="Calibri" w:cs="Calibri" w:eastAsia="Calibri" w:hAnsi="Calibri"/>
          <w:b/>
          <w:bCs/>
          <w:color w:val="0E2841"/>
          <w:sz w:val="28"/>
          <w:szCs w:val="28"/>
        </w:rPr>
        <w:t xml:space="preserve">2. Users and roles</w:t>
      </w:r>
    </w:p>
    <w:p>
      <w:pPr>
        <w:spacing w:after="120" w:before="0"/>
      </w:pPr>
      <w:r>
        <w:rPr>
          <w:rFonts w:ascii="Calibri" w:cs="Calibri" w:eastAsia="Calibri" w:hAnsi="Calibri"/>
          <w:sz w:val="20"/>
          <w:szCs w:val="20"/>
        </w:rPr>
        <w:t xml:space="preserve">Access is a role × page × action matrix, enforced by the API and mirrored in the UI. Six roles are defined; a user is scoped to all entities or to a single entity/site.</w:t>
      </w:r>
    </w:p>
    <w:tbl>
      <w:tblPr>
        <w:tblW w:type="dxa" w:w="9600"/>
        <w:tblBorders>
          <w:top w:val="single" w:color="D6DCE4" w:sz="2"/>
          <w:left w:val="single" w:color="D6DCE4" w:sz="2"/>
          <w:bottom w:val="single" w:color="D6DCE4" w:sz="2"/>
          <w:right w:val="single" w:color="D6DCE4" w:sz="2"/>
          <w:insideH w:val="single" w:color="D6DCE4" w:sz="2"/>
          <w:insideV w:val="single" w:color="D6DCE4" w:sz="2"/>
        </w:tblBorders>
      </w:tblPr>
      <w:tblGrid>
        <w:gridCol w:w="2200"/>
        <w:gridCol w:w="7400"/>
      </w:tblGrid>
      <w:tr>
        <w:trPr>
          <w:tblHeader/>
        </w:trPr>
        <w:tc>
          <w:tcPr>
            <w:tcW w:type="dxa" w:w="2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Role</w:t>
            </w:r>
          </w:p>
        </w:tc>
        <w:tc>
          <w:tcPr>
            <w:tcW w:type="dxa" w:w="74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Purpose</w:t>
            </w:r>
          </w:p>
        </w:tc>
      </w:tr>
      <w:tr>
        <w:tc>
          <w:tcPr>
            <w:tcW w:type="dxa" w:w="2200"/>
            <w:tcMar>
              <w:top w:type="dxa" w:w="50"/>
              <w:left w:type="dxa" w:w="90"/>
              <w:bottom w:type="dxa" w:w="50"/>
              <w:right w:type="dxa" w:w="90"/>
            </w:tcMar>
          </w:tcPr>
          <w:p>
            <w:pPr>
              <w:spacing w:after="0"/>
            </w:pPr>
            <w:r>
              <w:rPr>
                <w:rFonts w:ascii="Calibri" w:cs="Calibri" w:eastAsia="Calibri" w:hAnsi="Calibri"/>
                <w:b/>
                <w:bCs/>
                <w:sz w:val="16"/>
                <w:szCs w:val="16"/>
              </w:rPr>
              <w:t xml:space="preserve">Super Admin</w:t>
            </w:r>
          </w:p>
        </w:tc>
        <w:tc>
          <w:tcPr>
            <w:tcW w:type="dxa" w:w="7400"/>
            <w:tcMar>
              <w:top w:type="dxa" w:w="50"/>
              <w:left w:type="dxa" w:w="90"/>
              <w:bottom w:type="dxa" w:w="50"/>
              <w:right w:type="dxa" w:w="90"/>
            </w:tcMar>
          </w:tcPr>
          <w:p>
            <w:pPr>
              <w:spacing w:after="0"/>
            </w:pPr>
            <w:r>
              <w:rPr>
                <w:rFonts w:ascii="Calibri" w:cs="Calibri" w:eastAsia="Calibri" w:hAnsi="Calibri"/>
                <w:sz w:val="16"/>
                <w:szCs w:val="16"/>
              </w:rPr>
              <w:t xml:space="preserve">Full access; the only role that may edit the permission matrix. Its own row is immutable.</w:t>
            </w:r>
          </w:p>
        </w:tc>
      </w:tr>
      <w:tr>
        <w:tc>
          <w:tcPr>
            <w:tcW w:type="dxa" w:w="22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Admin</w:t>
            </w:r>
          </w:p>
        </w:tc>
        <w:tc>
          <w:tcPr>
            <w:tcW w:type="dxa" w:w="74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User and master-data administration; cannot create a Super Admin, grant all-entities scope, or edit the matrix.</w:t>
            </w:r>
          </w:p>
        </w:tc>
      </w:tr>
      <w:tr>
        <w:tc>
          <w:tcPr>
            <w:tcW w:type="dxa" w:w="2200"/>
            <w:tcMar>
              <w:top w:type="dxa" w:w="50"/>
              <w:left w:type="dxa" w:w="90"/>
              <w:bottom w:type="dxa" w:w="50"/>
              <w:right w:type="dxa" w:w="90"/>
            </w:tcMar>
          </w:tcPr>
          <w:p>
            <w:pPr>
              <w:spacing w:after="0"/>
            </w:pPr>
            <w:r>
              <w:rPr>
                <w:rFonts w:ascii="Calibri" w:cs="Calibri" w:eastAsia="Calibri" w:hAnsi="Calibri"/>
                <w:b/>
                <w:bCs/>
                <w:sz w:val="16"/>
                <w:szCs w:val="16"/>
              </w:rPr>
              <w:t xml:space="preserve">HO BC User</w:t>
            </w:r>
          </w:p>
        </w:tc>
        <w:tc>
          <w:tcPr>
            <w:tcW w:type="dxa" w:w="7400"/>
            <w:tcMar>
              <w:top w:type="dxa" w:w="50"/>
              <w:left w:type="dxa" w:w="90"/>
              <w:bottom w:type="dxa" w:w="50"/>
              <w:right w:type="dxa" w:w="90"/>
            </w:tcMar>
          </w:tcPr>
          <w:p>
            <w:pPr>
              <w:spacing w:after="0"/>
            </w:pPr>
            <w:r>
              <w:rPr>
                <w:rFonts w:ascii="Calibri" w:cs="Calibri" w:eastAsia="Calibri" w:hAnsi="Calibri"/>
                <w:sz w:val="16"/>
                <w:szCs w:val="16"/>
              </w:rPr>
              <w:t xml:space="preserve">Head-office user; reports and movement across entities.</w:t>
            </w:r>
          </w:p>
        </w:tc>
      </w:tr>
      <w:tr>
        <w:tc>
          <w:tcPr>
            <w:tcW w:type="dxa" w:w="22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Site BC User</w:t>
            </w:r>
          </w:p>
        </w:tc>
        <w:tc>
          <w:tcPr>
            <w:tcW w:type="dxa" w:w="74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Site user, scope-locked to one entity/site; never sees another entity’s data.</w:t>
            </w:r>
          </w:p>
        </w:tc>
      </w:tr>
      <w:tr>
        <w:tc>
          <w:tcPr>
            <w:tcW w:type="dxa" w:w="2200"/>
            <w:tcMar>
              <w:top w:type="dxa" w:w="50"/>
              <w:left w:type="dxa" w:w="90"/>
              <w:bottom w:type="dxa" w:w="50"/>
              <w:right w:type="dxa" w:w="90"/>
            </w:tcMar>
          </w:tcPr>
          <w:p>
            <w:pPr>
              <w:spacing w:after="0"/>
            </w:pPr>
            <w:r>
              <w:rPr>
                <w:rFonts w:ascii="Calibri" w:cs="Calibri" w:eastAsia="Calibri" w:hAnsi="Calibri"/>
                <w:b/>
                <w:bCs/>
                <w:sz w:val="16"/>
                <w:szCs w:val="16"/>
              </w:rPr>
              <w:t xml:space="preserve">Data Steward</w:t>
            </w:r>
          </w:p>
        </w:tc>
        <w:tc>
          <w:tcPr>
            <w:tcW w:type="dxa" w:w="7400"/>
            <w:tcMar>
              <w:top w:type="dxa" w:w="50"/>
              <w:left w:type="dxa" w:w="90"/>
              <w:bottom w:type="dxa" w:w="50"/>
              <w:right w:type="dxa" w:w="90"/>
            </w:tcMar>
          </w:tcPr>
          <w:p>
            <w:pPr>
              <w:spacing w:after="0"/>
            </w:pPr>
            <w:r>
              <w:rPr>
                <w:rFonts w:ascii="Calibri" w:cs="Calibri" w:eastAsia="Calibri" w:hAnsi="Calibri"/>
                <w:sz w:val="16"/>
                <w:szCs w:val="16"/>
              </w:rPr>
              <w:t xml:space="preserve">Ingestion and quarantine resolution.</w:t>
            </w:r>
          </w:p>
        </w:tc>
      </w:tr>
      <w:tr>
        <w:tc>
          <w:tcPr>
            <w:tcW w:type="dxa" w:w="22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Auditor</w:t>
            </w:r>
          </w:p>
        </w:tc>
        <w:tc>
          <w:tcPr>
            <w:tcW w:type="dxa" w:w="74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Read-only, including the audit log.</w:t>
            </w:r>
          </w:p>
        </w:tc>
      </w:tr>
    </w:tbl>
    <w:p>
      <w:pPr>
        <w:spacing w:after="120" w:before="60"/>
      </w:pPr>
      <w:r>
        <w:rPr>
          <w:rFonts w:ascii="Calibri" w:cs="Calibri" w:eastAsia="Calibri" w:hAnsi="Calibri"/>
          <w:sz w:val="20"/>
          <w:szCs w:val="20"/>
        </w:rPr>
        <w:t xml:space="preserve">Seven governable pages: Dashboard, Reports, Inventory Movement, Ingestion &amp; Upload, LPM / Reconciliation, Administration, Audit Log. A user whose landing page (Dashboard) is not permitted is taken to Reports instead.</w:t>
      </w:r>
    </w:p>
    <w:p>
      <w:r>
        <w:br w:type="page"/>
      </w:r>
    </w:p>
    <w:p>
      <w:pPr>
        <w:pStyle w:val="Heading1"/>
        <w:spacing w:after="130" w:before="320"/>
      </w:pPr>
      <w:r>
        <w:rPr>
          <w:rFonts w:ascii="Calibri" w:cs="Calibri" w:eastAsia="Calibri" w:hAnsi="Calibri"/>
          <w:b/>
          <w:bCs/>
          <w:color w:val="0E2841"/>
          <w:sz w:val="28"/>
          <w:szCs w:val="28"/>
        </w:rPr>
        <w:t xml:space="preserve">3. Functional requirements</w:t>
      </w:r>
    </w:p>
    <w:p>
      <w:pPr>
        <w:pStyle w:val="Heading2"/>
        <w:spacing w:after="130" w:before="240"/>
      </w:pPr>
      <w:r>
        <w:rPr>
          <w:rFonts w:ascii="Calibri" w:cs="Calibri" w:eastAsia="Calibri" w:hAnsi="Calibri"/>
          <w:b/>
          <w:bCs/>
          <w:color w:val="0E2841"/>
          <w:sz w:val="23"/>
          <w:szCs w:val="23"/>
        </w:rPr>
        <w:t xml:space="preserve">3.1 Authentication &amp; session (FR-AUTH)</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FR-AUTH1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Users sign in with e-mail and password; passwords are stored hashed (BCrypt).</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Server-side; no plaintext.</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FR-AUTH2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 failed sign-in returns one generic message regardless of cause; the specific reason is written only to the audit trail.</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Prevents account enumeration.</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FR-AUTH3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Repeated failures lock the account, and separately a source address, for a cooldown period.</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Per-account and per-address throttle.</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FR-AUTH4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Authorization (role, status, entity scope) is taken from the current account on every request, not from the token.</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Disable / demote / rescope / reset takes effect within seconds.</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FR-AUTH5</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Disabling an account, resetting its password or changing its permissions ends its existing sessions.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tokens_valid_from + per-request check.</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FR-AUTH6</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Session tokens expire after a configurable lifetime (default 120 minutes).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JWT_LIFETIME_MINUTES.</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FR-AUTH7</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 new or reset password must meet the policy: ≥10 characters, some character variety, and not an obvious word or the account’s own address.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Applied wherever a password is set.</w:t>
            </w:r>
          </w:p>
        </w:tc>
      </w:tr>
    </w:tbl>
    <w:p>
      <w:pPr>
        <w:pStyle w:val="Heading2"/>
        <w:spacing w:after="130" w:before="240"/>
      </w:pPr>
      <w:r>
        <w:rPr>
          <w:rFonts w:ascii="Calibri" w:cs="Calibri" w:eastAsia="Calibri" w:hAnsi="Calibri"/>
          <w:b/>
          <w:bCs/>
          <w:color w:val="0E2841"/>
          <w:sz w:val="23"/>
          <w:szCs w:val="23"/>
        </w:rPr>
        <w:t xml:space="preserve">3.2 Reports &amp; Inventory Movement (FR-R)</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FR-R1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Users select a report and see a data grid with the catalogue default columns.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14 reports across two pages (§4).</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FR-R2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Every query is bounded to the user’s entity scope; a scoped user cannot request another entity’s data.</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Refused with SCOPE-001.</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FR-R3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Users can filter by entity, period (from/to) and free-text search over the report’s search fields.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Period uses the reporting period.</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FR-R4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Users can add or remove columns, reorder them, and sort by one or more columns.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Server-side sort across all pages.</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FR-R5</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Results are paged server-side with a selectable page size, and the elapsed time is shown.</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≤2 s target (§6).</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FR-R6</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 user’s grid layout persists per report and can be saved, applied and deleted as named views.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Saved views are per-user; deleting another user’s view is refused.</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FR-R7</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Column headings show the agreed customs terminology; hovering a heading reveals the underlying upload field name.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Display label vs verbatim key.</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FR-R8</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Field names, values and dates render in Indonesian format (“.” thousands, “,” decimals; local dates).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Everywhere, incl. exports.</w:t>
            </w:r>
          </w:p>
        </w:tc>
      </w:tr>
    </w:tbl>
    <w:p>
      <w:pPr>
        <w:pStyle w:val="Heading2"/>
        <w:spacing w:after="130" w:before="240"/>
      </w:pPr>
      <w:r>
        <w:rPr>
          <w:rFonts w:ascii="Calibri" w:cs="Calibri" w:eastAsia="Calibri" w:hAnsi="Calibri"/>
          <w:b/>
          <w:bCs/>
          <w:color w:val="0E2841"/>
          <w:sz w:val="23"/>
          <w:szCs w:val="23"/>
        </w:rPr>
        <w:t xml:space="preserve">3.3 Ingestion (FR-I)</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FR-I1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 user uploads a file; the template is identified from the file’s own header row, not its name or extension.</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TSV / HTML-table / XLSX sniffed by content.</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FR-I2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Where two templates share a byte-identical layout, the sheet name, file name or title row disambiguates; if none does, the upload is rejected with an explanation.</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Never guessed.</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FR-I3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Rows that fail validation are quarantined with a reason; valid rows in the same file still load.</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“not a number” / “not a recognised date”, field + value named.</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FR-I4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Re-uploading identical content is detected and refused as a duplicate.</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Content-hash idempotency.</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FR-I5</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Re-uploading a corrected file for a period already loaded updates that period in place.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Per-period upsert (movement reports).</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FR-I6</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Each report offers a downloadable blank .xlsx template with its exact columns and a guidance sheet.</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Columns match by header; reorderable.</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FR-I7</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Uploads above a size cap are refused with a readable message.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100 MB at the API.</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FR-I8</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The five movement templates carry a leading Tanggal Transaksi column.</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WIP, Bahan Baku, Barang Jadi, Aset dan Sparepart, Scraps.</w:t>
            </w:r>
          </w:p>
        </w:tc>
      </w:tr>
    </w:tbl>
    <w:p>
      <w:pPr>
        <w:pStyle w:val="Heading2"/>
        <w:spacing w:after="130" w:before="240"/>
      </w:pPr>
      <w:r>
        <w:rPr>
          <w:rFonts w:ascii="Calibri" w:cs="Calibri" w:eastAsia="Calibri" w:hAnsi="Calibri"/>
          <w:b/>
          <w:bCs/>
          <w:color w:val="0E2841"/>
          <w:sz w:val="23"/>
          <w:szCs w:val="23"/>
        </w:rPr>
        <w:t xml:space="preserve">3.4 Aset / Sparepart routing (FR-ROUTE)</w:t>
      </w:r>
    </w:p>
    <w:p>
      <w:pPr>
        <w:spacing w:after="120" w:before="0"/>
      </w:pPr>
      <w:r>
        <w:rPr>
          <w:rFonts w:ascii="Calibri" w:cs="Calibri" w:eastAsia="Calibri" w:hAnsi="Calibri"/>
          <w:sz w:val="20"/>
          <w:szCs w:val="20"/>
        </w:rPr>
        <w:t xml:space="preserve">The vendor uploads one Laporan Aset dan Sparepart file. Its rows are read as three reports by Kode Barang prefix:</w:t>
      </w:r>
    </w:p>
    <w:tbl>
      <w:tblPr>
        <w:tblW w:type="dxa" w:w="9600"/>
        <w:tblBorders>
          <w:top w:val="single" w:color="D6DCE4" w:sz="2"/>
          <w:left w:val="single" w:color="D6DCE4" w:sz="2"/>
          <w:bottom w:val="single" w:color="D6DCE4" w:sz="2"/>
          <w:right w:val="single" w:color="D6DCE4" w:sz="2"/>
          <w:insideH w:val="single" w:color="D6DCE4" w:sz="2"/>
          <w:insideV w:val="single" w:color="D6DCE4" w:sz="2"/>
        </w:tblBorders>
      </w:tblPr>
      <w:tblGrid>
        <w:gridCol w:w="3400"/>
        <w:gridCol w:w="6200"/>
      </w:tblGrid>
      <w:tr>
        <w:trPr>
          <w:tblHeader/>
        </w:trPr>
        <w:tc>
          <w:tcPr>
            <w:tcW w:type="dxa" w:w="34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Destination report</w:t>
            </w:r>
          </w:p>
        </w:tc>
        <w:tc>
          <w:tcPr>
            <w:tcW w:type="dxa" w:w="6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Rule</w:t>
            </w:r>
          </w:p>
        </w:tc>
      </w:tr>
      <w:tr>
        <w:tc>
          <w:tcPr>
            <w:tcW w:type="dxa" w:w="3400"/>
            <w:tcMar>
              <w:top w:type="dxa" w:w="50"/>
              <w:left w:type="dxa" w:w="90"/>
              <w:bottom w:type="dxa" w:w="50"/>
              <w:right w:type="dxa" w:w="90"/>
            </w:tcMar>
          </w:tcPr>
          <w:p>
            <w:pPr>
              <w:spacing w:after="0"/>
            </w:pPr>
            <w:r>
              <w:rPr>
                <w:rFonts w:ascii="Calibri" w:cs="Calibri" w:eastAsia="Calibri" w:hAnsi="Calibri"/>
                <w:b/>
                <w:bCs/>
                <w:sz w:val="16"/>
                <w:szCs w:val="16"/>
              </w:rPr>
              <w:t xml:space="preserve">Laporan Sparepart</w:t>
            </w:r>
          </w:p>
        </w:tc>
        <w:tc>
          <w:tcPr>
            <w:tcW w:type="dxa" w:w="6200"/>
            <w:tcMar>
              <w:top w:type="dxa" w:w="50"/>
              <w:left w:type="dxa" w:w="90"/>
              <w:bottom w:type="dxa" w:w="50"/>
              <w:right w:type="dxa" w:w="90"/>
            </w:tcMar>
          </w:tcPr>
          <w:p>
            <w:pPr>
              <w:spacing w:after="0"/>
            </w:pPr>
            <w:r>
              <w:rPr>
                <w:rFonts w:ascii="Calibri" w:cs="Calibri" w:eastAsia="Calibri" w:hAnsi="Calibri"/>
                <w:sz w:val="16"/>
                <w:szCs w:val="16"/>
              </w:rPr>
              <w:t xml:space="preserve">Kode Barang begins 9, except 912.</w:t>
            </w:r>
          </w:p>
        </w:tc>
      </w:tr>
      <w:tr>
        <w:tc>
          <w:tcPr>
            <w:tcW w:type="dxa" w:w="34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Laporan Bahan Baku dan Bahan Penolong</w:t>
            </w:r>
          </w:p>
        </w:tc>
        <w:tc>
          <w:tcPr>
            <w:tcW w:type="dxa" w:w="6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Kode Barang begins 912 (bahan penolong).</w:t>
            </w:r>
          </w:p>
        </w:tc>
      </w:tr>
      <w:tr>
        <w:tc>
          <w:tcPr>
            <w:tcW w:type="dxa" w:w="3400"/>
            <w:tcMar>
              <w:top w:type="dxa" w:w="50"/>
              <w:left w:type="dxa" w:w="90"/>
              <w:bottom w:type="dxa" w:w="50"/>
              <w:right w:type="dxa" w:w="90"/>
            </w:tcMar>
          </w:tcPr>
          <w:p>
            <w:pPr>
              <w:spacing w:after="0"/>
            </w:pPr>
            <w:r>
              <w:rPr>
                <w:rFonts w:ascii="Calibri" w:cs="Calibri" w:eastAsia="Calibri" w:hAnsi="Calibri"/>
                <w:b/>
                <w:bCs/>
                <w:sz w:val="16"/>
                <w:szCs w:val="16"/>
              </w:rPr>
              <w:t xml:space="preserve">Laporan Aset</w:t>
            </w:r>
          </w:p>
        </w:tc>
        <w:tc>
          <w:tcPr>
            <w:tcW w:type="dxa" w:w="6200"/>
            <w:tcMar>
              <w:top w:type="dxa" w:w="50"/>
              <w:left w:type="dxa" w:w="90"/>
              <w:bottom w:type="dxa" w:w="50"/>
              <w:right w:type="dxa" w:w="90"/>
            </w:tcMar>
          </w:tcPr>
          <w:p>
            <w:pPr>
              <w:spacing w:after="0"/>
            </w:pPr>
            <w:r>
              <w:rPr>
                <w:rFonts w:ascii="Calibri" w:cs="Calibri" w:eastAsia="Calibri" w:hAnsi="Calibri"/>
                <w:sz w:val="16"/>
                <w:szCs w:val="16"/>
              </w:rPr>
              <w:t xml:space="preserve">Kode Barang does not begin with 9 (a blank code lands here rather than vanishing).</w:t>
            </w:r>
          </w:p>
        </w:tc>
      </w:tr>
    </w:tbl>
    <w:p>
      <w:pPr>
        <w:spacing w:after="120" w:before="60"/>
      </w:pPr>
      <w:r>
        <w:rPr>
          <w:rFonts w:ascii="Calibri" w:cs="Calibri" w:eastAsia="Calibri" w:hAnsi="Calibri"/>
          <w:sz w:val="20"/>
          <w:szCs w:val="20"/>
        </w:rPr>
        <w:t xml:space="preserve">The three views always reconcile to the uploaded row count — no row is lost or double-counted. Laporan Aset dan Sparepart itself remains the upload template and is not separately browsable.</w:t>
      </w:r>
    </w:p>
    <w:p>
      <w:pPr>
        <w:pStyle w:val="Heading2"/>
        <w:spacing w:after="130" w:before="240"/>
      </w:pPr>
      <w:r>
        <w:rPr>
          <w:rFonts w:ascii="Calibri" w:cs="Calibri" w:eastAsia="Calibri" w:hAnsi="Calibri"/>
          <w:b/>
          <w:bCs/>
          <w:color w:val="0E2841"/>
          <w:sz w:val="23"/>
          <w:szCs w:val="23"/>
        </w:rPr>
        <w:t xml:space="preserve">3.5 Dashboard, Export &amp; LPM (FR-D / FR-X / FR-LPM)</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FR-D1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 dashboard shows KPI counts, a per-month trend by template and recent ingestions, all within the user’s scope.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Entity-scoped figures.</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FR-X1</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The current grid can be exported to Excel and CSV, honouring the visible columns, order, sort and filters.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Typed cells; identifiers keep leading zeros.</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FR-X2</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Numeric and date values in exports use Indonesian formatting.</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Matches the screen.</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FR-LPM1</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 reconciliation view shows saldo per material per month (opening + in − out − adjustment = closing).</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LPM / Reconciliation page.</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FR-LPM2</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BC 4.0 goods-receipt variances are flagged against a tolerance.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Variance % vs tolerance %.</w:t>
            </w:r>
          </w:p>
        </w:tc>
      </w:tr>
    </w:tbl>
    <w:p>
      <w:pPr>
        <w:pStyle w:val="Heading2"/>
        <w:spacing w:after="130" w:before="240"/>
      </w:pPr>
      <w:r>
        <w:rPr>
          <w:rFonts w:ascii="Calibri" w:cs="Calibri" w:eastAsia="Calibri" w:hAnsi="Calibri"/>
          <w:b/>
          <w:bCs/>
          <w:color w:val="0E2841"/>
          <w:sz w:val="23"/>
          <w:szCs w:val="23"/>
        </w:rPr>
        <w:t xml:space="preserve">3.6 Notifications (FR-N)</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FR-N1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The system raises events for file ingested, rows quarantined, ingestion failed, and security/administration actions.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Four event types.</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FR-N2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Each event is delivered in-app (bell + unread badge) and, when a relay is configured, by e-mail.</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E-mail over STARTTLS.</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FR-N3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An administrator sets, per user and per event, whether it arrives in-app, by e-mail, both, or neither.</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Administration → Notifications.</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FR-N4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 user with no explicit setting receives the event according to its default recipient roles.</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Nobody silently unsubscribed.</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FR-N5</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 disabled user receives nothing on either channel; per-recipient delivery status is recorded.</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E-mail-only recipients do not appear in the bell.</w:t>
            </w:r>
          </w:p>
        </w:tc>
      </w:tr>
    </w:tbl>
    <w:p>
      <w:pPr>
        <w:pStyle w:val="Heading2"/>
        <w:spacing w:after="130" w:before="240"/>
      </w:pPr>
      <w:r>
        <w:rPr>
          <w:rFonts w:ascii="Calibri" w:cs="Calibri" w:eastAsia="Calibri" w:hAnsi="Calibri"/>
          <w:b/>
          <w:bCs/>
          <w:color w:val="0E2841"/>
          <w:sz w:val="23"/>
          <w:szCs w:val="23"/>
        </w:rPr>
        <w:t xml:space="preserve">3.7 Administration (FR-A)</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Administrators create users with a role and entity/site scope, disable/enable them, and reset passwords. Users are never hard-deleted.</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Disable, not delete.</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An Admin cannot create a Super Admin, grant all-entities scope, or disable their own account.</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Escalation guards, server-enforced.</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 Super Admin configures the role × page × (view/insert/edit) matrix. Only a Super Admin may edit it; the Super Admin row is immutable.</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Revoked pages return 403 even when called directly.</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Administrators manage master data (entities, sites, TPB permits) with duplicate and test-entry blocking.</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“TEST”/“TESTING” rejected in production data.</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FR-A5</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Every administrative change is recorded in the audit trail and alerts the configured recipients.</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Actor, target, time.</w:t>
            </w:r>
          </w:p>
        </w:tc>
      </w:tr>
    </w:tbl>
    <w:p>
      <w:pPr>
        <w:pStyle w:val="Heading2"/>
        <w:spacing w:after="130" w:before="240"/>
      </w:pPr>
      <w:r>
        <w:rPr>
          <w:rFonts w:ascii="Calibri" w:cs="Calibri" w:eastAsia="Calibri" w:hAnsi="Calibri"/>
          <w:b/>
          <w:bCs/>
          <w:color w:val="0E2841"/>
          <w:sz w:val="23"/>
          <w:szCs w:val="23"/>
        </w:rPr>
        <w:t xml:space="preserve">3.8 Audit (FR-AUD)</w:t>
      </w:r>
    </w:p>
    <w:tbl>
      <w:tblPr>
        <w:tblW w:type="dxa" w:w="12500"/>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4200"/>
        <w:gridCol w:w="6800"/>
      </w:tblGrid>
      <w:tr>
        <w:trPr>
          <w:tblHeader/>
        </w:trPr>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ID</w:t>
            </w:r>
          </w:p>
        </w:tc>
        <w:tc>
          <w:tcPr>
            <w:tcW w:type="dxa" w:w="4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Requirement</w:t>
            </w:r>
          </w:p>
        </w:tc>
        <w:tc>
          <w:tcPr>
            <w:tcW w:type="dxa" w:w="68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Notes / as built</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FR-AUD1</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Every login (including failures, with reason and source IP), session rejection, report run, export, ingestion event, and user / master-data / permission change is recorded with a JSON detail.</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Append-only.</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FR-AUD2</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The audit trail cannot be altered or erased: the database rejects UPDATE, DELETE and TRUNCATE on it.</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Enforced by database triggers, not only application code.</w:t>
            </w:r>
          </w:p>
        </w:tc>
      </w:tr>
      <w:tr>
        <w:tc>
          <w:tcPr>
            <w:tcW w:type="dxa" w:w="1500"/>
            <w:tcMar>
              <w:top w:type="dxa" w:w="50"/>
              <w:left w:type="dxa" w:w="90"/>
              <w:bottom w:type="dxa" w:w="50"/>
              <w:right w:type="dxa" w:w="90"/>
            </w:tcMar>
          </w:tcPr>
          <w:p>
            <w:pPr>
              <w:spacing w:after="0"/>
            </w:pPr>
            <w:r>
              <w:rPr>
                <w:rFonts w:ascii="Calibri" w:cs="Calibri" w:eastAsia="Calibri" w:hAnsi="Calibri"/>
                <w:b/>
                <w:bCs/>
                <w:sz w:val="16"/>
                <w:szCs w:val="16"/>
              </w:rPr>
              <w:t xml:space="preserve">FR-AUD3</w:t>
            </w:r>
          </w:p>
        </w:tc>
        <w:tc>
          <w:tcPr>
            <w:tcW w:type="dxa" w:w="4200"/>
            <w:tcMar>
              <w:top w:type="dxa" w:w="50"/>
              <w:left w:type="dxa" w:w="90"/>
              <w:bottom w:type="dxa" w:w="50"/>
              <w:right w:type="dxa" w:w="90"/>
            </w:tcMar>
          </w:tcPr>
          <w:p>
            <w:pPr>
              <w:spacing w:after="0"/>
            </w:pPr>
            <w:r>
              <w:rPr>
                <w:rFonts w:ascii="Calibri" w:cs="Calibri" w:eastAsia="Calibri" w:hAnsi="Calibri"/>
                <w:sz w:val="16"/>
                <w:szCs w:val="16"/>
              </w:rPr>
              <w:t xml:space="preserve">Authorised roles can filter the trail by date, actor, action and free text, expand a row’s detail, and export to CSV.</w:t>
            </w:r>
          </w:p>
        </w:tc>
        <w:tc>
          <w:tcPr>
            <w:tcW w:type="dxa" w:w="6800"/>
            <w:tcMar>
              <w:top w:type="dxa" w:w="50"/>
              <w:left w:type="dxa" w:w="90"/>
              <w:bottom w:type="dxa" w:w="50"/>
              <w:right w:type="dxa" w:w="90"/>
            </w:tcMar>
          </w:tcPr>
          <w:p>
            <w:pPr>
              <w:spacing w:after="0"/>
            </w:pPr>
            <w:r>
              <w:rPr>
                <w:rFonts w:ascii="Calibri" w:cs="Calibri" w:eastAsia="Calibri" w:hAnsi="Calibri"/>
                <w:sz w:val="16"/>
                <w:szCs w:val="16"/>
              </w:rPr>
              <w:t xml:space="preserve">Super Admin / Admin / Auditor.</w:t>
            </w:r>
          </w:p>
        </w:tc>
      </w:tr>
      <w:tr>
        <w:tc>
          <w:tcPr>
            <w:tcW w:type="dxa" w:w="15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FR-AUD4</w:t>
            </w:r>
          </w:p>
        </w:tc>
        <w:tc>
          <w:tcPr>
            <w:tcW w:type="dxa" w:w="4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The application connects to the database with a role that cannot delete from or unprotect the audit table.</w:t>
            </w:r>
          </w:p>
        </w:tc>
        <w:tc>
          <w:tcPr>
            <w:tcW w:type="dxa" w:w="68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Defence beyond the trigger.</w:t>
            </w:r>
          </w:p>
        </w:tc>
      </w:tr>
    </w:tbl>
    <w:p>
      <w:r>
        <w:br w:type="page"/>
      </w:r>
    </w:p>
    <w:p>
      <w:pPr>
        <w:pStyle w:val="Heading1"/>
        <w:spacing w:after="130" w:before="320"/>
      </w:pPr>
      <w:r>
        <w:rPr>
          <w:rFonts w:ascii="Calibri" w:cs="Calibri" w:eastAsia="Calibri" w:hAnsi="Calibri"/>
          <w:b/>
          <w:bCs/>
          <w:color w:val="0E2841"/>
          <w:sz w:val="28"/>
          <w:szCs w:val="28"/>
        </w:rPr>
        <w:t xml:space="preserve">4. Report catalogue</w:t>
      </w:r>
    </w:p>
    <w:p>
      <w:pPr>
        <w:spacing w:after="120" w:before="0"/>
      </w:pPr>
      <w:r>
        <w:rPr>
          <w:rFonts w:ascii="Calibri" w:cs="Calibri" w:eastAsia="Calibri" w:hAnsi="Calibri"/>
          <w:sz w:val="20"/>
          <w:szCs w:val="20"/>
        </w:rPr>
        <w:t xml:space="preserve">Fourteen reports. Twelve own an upload template; Laporan Sparepart and Laporan Aset are views over the Aset dan Sparepart upload (§3.4). Field-level mappings are in Appendices D &amp; E (carried from v1.2, with Tanggal Transaksi added to the movement templates).</w:t>
      </w:r>
    </w:p>
    <w:tbl>
      <w:tblPr>
        <w:tblW w:type="dxa" w:w="11800"/>
        <w:tblBorders>
          <w:top w:val="single" w:color="D6DCE4" w:sz="2"/>
          <w:left w:val="single" w:color="D6DCE4" w:sz="2"/>
          <w:bottom w:val="single" w:color="D6DCE4" w:sz="2"/>
          <w:right w:val="single" w:color="D6DCE4" w:sz="2"/>
          <w:insideH w:val="single" w:color="D6DCE4" w:sz="2"/>
          <w:insideV w:val="single" w:color="D6DCE4" w:sz="2"/>
        </w:tblBorders>
      </w:tblPr>
      <w:tblGrid>
        <w:gridCol w:w="4600"/>
        <w:gridCol w:w="1500"/>
        <w:gridCol w:w="2200"/>
        <w:gridCol w:w="3500"/>
      </w:tblGrid>
      <w:tr>
        <w:trPr>
          <w:tblHeader/>
        </w:trPr>
        <w:tc>
          <w:tcPr>
            <w:tcW w:type="dxa" w:w="46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Report</w:t>
            </w:r>
          </w:p>
        </w:tc>
        <w:tc>
          <w:tcPr>
            <w:tcW w:type="dxa" w:w="1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Template</w:t>
            </w:r>
          </w:p>
        </w:tc>
        <w:tc>
          <w:tcPr>
            <w:tcW w:type="dxa" w:w="22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Page</w:t>
            </w:r>
          </w:p>
        </w:tc>
        <w:tc>
          <w:tcPr>
            <w:tcW w:type="dxa" w:w="3500"/>
            <w:shd w:fill="0E2841" w:color="auto" w:val="clear"/>
            <w:tcMar>
              <w:top w:type="dxa" w:w="50"/>
              <w:left w:type="dxa" w:w="90"/>
              <w:bottom w:type="dxa" w:w="50"/>
              <w:right w:type="dxa" w:w="90"/>
            </w:tcMar>
          </w:tcPr>
          <w:p>
            <w:pPr>
              <w:spacing w:after="0"/>
            </w:pPr>
            <w:r>
              <w:rPr>
                <w:rFonts w:ascii="Calibri" w:cs="Calibri" w:eastAsia="Calibri" w:hAnsi="Calibri"/>
                <w:b/>
                <w:bCs/>
                <w:color w:val="FFFFFF"/>
                <w:sz w:val="16"/>
                <w:szCs w:val="16"/>
              </w:rPr>
              <w:t xml:space="preserve">Source format / note</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Pemasukan Barang — PIB Import (BC 2.3)</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BC23</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tab-separated text (.xls)</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Pemasukan Barang — BC 4.0</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BC40</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HTML table (.xls)</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Pengeluaran Barang — BC 3.0 (PEB)</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BC30</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XLSX, 2-row merged header</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Pemasukan Barang — BC 2.7</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BC27IN</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XLSX</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Pengeluaran Barang — BC 2.7</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BC27OUT</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XLSX — shared layout</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Pengeluaran Barang — BC 2.5</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BC25</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XLSX — shared layout</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Pengeluaran Barang — BC 4.1</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BC41</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Reports</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XLSX — shared layout</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Laporan WIP</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WIP</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XLSX</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Laporan Bahan Baku dan Bahan Penolong</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BAHANBAKU</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XLSX; also shows Kode Barang 912 from Aset</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Laporan Barang Jadi</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BARANGJADI</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XLSX — shared layout</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Laporan Aset dan Sparepart</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ASET</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upload only</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XLSX; read as the two views below</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Laporan Sparepart</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ASET (view)</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Kode Barang 9xx except 912</w:t>
            </w:r>
          </w:p>
        </w:tc>
      </w:tr>
      <w:tr>
        <w:tc>
          <w:tcPr>
            <w:tcW w:type="dxa" w:w="4600"/>
            <w:tcMar>
              <w:top w:type="dxa" w:w="50"/>
              <w:left w:type="dxa" w:w="90"/>
              <w:bottom w:type="dxa" w:w="50"/>
              <w:right w:type="dxa" w:w="90"/>
            </w:tcMar>
          </w:tcPr>
          <w:p>
            <w:pPr>
              <w:spacing w:after="0"/>
            </w:pPr>
            <w:r>
              <w:rPr>
                <w:rFonts w:ascii="Calibri" w:cs="Calibri" w:eastAsia="Calibri" w:hAnsi="Calibri"/>
                <w:b/>
                <w:bCs/>
                <w:sz w:val="16"/>
                <w:szCs w:val="16"/>
              </w:rPr>
              <w:t xml:space="preserve">Laporan Aset</w:t>
            </w:r>
          </w:p>
        </w:tc>
        <w:tc>
          <w:tcPr>
            <w:tcW w:type="dxa" w:w="1500"/>
            <w:tcMar>
              <w:top w:type="dxa" w:w="50"/>
              <w:left w:type="dxa" w:w="90"/>
              <w:bottom w:type="dxa" w:w="50"/>
              <w:right w:type="dxa" w:w="90"/>
            </w:tcMar>
          </w:tcPr>
          <w:p>
            <w:pPr>
              <w:spacing w:after="0"/>
            </w:pPr>
            <w:r>
              <w:rPr>
                <w:rFonts w:ascii="Calibri" w:cs="Calibri" w:eastAsia="Calibri" w:hAnsi="Calibri"/>
                <w:sz w:val="16"/>
                <w:szCs w:val="16"/>
              </w:rPr>
              <w:t xml:space="preserve">ASET (view)</w:t>
            </w:r>
          </w:p>
        </w:tc>
        <w:tc>
          <w:tcPr>
            <w:tcW w:type="dxa" w:w="2200"/>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tcMar>
              <w:top w:type="dxa" w:w="50"/>
              <w:left w:type="dxa" w:w="90"/>
              <w:bottom w:type="dxa" w:w="50"/>
              <w:right w:type="dxa" w:w="90"/>
            </w:tcMar>
          </w:tcPr>
          <w:p>
            <w:pPr>
              <w:spacing w:after="0"/>
            </w:pPr>
            <w:r>
              <w:rPr>
                <w:rFonts w:ascii="Calibri" w:cs="Calibri" w:eastAsia="Calibri" w:hAnsi="Calibri"/>
                <w:sz w:val="16"/>
                <w:szCs w:val="16"/>
              </w:rPr>
              <w:t xml:space="preserve">Kode Barang not starting with 9</w:t>
            </w:r>
          </w:p>
        </w:tc>
      </w:tr>
      <w:tr>
        <w:tc>
          <w:tcPr>
            <w:tcW w:type="dxa" w:w="4600"/>
            <w:shd w:fill="F4F6F9" w:color="auto" w:val="clear"/>
            <w:tcMar>
              <w:top w:type="dxa" w:w="50"/>
              <w:left w:type="dxa" w:w="90"/>
              <w:bottom w:type="dxa" w:w="50"/>
              <w:right w:type="dxa" w:w="90"/>
            </w:tcMar>
          </w:tcPr>
          <w:p>
            <w:pPr>
              <w:spacing w:after="0"/>
            </w:pPr>
            <w:r>
              <w:rPr>
                <w:rFonts w:ascii="Calibri" w:cs="Calibri" w:eastAsia="Calibri" w:hAnsi="Calibri"/>
                <w:b/>
                <w:bCs/>
                <w:sz w:val="16"/>
                <w:szCs w:val="16"/>
              </w:rPr>
              <w:t xml:space="preserve">Laporan Scraps</w:t>
            </w:r>
          </w:p>
        </w:tc>
        <w:tc>
          <w:tcPr>
            <w:tcW w:type="dxa" w:w="1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SCRAP</w:t>
            </w:r>
          </w:p>
        </w:tc>
        <w:tc>
          <w:tcPr>
            <w:tcW w:type="dxa" w:w="22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Inventory Movement</w:t>
            </w:r>
          </w:p>
        </w:tc>
        <w:tc>
          <w:tcPr>
            <w:tcW w:type="dxa" w:w="3500"/>
            <w:shd w:fill="F4F6F9" w:color="auto" w:val="clear"/>
            <w:tcMar>
              <w:top w:type="dxa" w:w="50"/>
              <w:left w:type="dxa" w:w="90"/>
              <w:bottom w:type="dxa" w:w="50"/>
              <w:right w:type="dxa" w:w="90"/>
            </w:tcMar>
          </w:tcPr>
          <w:p>
            <w:pPr>
              <w:spacing w:after="0"/>
            </w:pPr>
            <w:r>
              <w:rPr>
                <w:rFonts w:ascii="Calibri" w:cs="Calibri" w:eastAsia="Calibri" w:hAnsi="Calibri"/>
                <w:sz w:val="16"/>
                <w:szCs w:val="16"/>
              </w:rPr>
              <w:t xml:space="preserve">XLSX — shared layout</w:t>
            </w:r>
          </w:p>
        </w:tc>
      </w:tr>
    </w:tbl>
    <w:p>
      <w:pPr>
        <w:pStyle w:val="Heading1"/>
        <w:spacing w:after="130" w:before="320"/>
      </w:pPr>
      <w:r>
        <w:rPr>
          <w:rFonts w:ascii="Calibri" w:cs="Calibri" w:eastAsia="Calibri" w:hAnsi="Calibri"/>
          <w:b/>
          <w:bCs/>
          <w:color w:val="0E2841"/>
          <w:sz w:val="28"/>
          <w:szCs w:val="28"/>
        </w:rPr>
        <w:t xml:space="preserve">5. Non-functional requirements</w:t>
      </w:r>
    </w:p>
    <w:p>
      <w:pPr>
        <w:pStyle w:val="Heading2"/>
        <w:spacing w:after="130" w:before="240"/>
      </w:pPr>
      <w:r>
        <w:rPr>
          <w:rFonts w:ascii="Calibri" w:cs="Calibri" w:eastAsia="Calibri" w:hAnsi="Calibri"/>
          <w:b/>
          <w:bCs/>
          <w:color w:val="0E2841"/>
          <w:sz w:val="23"/>
          <w:szCs w:val="23"/>
        </w:rPr>
        <w:t xml:space="preserve">5.1 Performance</w:t>
      </w:r>
    </w:p>
    <w:p>
      <w:pPr>
        <w:spacing w:after="120" w:before="0"/>
      </w:pPr>
      <w:r>
        <w:rPr>
          <w:rFonts w:ascii="Calibri" w:cs="Calibri" w:eastAsia="Calibri" w:hAnsi="Calibri"/>
          <w:sz w:val="20"/>
          <w:szCs w:val="20"/>
        </w:rPr>
        <w:t xml:space="preserve">Every interactive action — load, filter, sort, page — returns within 2 seconds at expected data volume, measured server-side and shown to the user. Testing measured 8–89 ms single-user against the current dataset.</w:t>
      </w:r>
    </w:p>
    <w:p>
      <w:pPr>
        <w:pStyle w:val="Heading2"/>
        <w:spacing w:after="130" w:before="240"/>
      </w:pPr>
      <w:r>
        <w:rPr>
          <w:rFonts w:ascii="Calibri" w:cs="Calibri" w:eastAsia="Calibri" w:hAnsi="Calibri"/>
          <w:b/>
          <w:bCs/>
          <w:color w:val="0E2841"/>
          <w:sz w:val="23"/>
          <w:szCs w:val="23"/>
        </w:rPr>
        <w:t xml:space="preserve">5.2 Security</w:t>
      </w:r>
    </w:p>
    <w:p>
      <w:pPr>
        <w:spacing w:after="120" w:before="0"/>
      </w:pPr>
      <w:r>
        <w:rPr>
          <w:rFonts w:ascii="Calibri" w:cs="Calibri" w:eastAsia="Calibri" w:hAnsi="Calibri"/>
          <w:sz w:val="20"/>
          <w:szCs w:val="20"/>
        </w:rPr>
        <w:t xml:space="preserve">The system was reviewed against a fifteen-point architecture checklist and penetration-tested; the reports are cited in the README. As built:</w:t>
      </w:r>
    </w:p>
    <w:p>
      <w:pPr>
        <w:pStyle w:val="ListParagraph"/>
        <w:numPr>
          <w:ilvl w:val="0"/>
          <w:numId w:val="2"/>
        </w:numPr>
        <w:spacing w:after="60"/>
      </w:pPr>
      <w:r>
        <w:rPr>
          <w:rFonts w:ascii="Calibri" w:cs="Calibri" w:eastAsia="Calibri" w:hAnsi="Calibri"/>
          <w:sz w:val="20"/>
          <w:szCs w:val="20"/>
        </w:rPr>
        <w:t xml:space="preserve">Authorization is re-validated from the database on every request; a token proves identity only.</w:t>
      </w:r>
    </w:p>
    <w:p>
      <w:pPr>
        <w:pStyle w:val="ListParagraph"/>
        <w:numPr>
          <w:ilvl w:val="0"/>
          <w:numId w:val="2"/>
        </w:numPr>
        <w:spacing w:after="60"/>
      </w:pPr>
      <w:r>
        <w:rPr>
          <w:rFonts w:ascii="Calibri" w:cs="Calibri" w:eastAsia="Calibri" w:hAnsi="Calibri"/>
          <w:sz w:val="20"/>
          <w:szCs w:val="20"/>
        </w:rPr>
        <w:t xml:space="preserve">Login is rate-limited with per-account lockout; passwords meet a length-first policy.</w:t>
      </w:r>
    </w:p>
    <w:p>
      <w:pPr>
        <w:pStyle w:val="ListParagraph"/>
        <w:numPr>
          <w:ilvl w:val="0"/>
          <w:numId w:val="2"/>
        </w:numPr>
        <w:spacing w:after="60"/>
      </w:pPr>
      <w:r>
        <w:rPr>
          <w:rFonts w:ascii="Calibri" w:cs="Calibri" w:eastAsia="Calibri" w:hAnsi="Calibri"/>
          <w:sz w:val="20"/>
          <w:szCs w:val="20"/>
        </w:rPr>
        <w:t xml:space="preserve">CORS is restricted to configured origins; nginx serves a Content-Security-Policy and the standard security headers, and suppresses the server version.</w:t>
      </w:r>
    </w:p>
    <w:p>
      <w:pPr>
        <w:pStyle w:val="ListParagraph"/>
        <w:numPr>
          <w:ilvl w:val="0"/>
          <w:numId w:val="2"/>
        </w:numPr>
        <w:spacing w:after="60"/>
      </w:pPr>
      <w:r>
        <w:rPr>
          <w:rFonts w:ascii="Calibri" w:cs="Calibri" w:eastAsia="Calibri" w:hAnsi="Calibri"/>
          <w:sz w:val="20"/>
          <w:szCs w:val="20"/>
        </w:rPr>
        <w:t xml:space="preserve">The API runs as an unprivileged container user and connects to the database as a least-privilege role that cannot delete from or unprotect the audit trail.</w:t>
      </w:r>
    </w:p>
    <w:p>
      <w:pPr>
        <w:pStyle w:val="ListParagraph"/>
        <w:numPr>
          <w:ilvl w:val="0"/>
          <w:numId w:val="2"/>
        </w:numPr>
        <w:spacing w:after="60"/>
      </w:pPr>
      <w:r>
        <w:rPr>
          <w:rFonts w:ascii="Calibri" w:cs="Calibri" w:eastAsia="Calibri" w:hAnsi="Calibri"/>
          <w:sz w:val="20"/>
          <w:szCs w:val="20"/>
        </w:rPr>
        <w:t xml:space="preserve">The audit trail is append-only against UPDATE, DELETE and TRUNCATE at the database level.</w:t>
      </w:r>
    </w:p>
    <w:p>
      <w:pPr>
        <w:pStyle w:val="ListParagraph"/>
        <w:numPr>
          <w:ilvl w:val="0"/>
          <w:numId w:val="2"/>
        </w:numPr>
        <w:spacing w:after="60"/>
      </w:pPr>
      <w:r>
        <w:rPr>
          <w:rFonts w:ascii="Calibri" w:cs="Calibri" w:eastAsia="Calibri" w:hAnsi="Calibri"/>
          <w:sz w:val="20"/>
          <w:szCs w:val="20"/>
        </w:rPr>
        <w:t xml:space="preserve">Transport encryption (TLS) is mandatory before production; it is an accepted gap on the closed staging network, with a ready-to-enable configuration.</w:t>
      </w:r>
    </w:p>
    <w:p>
      <w:pPr>
        <w:pStyle w:val="Heading2"/>
        <w:spacing w:after="130" w:before="240"/>
      </w:pPr>
      <w:r>
        <w:rPr>
          <w:rFonts w:ascii="Calibri" w:cs="Calibri" w:eastAsia="Calibri" w:hAnsi="Calibri"/>
          <w:b/>
          <w:bCs/>
          <w:color w:val="0E2841"/>
          <w:sz w:val="23"/>
          <w:szCs w:val="23"/>
        </w:rPr>
        <w:t xml:space="preserve">5.3 Localisation</w:t>
      </w:r>
    </w:p>
    <w:p>
      <w:pPr>
        <w:spacing w:after="120" w:before="0"/>
      </w:pPr>
      <w:r>
        <w:rPr>
          <w:rFonts w:ascii="Calibri" w:cs="Calibri" w:eastAsia="Calibri" w:hAnsi="Calibri"/>
          <w:sz w:val="20"/>
          <w:szCs w:val="20"/>
        </w:rPr>
        <w:t xml:space="preserve">All figures use Indonesian conventions (“.” thousands, “,” decimals) and Indonesian dates, on screen and in exports. Column headings use the agreed customs terminology while the stored field names remain the verbatim upload headers.</w:t>
      </w:r>
    </w:p>
    <w:p>
      <w:pPr>
        <w:pStyle w:val="Heading2"/>
        <w:spacing w:after="130" w:before="240"/>
      </w:pPr>
      <w:r>
        <w:rPr>
          <w:rFonts w:ascii="Calibri" w:cs="Calibri" w:eastAsia="Calibri" w:hAnsi="Calibri"/>
          <w:b/>
          <w:bCs/>
          <w:color w:val="0E2841"/>
          <w:sz w:val="23"/>
          <w:szCs w:val="23"/>
        </w:rPr>
        <w:t xml:space="preserve">5.4 Auditability &amp; data integrity</w:t>
      </w:r>
    </w:p>
    <w:p>
      <w:pPr>
        <w:spacing w:after="120" w:before="0"/>
      </w:pPr>
      <w:r>
        <w:rPr>
          <w:rFonts w:ascii="Calibri" w:cs="Calibri" w:eastAsia="Calibri" w:hAnsi="Calibri"/>
          <w:sz w:val="20"/>
          <w:szCs w:val="20"/>
        </w:rPr>
        <w:t xml:space="preserve">Numeric quantities retain full stored precision (they are never rounded on read). Every state change and data extraction is attributable in the audit trail. Uploaded rows that fail validation are quarantined with a reason, never silently dropped.</w:t>
      </w:r>
    </w:p>
    <w:p>
      <w:pPr>
        <w:pStyle w:val="Heading1"/>
        <w:spacing w:after="130" w:before="320"/>
      </w:pPr>
      <w:r>
        <w:rPr>
          <w:rFonts w:ascii="Calibri" w:cs="Calibri" w:eastAsia="Calibri" w:hAnsi="Calibri"/>
          <w:b/>
          <w:bCs/>
          <w:color w:val="0E2841"/>
          <w:sz w:val="28"/>
          <w:szCs w:val="28"/>
        </w:rPr>
        <w:t xml:space="preserve">6. Architecture &amp; environments</w:t>
      </w:r>
    </w:p>
    <w:p>
      <w:pPr>
        <w:spacing w:after="120" w:before="0"/>
      </w:pPr>
      <w:r>
        <w:rPr>
          <w:rFonts w:ascii="Calibri" w:cs="Calibri" w:eastAsia="Calibri" w:hAnsi="Calibri"/>
          <w:sz w:val="20"/>
          <w:szCs w:val="20"/>
        </w:rPr>
        <w:t xml:space="preserve">React single-page app, ASP.NET Core 8 REST API, PostgreSQL 16. Staging runs on three hosts — frontend, backend and an ApsaraDB RDS for PostgreSQL database — deployed as containers. The frontend proxies /api to the backend and is the only ingress; the API host is not directly reachable. Schema changes are applied by an owner account; the application runs as a least-privilege role that cannot alter the schema.</w:t>
      </w:r>
    </w:p>
    <w:p>
      <w:pPr>
        <w:pStyle w:val="Heading1"/>
        <w:spacing w:after="130" w:before="320"/>
      </w:pPr>
      <w:r>
        <w:rPr>
          <w:rFonts w:ascii="Calibri" w:cs="Calibri" w:eastAsia="Calibri" w:hAnsi="Calibri"/>
          <w:b/>
          <w:bCs/>
          <w:color w:val="0E2841"/>
          <w:sz w:val="28"/>
          <w:szCs w:val="28"/>
        </w:rPr>
        <w:t xml:space="preserve">7. Data model (overview)</w:t>
      </w:r>
    </w:p>
    <w:p>
      <w:pPr>
        <w:spacing w:after="120" w:before="0"/>
      </w:pPr>
      <w:r>
        <w:rPr>
          <w:rFonts w:ascii="Calibri" w:cs="Calibri" w:eastAsia="Calibri" w:hAnsi="Calibri"/>
          <w:sz w:val="20"/>
          <w:szCs w:val="20"/>
        </w:rPr>
        <w:t xml:space="preserve">Report lines are stored in one JSON column per line, keyed by the exact upload header, with a field catalogue that casts values on read (numbers, dates). Documents, ingestion files, quarantine rows, users, role permissions, notification subscriptions and deliveries, saved views, master data (entities/sites/permits) and the append-only audit events each have their own table, across six schemas (app, audit, auth, bc, ingest, master). Typed per-report storage tables are a documented future change.</w:t>
      </w:r>
    </w:p>
    <w:p>
      <w:pPr>
        <w:pStyle w:val="Heading1"/>
        <w:spacing w:after="130" w:before="320"/>
      </w:pPr>
      <w:r>
        <w:rPr>
          <w:rFonts w:ascii="Calibri" w:cs="Calibri" w:eastAsia="Calibri" w:hAnsi="Calibri"/>
          <w:b/>
          <w:bCs/>
          <w:color w:val="0E2841"/>
          <w:sz w:val="28"/>
          <w:szCs w:val="28"/>
        </w:rPr>
        <w:t xml:space="preserve">8. Assumptions &amp; out of scope</w:t>
      </w:r>
    </w:p>
    <w:p>
      <w:pPr>
        <w:pStyle w:val="ListParagraph"/>
        <w:numPr>
          <w:ilvl w:val="0"/>
          <w:numId w:val="2"/>
        </w:numPr>
        <w:spacing w:after="60"/>
      </w:pPr>
      <w:r>
        <w:rPr>
          <w:rFonts w:ascii="Calibri" w:cs="Calibri" w:eastAsia="Calibri" w:hAnsi="Calibri"/>
          <w:sz w:val="20"/>
          <w:szCs w:val="20"/>
        </w:rPr>
        <w:t xml:space="preserve">Extracts arrive in the defined layouts; a new layout is a change request, not a runtime configuration.</w:t>
      </w:r>
    </w:p>
    <w:p>
      <w:pPr>
        <w:pStyle w:val="ListParagraph"/>
        <w:numPr>
          <w:ilvl w:val="0"/>
          <w:numId w:val="2"/>
        </w:numPr>
        <w:spacing w:after="60"/>
      </w:pPr>
      <w:r>
        <w:rPr>
          <w:rFonts w:ascii="Calibri" w:cs="Calibri" w:eastAsia="Calibri" w:hAnsi="Calibri"/>
          <w:sz w:val="20"/>
          <w:szCs w:val="20"/>
        </w:rPr>
        <w:t xml:space="preserve">Direct Bea Cukai system integration, SSO/MFA, and typed per-report storage are out of scope for this baseline.</w:t>
      </w:r>
    </w:p>
    <w:p>
      <w:pPr>
        <w:pStyle w:val="ListParagraph"/>
        <w:numPr>
          <w:ilvl w:val="0"/>
          <w:numId w:val="2"/>
        </w:numPr>
        <w:spacing w:after="60"/>
      </w:pPr>
      <w:r>
        <w:rPr>
          <w:rFonts w:ascii="Calibri" w:cs="Calibri" w:eastAsia="Calibri" w:hAnsi="Calibri"/>
          <w:sz w:val="20"/>
          <w:szCs w:val="20"/>
        </w:rPr>
        <w:t xml:space="preserve">One organisation with multiple entities/sites; multi-tenant isolation is by entity scope.</w:t>
      </w:r>
    </w:p>
    <w:p>
      <w:pPr>
        <w:pStyle w:val="Heading1"/>
        <w:spacing w:after="130" w:before="320"/>
      </w:pPr>
      <w:r>
        <w:rPr>
          <w:rFonts w:ascii="Calibri" w:cs="Calibri" w:eastAsia="Calibri" w:hAnsi="Calibri"/>
          <w:b/>
          <w:bCs/>
          <w:color w:val="0E2841"/>
          <w:sz w:val="28"/>
          <w:szCs w:val="28"/>
        </w:rPr>
        <w:t xml:space="preserve">Appendix A — field mappings</w:t>
      </w:r>
    </w:p>
    <w:p>
      <w:pPr>
        <w:spacing w:after="120" w:before="0"/>
      </w:pPr>
      <w:r>
        <w:rPr>
          <w:rFonts w:ascii="Calibri" w:cs="Calibri" w:eastAsia="Calibri" w:hAnsi="Calibri"/>
          <w:sz w:val="20"/>
          <w:szCs w:val="20"/>
        </w:rPr>
        <w:t xml:space="preserve">Field-level column mappings for BC 2.3 (Appendix D) and BC 4.0 (Appendix E) are carried unchanged from PRD v1.2, with the Tanggal Transaksi column added to the five Inventory Movement templates. Field names in the system are the verbatim upload headers; the display label layer maps them to the customs terminology shown in the grid.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PRD v1.3</dc:title>
  <dc:creator>BC Inventory Reporting System</dc:creator>
  <cp:lastModifiedBy>Un-named</cp:lastModifiedBy>
  <cp:revision>1</cp:revision>
  <dcterms:created xsi:type="dcterms:W3CDTF">2026-09-03T07:32:21.647Z</dcterms:created>
  <dcterms:modified xsi:type="dcterms:W3CDTF">2026-09-03T07:32:21.655Z</dcterms:modified>
</cp:coreProperties>
</file>

<file path=docProps/custom.xml><?xml version="1.0" encoding="utf-8"?>
<Properties xmlns="http://schemas.openxmlformats.org/officeDocument/2006/custom-properties" xmlns:vt="http://schemas.openxmlformats.org/officeDocument/2006/docPropsVTypes"/>
</file>