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4"/>
          <w:szCs w:val="44"/>
        </w:rPr>
        <w:t xml:space="preserve">BC Inventory Reporting System</w:t>
      </w:r>
    </w:p>
    <w:p>
      <w:pPr>
        <w:spacing w:after="240"/>
      </w:pPr>
      <w:r>
        <w:rPr>
          <w:rFonts w:ascii="Calibri" w:cs="Calibri" w:eastAsia="Calibri" w:hAnsi="Calibri"/>
          <w:color w:val="B73532"/>
          <w:sz w:val="28"/>
          <w:szCs w:val="28"/>
        </w:rPr>
        <w:t xml:space="preserve">Security Architecture Review and Penetration Test Plan</w:t>
      </w:r>
    </w:p>
    <w:p>
      <w:pPr>
        <w:spacing w:after="240" w:before="0"/>
      </w:pPr>
      <w:r>
        <w:rPr>
          <w:rFonts w:ascii="Calibri" w:cs="Calibri" w:eastAsia="Calibri" w:hAnsi="Calibri"/>
          <w:i/>
          <w:iCs/>
          <w:color w:val="6B7683"/>
          <w:sz w:val="21"/>
          <w:szCs w:val="21"/>
        </w:rPr>
        <w:t xml:space="preserve">An as-built review of the security architecture, and the scenarios to be executed against it. Scenarios only — nothing in this document has been executed.</w:t>
      </w:r>
    </w:p>
    <w:tbl>
      <w:tblPr>
        <w:tblW w:type="dxa" w:w="10200"/>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7200"/>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7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Document</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Security Architecture Review and Penetration Test Plan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Version</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1.0 — for authorisation and scheduling</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Not executed</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System</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Inventory Reporting System (customs reporting to Bea Cukai)</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Build reviewed</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commit 8520ab7 (main)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Architecture</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React SPA · .NET 8 REST API · ApsaraDB RDS for PostgreSQL, three hosts</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Review basis</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Source code inspection and deployment configuration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Prepared for</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PT SPC — KPN Corp</w:t>
            </w:r>
          </w:p>
        </w:tc>
      </w:tr>
    </w:tbl>
    <w:p>
      <w:r>
        <w:br w:type="page"/>
      </w:r>
    </w:p>
    <w:p>
      <w:pPr>
        <w:pStyle w:val="Heading1"/>
        <w:spacing w:after="130" w:before="280"/>
      </w:pPr>
      <w:r>
        <w:rPr>
          <w:rFonts w:ascii="Calibri" w:cs="Calibri" w:eastAsia="Calibri" w:hAnsi="Calibri"/>
          <w:b/>
          <w:bCs/>
          <w:color w:val="0E2841"/>
          <w:sz w:val="30"/>
          <w:szCs w:val="30"/>
        </w:rPr>
        <w:t xml:space="preserve">1. Purpose and structure</w:t>
      </w:r>
    </w:p>
    <w:p>
      <w:pPr>
        <w:spacing w:after="100" w:before="0"/>
      </w:pPr>
      <w:r>
        <w:rPr>
          <w:rFonts w:ascii="Calibri" w:cs="Calibri" w:eastAsia="Calibri" w:hAnsi="Calibri"/>
          <w:sz w:val="19"/>
          <w:szCs w:val="19"/>
        </w:rPr>
        <w:t xml:space="preserve">This document has two halves that serve different purposes and can be acted on independently.</w:t>
      </w:r>
    </w:p>
    <w:p>
      <w:pPr>
        <w:spacing w:after="100" w:before="60"/>
      </w:pPr>
      <w:r>
        <w:rPr>
          <w:rFonts w:ascii="Calibri" w:cs="Calibri" w:eastAsia="Calibri" w:hAnsi="Calibri"/>
          <w:sz w:val="19"/>
          <w:szCs w:val="19"/>
        </w:rPr>
        <w:t xml:space="preserve">Part I is an architecture review. It was produced by reading the source and the deployment configuration, and it records fifteen observations about the security design as built — what protects the system today, and where the design leaves a gap. It needs no permission to act on and can be worked through immediately.</w:t>
      </w:r>
    </w:p>
    <w:p>
      <w:pPr>
        <w:spacing w:after="100" w:before="60"/>
      </w:pPr>
      <w:r>
        <w:rPr>
          <w:rFonts w:ascii="Calibri" w:cs="Calibri" w:eastAsia="Calibri" w:hAnsi="Calibri"/>
          <w:sz w:val="19"/>
          <w:szCs w:val="19"/>
        </w:rPr>
        <w:t xml:space="preserve">Part II is a penetration test plan: sixty-nine scenarios to be executed against a running environment by a tester, with what each is trying to prove and what a secure system should do. It requires written authorisation before any of it is run.</w:t>
      </w:r>
    </w:p>
    <w:p>
      <w:pPr>
        <w:spacing w:after="100" w:before="60"/>
      </w:pPr>
      <w:r>
        <w:rPr>
          <w:rFonts w:ascii="Calibri" w:cs="Calibri" w:eastAsia="Calibri" w:hAnsi="Calibri"/>
          <w:sz w:val="19"/>
          <w:szCs w:val="19"/>
        </w:rPr>
        <w:t xml:space="preserve">The two are deliberately linked. Several scenarios exist specifically to size a gap the review already identified — PT-01-04 exists because of AR-01, PT-07-01 because of AR-02. Where that is the case the scenario says so, and the expected outcome states plainly that the current design is expected to fail the test.</w:t>
      </w:r>
    </w:p>
    <w:p>
      <w:pPr>
        <w:pStyle w:val="Heading1"/>
        <w:spacing w:after="130" w:before="280"/>
      </w:pPr>
      <w:r>
        <w:rPr>
          <w:rFonts w:ascii="Calibri" w:cs="Calibri" w:eastAsia="Calibri" w:hAnsi="Calibri"/>
          <w:b/>
          <w:bCs/>
          <w:color w:val="0E2841"/>
          <w:sz w:val="30"/>
          <w:szCs w:val="30"/>
        </w:rPr>
        <w:t xml:space="preserve">2. Authorisation and rules of engagement</w:t>
      </w:r>
    </w:p>
    <w:p>
      <w:pPr>
        <w:spacing w:after="100" w:before="0"/>
      </w:pPr>
      <w:r>
        <w:rPr>
          <w:rFonts w:ascii="Calibri" w:cs="Calibri" w:eastAsia="Calibri" w:hAnsi="Calibri"/>
          <w:b/>
          <w:bCs/>
          <w:sz w:val="19"/>
          <w:szCs w:val="19"/>
        </w:rPr>
        <w:t xml:space="preserve">No scenario in Part II may be executed until this section is completed and signed.</w:t>
      </w:r>
    </w:p>
    <w:p>
      <w:pPr>
        <w:spacing w:after="60" w:before="0"/>
      </w:pPr>
      <w:r>
        <w:rPr>
          <w:rFonts w:ascii="Calibri" w:cs="Calibri" w:eastAsia="Calibri" w:hAnsi="Calibri"/>
          <w:sz w:val="19"/>
          <w:szCs w:val="19"/>
        </w:rPr>
        <w:t xml:space="preserve"/>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3200"/>
        <w:gridCol w:w="8000"/>
      </w:tblGrid>
      <w:tr>
        <w:trPr>
          <w:tblHeader/>
        </w:trPr>
        <w:tc>
          <w:tcPr>
            <w:tcW w:type="dxa" w:w="3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Item</w:t>
            </w:r>
          </w:p>
        </w:tc>
        <w:tc>
          <w:tcPr>
            <w:tcW w:type="dxa" w:w="8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To be agreed before testing</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Authorised by</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Name, role and date. Testing without this is unauthorised access.</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Environment</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Staging only, unless production testing is separately authorised in writing.</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Window</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Agreed dates and hours, and who is on call during them.</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 accounts</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Purpose-made accounts at each role. Never test with a real user's credentials.</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Source addresses</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The IPs testing will originate from, so activity can be told apart from a real attack.</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Escalation</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Who is contacted immediately, and how, if a critical finding or an unintended outage occurs.</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Data handling</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Where evidence is stored, who may see it, and when it is destroyed.</w:t>
            </w:r>
          </w:p>
        </w:tc>
      </w:tr>
    </w:tbl>
    <w:p>
      <w:pPr>
        <w:spacing w:after="60" w:before="120"/>
      </w:pPr>
      <w:r>
        <w:rPr>
          <w:rFonts w:ascii="Calibri" w:cs="Calibri" w:eastAsia="Calibri" w:hAnsi="Calibri"/>
          <w:sz w:val="19"/>
          <w:szCs w:val="19"/>
        </w:rPr>
        <w:t xml:space="preserve">Prohibited throughout, regardless of what a scenario might otherwise suggest:</w:t>
      </w:r>
    </w:p>
    <w:p>
      <w:pPr>
        <w:pStyle w:val="ListParagraph"/>
        <w:numPr>
          <w:ilvl w:val="0"/>
          <w:numId w:val="2"/>
        </w:numPr>
        <w:spacing w:after="60"/>
      </w:pPr>
      <w:r>
        <w:rPr>
          <w:rFonts w:ascii="Calibri" w:cs="Calibri" w:eastAsia="Calibri" w:hAnsi="Calibri"/>
          <w:sz w:val="19"/>
          <w:szCs w:val="19"/>
        </w:rPr>
        <w:t xml:space="preserve">Any test against production, or against a system not named in the authorisation.</w:t>
      </w:r>
    </w:p>
    <w:p>
      <w:pPr>
        <w:pStyle w:val="ListParagraph"/>
        <w:numPr>
          <w:ilvl w:val="0"/>
          <w:numId w:val="2"/>
        </w:numPr>
        <w:spacing w:after="60"/>
      </w:pPr>
      <w:r>
        <w:rPr>
          <w:rFonts w:ascii="Calibri" w:cs="Calibri" w:eastAsia="Calibri" w:hAnsi="Calibri"/>
          <w:sz w:val="19"/>
          <w:szCs w:val="19"/>
        </w:rPr>
        <w:t xml:space="preserve">Destroying or altering real customs data. Where a scenario requires a destructive action, it is performed against purpose-made test records and the intent is proven rather than the damage done.</w:t>
      </w:r>
    </w:p>
    <w:p>
      <w:pPr>
        <w:pStyle w:val="ListParagraph"/>
        <w:numPr>
          <w:ilvl w:val="0"/>
          <w:numId w:val="2"/>
        </w:numPr>
        <w:spacing w:after="60"/>
      </w:pPr>
      <w:r>
        <w:rPr>
          <w:rFonts w:ascii="Calibri" w:cs="Calibri" w:eastAsia="Calibri" w:hAnsi="Calibri"/>
          <w:sz w:val="19"/>
          <w:szCs w:val="19"/>
        </w:rPr>
        <w:t xml:space="preserve">Denial-of-service beyond the bounded resource tests in PT-06-07 and PT-05-01, and only inside the agreed window.</w:t>
      </w:r>
    </w:p>
    <w:p>
      <w:pPr>
        <w:pStyle w:val="ListParagraph"/>
        <w:numPr>
          <w:ilvl w:val="0"/>
          <w:numId w:val="2"/>
        </w:numPr>
        <w:spacing w:after="60"/>
      </w:pPr>
      <w:r>
        <w:rPr>
          <w:rFonts w:ascii="Calibri" w:cs="Calibri" w:eastAsia="Calibri" w:hAnsi="Calibri"/>
          <w:sz w:val="19"/>
          <w:szCs w:val="19"/>
        </w:rPr>
        <w:t xml:space="preserve">Attacks on third parties: the mail relay beyond the application's own use of it, the cloud provider's infrastructure, or any external service.</w:t>
      </w:r>
    </w:p>
    <w:p>
      <w:pPr>
        <w:pStyle w:val="ListParagraph"/>
        <w:numPr>
          <w:ilvl w:val="0"/>
          <w:numId w:val="2"/>
        </w:numPr>
        <w:spacing w:after="60"/>
      </w:pPr>
      <w:r>
        <w:rPr>
          <w:rFonts w:ascii="Calibri" w:cs="Calibri" w:eastAsia="Calibri" w:hAnsi="Calibri"/>
          <w:sz w:val="19"/>
          <w:szCs w:val="19"/>
        </w:rPr>
        <w:t xml:space="preserve">Exfiltrating real customs data, personal data or credentials. Where disclosure must be demonstrated, capture the minimum needed to prove it and redact the rest.</w:t>
      </w:r>
    </w:p>
    <w:p>
      <w:pPr>
        <w:pStyle w:val="ListParagraph"/>
        <w:numPr>
          <w:ilvl w:val="0"/>
          <w:numId w:val="2"/>
        </w:numPr>
        <w:spacing w:after="60"/>
      </w:pPr>
      <w:r>
        <w:rPr>
          <w:rFonts w:ascii="Calibri" w:cs="Calibri" w:eastAsia="Calibri" w:hAnsi="Calibri"/>
          <w:sz w:val="19"/>
          <w:szCs w:val="19"/>
        </w:rPr>
        <w:t xml:space="preserve">Leaving persistent access: any account, key or backdoor created during testing is recorded and removed before the engagement closes.</w:t>
      </w:r>
    </w:p>
    <w:p>
      <w:r>
        <w:br w:type="page"/>
      </w:r>
    </w:p>
    <w:p>
      <w:pPr>
        <w:pStyle w:val="Heading1"/>
        <w:spacing w:after="130" w:before="280"/>
      </w:pPr>
      <w:r>
        <w:rPr>
          <w:rFonts w:ascii="Calibri" w:cs="Calibri" w:eastAsia="Calibri" w:hAnsi="Calibri"/>
          <w:b/>
          <w:bCs/>
          <w:color w:val="0E2841"/>
          <w:sz w:val="30"/>
          <w:szCs w:val="30"/>
        </w:rPr>
        <w:t xml:space="preserve">3. System as built</w:t>
      </w:r>
    </w:p>
    <w:p>
      <w:pPr>
        <w:spacing w:after="100" w:before="0"/>
      </w:pPr>
      <w:r>
        <w:rPr>
          <w:rFonts w:ascii="Calibri" w:cs="Calibri" w:eastAsia="Calibri" w:hAnsi="Calibri"/>
          <w:sz w:val="19"/>
          <w:szCs w:val="19"/>
        </w:rPr>
        <w:t xml:space="preserve">Three tiers on three hosts, deployed as containers from a git checkout.</w:t>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2200"/>
        <w:gridCol w:w="2600"/>
        <w:gridCol w:w="6400"/>
      </w:tblGrid>
      <w:tr>
        <w:trPr>
          <w:tblHeader/>
        </w:trPr>
        <w:tc>
          <w:tcPr>
            <w:tcW w:type="dxa" w:w="2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Tier</w:t>
            </w:r>
          </w:p>
        </w:tc>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runs</w:t>
            </w:r>
          </w:p>
        </w:tc>
        <w:tc>
          <w:tcPr>
            <w:tcW w:type="dxa" w:w="6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 relevant to security</w:t>
            </w:r>
          </w:p>
        </w:tc>
      </w:tr>
      <w:tr>
        <w:tc>
          <w:tcPr>
            <w:tcW w:type="dxa" w:w="2200"/>
            <w:tcMar>
              <w:top w:type="dxa" w:w="60"/>
              <w:left w:type="dxa" w:w="90"/>
              <w:bottom w:type="dxa" w:w="60"/>
              <w:right w:type="dxa" w:w="90"/>
            </w:tcMar>
          </w:tcPr>
          <w:p>
            <w:pPr>
              <w:spacing w:after="0"/>
            </w:pPr>
            <w:r>
              <w:rPr>
                <w:rFonts w:ascii="Calibri" w:cs="Calibri" w:eastAsia="Calibri" w:hAnsi="Calibri"/>
                <w:b/>
                <w:bCs/>
                <w:sz w:val="17"/>
                <w:szCs w:val="17"/>
              </w:rPr>
              <w:t xml:space="preserve">Front end</w:t>
            </w:r>
          </w:p>
        </w:tc>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React SPA served by nginx, behind the host's nginx as a virtual host</w:t>
            </w:r>
          </w:p>
        </w:tc>
        <w:tc>
          <w:tcPr>
            <w:tcW w:type="dxa" w:w="6400"/>
            <w:tcMar>
              <w:top w:type="dxa" w:w="60"/>
              <w:left w:type="dxa" w:w="90"/>
              <w:bottom w:type="dxa" w:w="60"/>
              <w:right w:type="dxa" w:w="90"/>
            </w:tcMar>
          </w:tcPr>
          <w:p>
            <w:pPr>
              <w:spacing w:after="0"/>
            </w:pPr>
            <w:r>
              <w:rPr>
                <w:rFonts w:ascii="Calibri" w:cs="Calibri" w:eastAsia="Calibri" w:hAnsi="Calibri"/>
                <w:sz w:val="17"/>
                <w:szCs w:val="17"/>
              </w:rPr>
              <w:t xml:space="preserve">Serves static assets and proxies /api to the API host. The session token is held in sessionStorage. No security response headers are set.</w:t>
            </w:r>
          </w:p>
        </w:tc>
      </w:tr>
      <w:tr>
        <w:tc>
          <w:tcPr>
            <w:tcW w:type="dxa" w:w="2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API</w:t>
            </w:r>
          </w:p>
        </w:tc>
        <w:tc>
          <w:tcPr>
            <w:tcW w:type="dxa" w:w="2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.NET 8 minimal API, Dapper over Npgsql</w:t>
            </w:r>
          </w:p>
        </w:tc>
        <w:tc>
          <w:tcPr>
            <w:tcW w:type="dxa" w:w="6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Stateless. JWT bearer authentication, HS256, 8-hour expiry. Authorization is a role × page × action matrix read from the database with a short cache; the role itself comes from the token.</w:t>
            </w:r>
          </w:p>
        </w:tc>
      </w:tr>
      <w:tr>
        <w:tc>
          <w:tcPr>
            <w:tcW w:type="dxa" w:w="2200"/>
            <w:tcMar>
              <w:top w:type="dxa" w:w="60"/>
              <w:left w:type="dxa" w:w="90"/>
              <w:bottom w:type="dxa" w:w="60"/>
              <w:right w:type="dxa" w:w="90"/>
            </w:tcMar>
          </w:tcPr>
          <w:p>
            <w:pPr>
              <w:spacing w:after="0"/>
            </w:pPr>
            <w:r>
              <w:rPr>
                <w:rFonts w:ascii="Calibri" w:cs="Calibri" w:eastAsia="Calibri" w:hAnsi="Calibri"/>
                <w:b/>
                <w:bCs/>
                <w:sz w:val="17"/>
                <w:szCs w:val="17"/>
              </w:rPr>
              <w:t xml:space="preserve">Database</w:t>
            </w:r>
          </w:p>
        </w:tc>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ApsaraDB RDS for PostgreSQL</w:t>
            </w:r>
          </w:p>
        </w:tc>
        <w:tc>
          <w:tcPr>
            <w:tcW w:type="dxa" w:w="6400"/>
            <w:tcMar>
              <w:top w:type="dxa" w:w="60"/>
              <w:left w:type="dxa" w:w="90"/>
              <w:bottom w:type="dxa" w:w="60"/>
              <w:right w:type="dxa" w:w="90"/>
            </w:tcMar>
          </w:tcPr>
          <w:p>
            <w:pPr>
              <w:spacing w:after="0"/>
            </w:pPr>
            <w:r>
              <w:rPr>
                <w:rFonts w:ascii="Calibri" w:cs="Calibri" w:eastAsia="Calibri" w:hAnsi="Calibri"/>
                <w:sz w:val="17"/>
                <w:szCs w:val="17"/>
              </w:rPr>
              <w:t xml:space="preserve">Six application schemas. Report data is stored as jsonb keyed by the verbatim upload headers. The audit table is append-only by trigger.</w:t>
            </w:r>
          </w:p>
        </w:tc>
      </w:tr>
      <w:tr>
        <w:tc>
          <w:tcPr>
            <w:tcW w:type="dxa" w:w="2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Mail</w:t>
            </w:r>
          </w:p>
        </w:tc>
        <w:tc>
          <w:tcPr>
            <w:tcW w:type="dxa" w:w="2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Corporate SMTP relay</w:t>
            </w:r>
          </w:p>
        </w:tc>
        <w:tc>
          <w:tcPr>
            <w:tcW w:type="dxa" w:w="6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Unauthenticated, port 25, TLS disabled. Recipients are derived from account records only.</w:t>
            </w:r>
          </w:p>
        </w:tc>
      </w:tr>
    </w:tbl>
    <w:p>
      <w:pPr>
        <w:spacing w:after="60" w:before="120"/>
      </w:pPr>
      <w:r>
        <w:rPr>
          <w:rFonts w:ascii="Calibri" w:cs="Calibri" w:eastAsia="Calibri" w:hAnsi="Calibri"/>
          <w:sz w:val="19"/>
          <w:szCs w:val="19"/>
        </w:rPr>
        <w:t xml:space="preserve">Trust boundaries, in the order an attacker would meet them:</w:t>
      </w:r>
    </w:p>
    <w:p>
      <w:pPr>
        <w:pStyle w:val="ListParagraph"/>
        <w:numPr>
          <w:ilvl w:val="0"/>
          <w:numId w:val="2"/>
        </w:numPr>
        <w:spacing w:after="60"/>
      </w:pPr>
      <w:r>
        <w:rPr>
          <w:rFonts w:ascii="Calibri" w:cs="Calibri" w:eastAsia="Calibri" w:hAnsi="Calibri"/>
          <w:sz w:val="19"/>
          <w:szCs w:val="19"/>
        </w:rPr>
        <w:t xml:space="preserve">Browser to front end — everything the client sends is attacker-controlled, including headers and the token.</w:t>
      </w:r>
    </w:p>
    <w:p>
      <w:pPr>
        <w:pStyle w:val="ListParagraph"/>
        <w:numPr>
          <w:ilvl w:val="0"/>
          <w:numId w:val="2"/>
        </w:numPr>
        <w:spacing w:after="60"/>
      </w:pPr>
      <w:r>
        <w:rPr>
          <w:rFonts w:ascii="Calibri" w:cs="Calibri" w:eastAsia="Calibri" w:hAnsi="Calibri"/>
          <w:sz w:val="19"/>
          <w:szCs w:val="19"/>
        </w:rPr>
        <w:t xml:space="preserve">Front end to API — the proxy is not an authorization boundary; the API must assume it can be called directly.</w:t>
      </w:r>
    </w:p>
    <w:p>
      <w:pPr>
        <w:pStyle w:val="ListParagraph"/>
        <w:numPr>
          <w:ilvl w:val="0"/>
          <w:numId w:val="2"/>
        </w:numPr>
        <w:spacing w:after="60"/>
      </w:pPr>
      <w:r>
        <w:rPr>
          <w:rFonts w:ascii="Calibri" w:cs="Calibri" w:eastAsia="Calibri" w:hAnsi="Calibri"/>
          <w:sz w:val="19"/>
          <w:szCs w:val="19"/>
        </w:rPr>
        <w:t xml:space="preserve">API to database — the API holds credentials for a privileged account, so anything that executes in the API reaches the whole database.</w:t>
      </w:r>
    </w:p>
    <w:p>
      <w:pPr>
        <w:pStyle w:val="ListParagraph"/>
        <w:numPr>
          <w:ilvl w:val="0"/>
          <w:numId w:val="2"/>
        </w:numPr>
        <w:spacing w:after="60"/>
      </w:pPr>
      <w:r>
        <w:rPr>
          <w:rFonts w:ascii="Calibri" w:cs="Calibri" w:eastAsia="Calibri" w:hAnsi="Calibri"/>
          <w:sz w:val="19"/>
          <w:szCs w:val="19"/>
        </w:rPr>
        <w:t xml:space="preserve">Upload to parser — an authenticated user supplies an arbitrary file that a spreadsheet library parses. This is the largest attacker-controlled surface in the system.</w:t>
      </w:r>
    </w:p>
    <w:p>
      <w:pPr>
        <w:pStyle w:val="ListParagraph"/>
        <w:numPr>
          <w:ilvl w:val="0"/>
          <w:numId w:val="2"/>
        </w:numPr>
        <w:spacing w:after="60"/>
      </w:pPr>
      <w:r>
        <w:rPr>
          <w:rFonts w:ascii="Calibri" w:cs="Calibri" w:eastAsia="Calibri" w:hAnsi="Calibri"/>
          <w:sz w:val="19"/>
          <w:szCs w:val="19"/>
        </w:rPr>
        <w:t xml:space="preserve">Host to host — the three servers reach each other on a private network; the database also accepts connections from a whitelist.</w:t>
      </w:r>
    </w:p>
    <w:p>
      <w:pPr>
        <w:spacing w:after="100" w:before="120"/>
      </w:pPr>
      <w:r>
        <w:rPr>
          <w:rFonts w:ascii="Calibri" w:cs="Calibri" w:eastAsia="Calibri" w:hAnsi="Calibri"/>
          <w:sz w:val="19"/>
          <w:szCs w:val="19"/>
        </w:rPr>
        <w:t xml:space="preserve">What an attacker would be after, in order of value: the customs dataset itself — supplier names, tax identifiers, permit numbers, values and volumes; the ability to alter reported figures before they reach Bea Cukai; and the ability to remove the audit trail that would show either had happened.</w:t>
      </w:r>
    </w:p>
    <w:p>
      <w:r>
        <w:br w:type="page"/>
      </w:r>
    </w:p>
    <w:p>
      <w:pPr>
        <w:pStyle w:val="Heading1"/>
        <w:spacing w:after="130" w:before="280"/>
      </w:pPr>
      <w:r>
        <w:rPr>
          <w:rFonts w:ascii="Calibri" w:cs="Calibri" w:eastAsia="Calibri" w:hAnsi="Calibri"/>
          <w:b/>
          <w:bCs/>
          <w:color w:val="0E2841"/>
          <w:sz w:val="30"/>
          <w:szCs w:val="30"/>
        </w:rPr>
        <w:t xml:space="preserve">4. Part I — Architecture review observations</w:t>
      </w:r>
    </w:p>
    <w:p>
      <w:pPr>
        <w:spacing w:after="100" w:before="0"/>
      </w:pPr>
      <w:r>
        <w:rPr>
          <w:rFonts w:ascii="Calibri" w:cs="Calibri" w:eastAsia="Calibri" w:hAnsi="Calibri"/>
          <w:sz w:val="19"/>
          <w:szCs w:val="19"/>
        </w:rPr>
        <w:t xml:space="preserve">Fifteen observations from source and configuration review. Severity is the risk to this system in its intended deployment, not a generic rating.</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800"/>
        <w:gridCol w:w="1000"/>
        <w:gridCol w:w="2700"/>
        <w:gridCol w:w="3400"/>
        <w:gridCol w:w="3200"/>
        <w:gridCol w:w="3738"/>
      </w:tblGrid>
      <w:tr>
        <w:trPr>
          <w:tblHeader/>
        </w:trPr>
        <w:tc>
          <w:tcPr>
            <w:tcW w:type="dxa" w:w="8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1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w:t>
            </w:r>
          </w:p>
        </w:tc>
        <w:tc>
          <w:tcPr>
            <w:tcW w:type="dxa" w:w="27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Observation</w:t>
            </w:r>
          </w:p>
        </w:tc>
        <w:tc>
          <w:tcPr>
            <w:tcW w:type="dxa" w:w="3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was found</w:t>
            </w:r>
          </w:p>
        </w:tc>
        <w:tc>
          <w:tcPr>
            <w:tcW w:type="dxa" w:w="3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Consequence</w:t>
            </w:r>
          </w:p>
        </w:tc>
        <w:tc>
          <w:tcPr>
            <w:tcW w:type="dxa" w:w="37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Recommendation</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AR-01</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Authorization state lives only in the token</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Auth.Scope() builds the user's role, all-entities flag and entity scope purely from JWT claims, and no request path re-checks the account against the database. Tokens last 8 hours and there is no revocation list or server-side session.</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Disabling an account, demoting a role, narrowing an entity scope or resetting a password does not end an existing session. A dismissed user, or one whose rights were just reduced, keeps their previous access for up to 8 hours.</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Re-read role, status and scope per request (cached briefly), or keep a token version/"not-before" per user that an admin action bumps. At minimum, deny requests whose subject is no longer active.</w:t>
            </w:r>
          </w:p>
        </w:tc>
      </w:tr>
      <w:tr>
        <w:tc>
          <w:tcPr>
            <w:tcW w:type="dxa" w:w="8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transport encryption on the deployed environment</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Staging is served over plain HTTP by decision. Credentials and bearer tokens cross the network in cleartext.</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Anyone on the network path can read a password at login and capture a token valid for the next 8 hours, then replay it. This also removes any protection against tampering with responses.</w:t>
            </w:r>
          </w:p>
        </w:tc>
        <w:tc>
          <w:tcPr>
            <w:tcW w:type="dxa" w:w="37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Acceptable for a closed staging network with the risk accepted in writing. TLS must be mandatory before production, with HSTS and a redirect from HTTP.</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AR-03</w:t>
            </w:r>
          </w:p>
        </w:tc>
        <w:tc>
          <w:tcPr>
            <w:tcW w:type="dxa" w:w="10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No rate limiting or lockout on authentication</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POST /auth/login has no throttle, no lockout, no CAPTCHA and no exponential backoff. Password hashing is BCrypt work factor 11, which slows offline cracking but not online guessing.</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An attacker can guess passwords at network speed against known accounts. The login page also names two valid accounts, which removes the guessing of usernames.</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Per-IP and per-account throttling, temporary lockout with audit, and removal of the credential hint from the login page outside local development.</w:t>
            </w:r>
          </w:p>
        </w:tc>
      </w:tr>
      <w:tr>
        <w:tc>
          <w:tcPr>
            <w:tcW w:type="dxa" w:w="8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Cross-origin policy allows any origin</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default CORS policy is AllowAnyOrigin + AllowAnyHeader + AllowAnyMethod.</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 website can call the API directly. Credentials are not sent automatically because the token travels in an Authorization header rather than a cookie, which limits this, but it removes a useful boundary and eases enumeration.</w:t>
            </w:r>
          </w:p>
        </w:tc>
        <w:tc>
          <w:tcPr>
            <w:tcW w:type="dxa" w:w="37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Restrict the policy to the known front-end origins per environment.</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AR-05</w:t>
            </w:r>
          </w:p>
        </w:tc>
        <w:tc>
          <w:tcPr>
            <w:tcW w:type="dxa" w:w="10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No security response headers</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The nginx configurations set only Cache-Control. There is no Content-Security-Policy, X-Frame-Options, X-Content-Type-Options, Referrer-Policy or HSTS.</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The session token is held in sessionStorage, so any successful script injection would read it directly. No CSP means there is no second line of defence, and no frame protection means the UI can be framed for clickjacking.</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Add a restrictive CSP, X-Frame-Options DENY, X-Content-Type-Options nosniff, Referrer-Policy, and HSTS once TLS is in place.</w:t>
            </w:r>
          </w:p>
        </w:tc>
      </w:tr>
      <w:tr>
        <w:tc>
          <w:tcPr>
            <w:tcW w:type="dxa" w:w="8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AR-06</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application connects to the database as a privileged account</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After the ApsaraDB migration the API connects as the instance privileged account rather than a purpose-made role.</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injection or application compromise inherits full database rights, including the ability to disable the audit trigger or drop schemas. It also means the application can defeat its own append-only guarantee.</w:t>
            </w:r>
          </w:p>
        </w:tc>
        <w:tc>
          <w:tcPr>
            <w:tcW w:type="dxa" w:w="37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Create a dedicated role with rights only on the six application schemas, no superuser, and no ownership of the audit trigger.</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AR-07</w:t>
            </w:r>
          </w:p>
        </w:tc>
        <w:tc>
          <w:tcPr>
            <w:tcW w:type="dxa" w:w="10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Containers run as root</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Neither Dockerfile sets a USER, so the API and the nginx front end both run as root inside their containers.</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A remote code execution becomes root in the container, widening what a single flaw can reach.</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Add a non-root USER to both images and make the filesystem read-only where possible.</w:t>
            </w:r>
          </w:p>
        </w:tc>
      </w:tr>
      <w:tr>
        <w:tc>
          <w:tcPr>
            <w:tcW w:type="dxa" w:w="8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AR-08</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append-only audit guarantee does not cover TRUNCATE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audit.trg_audit_no_mutation is a row-level BEFORE UPDATE OR DELETE trigger. TRUNCATE fires neither, and the connecting account can also DISABLE TRIGGER.</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audit trail — the control the system relies on for customs accountability — can be emptied in one statement without tripping the guard.</w:t>
            </w:r>
          </w:p>
        </w:tc>
        <w:tc>
          <w:tcPr>
            <w:tcW w:type="dxa" w:w="37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Add a statement-level BEFORE TRUNCATE trigger, and combine with AR-06 so the application account cannot alter triggers.</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AR-09</w:t>
            </w:r>
          </w:p>
        </w:tc>
        <w:tc>
          <w:tcPr>
            <w:tcW w:type="dxa" w:w="1000"/>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Field names are concatenated into SQL behind a whitelist</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jsonb field access is built as string SQL. Every column and sort field is checked against the report catalogue first, and the only escaping applied is quote doubling.</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The whitelist is the real control and it holds today. The pattern is fragile: a future code path that forgets the check would have only quote-doubling between it and injection.</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Keep the whitelist as the gate and treat escaping as defence in depth; add a test that fails if a query path skips the catalogue check.</w:t>
            </w:r>
          </w:p>
        </w:tc>
      </w:tr>
      <w:tr>
        <w:tc>
          <w:tcPr>
            <w:tcW w:type="dxa" w:w="8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AR-10</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Long-lived tokens with no refresh or idle timeout</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Tokens are valid for 8 hours from issue, with no refresh mechanism, no idle expiry and no server-side sign-out.</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captured token is useful for a long window, and signing out only clears browser storage.</w:t>
            </w:r>
          </w:p>
        </w:tc>
        <w:tc>
          <w:tcPr>
            <w:tcW w:type="dxa" w:w="37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Shorten the access token and add refresh, or add server-side revocation. Pairs with AR-01.</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AR-11</w:t>
            </w:r>
          </w:p>
        </w:tc>
        <w:tc>
          <w:tcPr>
            <w:tcW w:type="dxa" w:w="1000"/>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Minimal password policy</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The only rule is a minimum of 8 characters. There is no complexity requirement, no breach-list check, no history and no expiry. Seed passwords are validated only against a placeholder list.</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Weak but valid passwords are accepted, which matters more given AR-03.</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Adopt a length-first policy with a breached-password check, and require a change on first sign-in for seeded accounts.</w:t>
            </w:r>
          </w:p>
        </w:tc>
      </w:tr>
      <w:tr>
        <w:tc>
          <w:tcPr>
            <w:tcW w:type="dxa" w:w="8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AR-12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Mail is sent unauthenticated and unencrypted</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mail client sends on port 25 with TLS explicitly disabled and no credentials.</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Alert content — which names files, users and administrative actions — crosses the network in cleartext, and the relay must accept unauthenticated mail from the API host.</w:t>
            </w:r>
          </w:p>
        </w:tc>
        <w:tc>
          <w:tcPr>
            <w:tcW w:type="dxa" w:w="37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 STARTTLS with authentication where the relay supports it.</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AR-13</w:t>
            </w:r>
          </w:p>
        </w:tc>
        <w:tc>
          <w:tcPr>
            <w:tcW w:type="dxa" w:w="1000"/>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Secrets are stored as plaintext files on the hosts</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The database password, JWT signing key and seed passwords live in .env beside the compose file. The generated rollback script embeds the previous database password as a literal.</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Anyone with host access or a backup of it obtains the database and the ability to mint valid tokens.</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Move to a secret store, or at minimum restrict file permissions, exclude these paths from backups, and rotate after any access.</w:t>
            </w:r>
          </w:p>
        </w:tc>
      </w:tr>
      <w:tr>
        <w:tc>
          <w:tcPr>
            <w:tcW w:type="dxa" w:w="8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AR-14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6B7683"/>
                <w:sz w:val="17"/>
                <w:szCs w:val="17"/>
              </w:rPr>
              <w:t xml:space="preserve">Info</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sign-in page displays working credentials</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login screen prints two working accounts and their passwords.</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Appropriate for local development; on any networked deployment it hands an attacker two valid usernames and passwords.</w:t>
            </w:r>
          </w:p>
        </w:tc>
        <w:tc>
          <w:tcPr>
            <w:tcW w:type="dxa" w:w="37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Render the hint only when the build is a local development build.</w:t>
            </w:r>
          </w:p>
        </w:tc>
      </w:tr>
      <w:tr>
        <w:tc>
          <w:tcPr>
            <w:tcW w:type="dxa" w:w="800"/>
            <w:tcMar>
              <w:top w:type="dxa" w:w="60"/>
              <w:left w:type="dxa" w:w="90"/>
              <w:bottom w:type="dxa" w:w="60"/>
              <w:right w:type="dxa" w:w="90"/>
            </w:tcMar>
          </w:tcPr>
          <w:p>
            <w:pPr>
              <w:spacing w:after="0"/>
            </w:pPr>
            <w:r>
              <w:rPr>
                <w:rFonts w:ascii="Calibri" w:cs="Calibri" w:eastAsia="Calibri" w:hAnsi="Calibri"/>
                <w:b/>
                <w:bCs/>
                <w:sz w:val="17"/>
                <w:szCs w:val="17"/>
              </w:rPr>
              <w:t xml:space="preserve">AR-15</w:t>
            </w:r>
          </w:p>
        </w:tc>
        <w:tc>
          <w:tcPr>
            <w:tcW w:type="dxa" w:w="1000"/>
            <w:tcMar>
              <w:top w:type="dxa" w:w="60"/>
              <w:left w:type="dxa" w:w="90"/>
              <w:bottom w:type="dxa" w:w="60"/>
              <w:right w:type="dxa" w:w="90"/>
            </w:tcMar>
          </w:tcPr>
          <w:p>
            <w:pPr>
              <w:spacing w:after="0"/>
            </w:pPr>
            <w:r>
              <w:rPr>
                <w:rFonts w:ascii="Calibri" w:cs="Calibri" w:eastAsia="Calibri" w:hAnsi="Calibri"/>
                <w:color w:val="6B7683"/>
                <w:sz w:val="17"/>
                <w:szCs w:val="17"/>
              </w:rPr>
              <w:t xml:space="preserve">Info</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No dependency or image scanning in the pipeline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There is no automated check of NuGet and npm dependencies or of the base images for known vulnerabilities.</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Known-vulnerable components can reach production unnoticed.</w:t>
            </w:r>
          </w:p>
        </w:tc>
        <w:tc>
          <w:tcPr>
            <w:tcW w:type="dxa" w:w="3738"/>
            <w:tcMar>
              <w:top w:type="dxa" w:w="60"/>
              <w:left w:type="dxa" w:w="90"/>
              <w:bottom w:type="dxa" w:w="60"/>
              <w:right w:type="dxa" w:w="90"/>
            </w:tcMar>
          </w:tcPr>
          <w:p>
            <w:pPr>
              <w:spacing w:after="0"/>
            </w:pPr>
            <w:r>
              <w:rPr>
                <w:rFonts w:ascii="Calibri" w:cs="Calibri" w:eastAsia="Calibri" w:hAnsi="Calibri"/>
                <w:sz w:val="17"/>
                <w:szCs w:val="17"/>
              </w:rPr>
              <w:t xml:space="preserve">Add dependency and image scanning to the build, with a policy for what blocks a release.</w:t>
            </w:r>
          </w:p>
        </w:tc>
      </w:tr>
    </w:tbl>
    <w:p>
      <w:pPr>
        <w:pStyle w:val="Heading1"/>
        <w:spacing w:after="130" w:before="280"/>
      </w:pPr>
      <w:r>
        <w:rPr>
          <w:rFonts w:ascii="Calibri" w:cs="Calibri" w:eastAsia="Calibri" w:hAnsi="Calibri"/>
          <w:b/>
          <w:bCs/>
          <w:color w:val="0E2841"/>
          <w:sz w:val="30"/>
          <w:szCs w:val="30"/>
        </w:rPr>
        <w:t xml:space="preserve">5. Controls that are in place</w:t>
      </w:r>
    </w:p>
    <w:p>
      <w:pPr>
        <w:spacing w:after="100" w:before="0"/>
      </w:pPr>
      <w:r>
        <w:rPr>
          <w:rFonts w:ascii="Calibri" w:cs="Calibri" w:eastAsia="Calibri" w:hAnsi="Calibri"/>
          <w:sz w:val="19"/>
          <w:szCs w:val="19"/>
        </w:rPr>
        <w:t xml:space="preserve">A review that lists only weaknesses misrepresents the system. The following controls exist and, where noted, were confirmed by functional execution against the current build.</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11838"/>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Control</w:t>
            </w:r>
          </w:p>
        </w:tc>
        <w:tc>
          <w:tcPr>
            <w:tcW w:type="dxa" w:w="118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As built</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Password storage</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BCrypt with work factor 11 — appropriate and deliberately slow.</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Authorization enforcement</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Role × page × action is checked server-side on every endpoint, not merely hidden in the UI. Verified by execution: revoked pages return 403 when called directly.</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Multi-tenancy</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Entity scope is applied in the query builder and a cross-entity request is refused with SCOPE-001. Verified by execution.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Privilege escalation guards</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Admin cannot create a Super Admin or grant all-entities scope; the Super Admin role cannot be restricted; an admin cannot disable their own account.</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Query construction</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Values are parameterised through Dapper. Column and sort fields are whitelisted against the report catalogue and rejected with RPT-001 otherwise.</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Account enumeration</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Wrong password, unknown e-mail and disabled account all return the identical message; the distinguishing reason goes only to the audit trail.</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Audit trail</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Append-only by database trigger for UPDATE and DELETE; every administrative action, export and upload is recorded with actor, target and source IP.</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Upload handling</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Format is determined by content rather than file extension; size caps are staggered so the application's readable message is reached before the proxy's; duplicates are detected by content hash; files are parsed in memory and stored as data, never written to a served path.</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Client-side rendering</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No dangerouslySetInnerHTML, innerHTML or eval anywhere in the front end, so React's default escaping is intact.</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Error handling</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Failures return typed problem responses. Execution testing confirmed no stack trace, SQL text or connection string in any error body.</w:t>
            </w:r>
          </w:p>
        </w:tc>
      </w:tr>
    </w:tbl>
    <w:p>
      <w:r>
        <w:br w:type="page"/>
      </w:r>
    </w:p>
    <w:p>
      <w:pPr>
        <w:pStyle w:val="Heading1"/>
        <w:spacing w:after="130" w:before="280"/>
      </w:pPr>
      <w:r>
        <w:rPr>
          <w:rFonts w:ascii="Calibri" w:cs="Calibri" w:eastAsia="Calibri" w:hAnsi="Calibri"/>
          <w:b/>
          <w:bCs/>
          <w:color w:val="0E2841"/>
          <w:sz w:val="30"/>
          <w:szCs w:val="30"/>
        </w:rPr>
        <w:t xml:space="preserve">6. Part II — Penetration test scenarios</w:t>
      </w:r>
    </w:p>
    <w:p>
      <w:pPr>
        <w:spacing w:after="100" w:before="0"/>
      </w:pPr>
      <w:r>
        <w:rPr>
          <w:rFonts w:ascii="Calibri" w:cs="Calibri" w:eastAsia="Calibri" w:hAnsi="Calibri"/>
          <w:sz w:val="19"/>
          <w:szCs w:val="19"/>
        </w:rPr>
        <w:t xml:space="preserve">Sixty-nine scenarios in ten suites. Each states what it is trying to prove, how, and what a secure system does — so a tester can judge the outcome without reading the source.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2000"/>
        <w:gridCol w:w="12838"/>
      </w:tblGrid>
      <w:tr>
        <w:trPr>
          <w:tblHeader/>
        </w:trPr>
        <w:tc>
          <w:tcPr>
            <w:tcW w:type="dxa" w:w="2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Column</w:t>
            </w:r>
          </w:p>
        </w:tc>
        <w:tc>
          <w:tcPr>
            <w:tcW w:type="dxa" w:w="128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Meaning</w:t>
            </w:r>
          </w:p>
        </w:tc>
      </w:tr>
      <w:tr>
        <w:tc>
          <w:tcPr>
            <w:tcW w:type="dxa" w:w="2000"/>
            <w:tcMar>
              <w:top w:type="dxa" w:w="60"/>
              <w:left w:type="dxa" w:w="90"/>
              <w:bottom w:type="dxa" w:w="60"/>
              <w:right w:type="dxa" w:w="90"/>
            </w:tcMar>
          </w:tcPr>
          <w:p>
            <w:pPr>
              <w:spacing w:after="0"/>
            </w:pPr>
            <w:r>
              <w:rPr>
                <w:rFonts w:ascii="Calibri" w:cs="Calibri" w:eastAsia="Calibri" w:hAnsi="Calibri"/>
                <w:b/>
                <w:bCs/>
                <w:sz w:val="17"/>
                <w:szCs w:val="17"/>
              </w:rPr>
              <w:t xml:space="preserve">Ref</w:t>
            </w:r>
          </w:p>
        </w:tc>
        <w:tc>
          <w:tcPr>
            <w:tcW w:type="dxa" w:w="12838"/>
            <w:tcMar>
              <w:top w:type="dxa" w:w="60"/>
              <w:left w:type="dxa" w:w="90"/>
              <w:bottom w:type="dxa" w:w="60"/>
              <w:right w:type="dxa" w:w="90"/>
            </w:tcMar>
          </w:tcPr>
          <w:p>
            <w:pPr>
              <w:spacing w:after="0"/>
            </w:pPr>
            <w:r>
              <w:rPr>
                <w:rFonts w:ascii="Calibri" w:cs="Calibri" w:eastAsia="Calibri" w:hAnsi="Calibri"/>
                <w:sz w:val="17"/>
                <w:szCs w:val="17"/>
              </w:rPr>
              <w:t xml:space="preserve">Scenario reference. Quote it in every finding.</w:t>
            </w:r>
          </w:p>
        </w:tc>
      </w:tr>
      <w:tr>
        <w:tc>
          <w:tcPr>
            <w:tcW w:type="dxa" w:w="2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Objective</w:t>
            </w:r>
          </w:p>
        </w:tc>
        <w:tc>
          <w:tcPr>
            <w:tcW w:type="dxa" w:w="12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the scenario is trying to achieve, from the attacker's point of view.</w:t>
            </w:r>
          </w:p>
        </w:tc>
      </w:tr>
      <w:tr>
        <w:tc>
          <w:tcPr>
            <w:tcW w:type="dxa" w:w="2000"/>
            <w:tcMar>
              <w:top w:type="dxa" w:w="60"/>
              <w:left w:type="dxa" w:w="90"/>
              <w:bottom w:type="dxa" w:w="60"/>
              <w:right w:type="dxa" w:w="90"/>
            </w:tcMar>
          </w:tcPr>
          <w:p>
            <w:pPr>
              <w:spacing w:after="0"/>
            </w:pPr>
            <w:r>
              <w:rPr>
                <w:rFonts w:ascii="Calibri" w:cs="Calibri" w:eastAsia="Calibri" w:hAnsi="Calibri"/>
                <w:b/>
                <w:bCs/>
                <w:sz w:val="17"/>
                <w:szCs w:val="17"/>
              </w:rPr>
              <w:t xml:space="preserve">Technique</w:t>
            </w:r>
          </w:p>
        </w:tc>
        <w:tc>
          <w:tcPr>
            <w:tcW w:type="dxa" w:w="12838"/>
            <w:tcMar>
              <w:top w:type="dxa" w:w="60"/>
              <w:left w:type="dxa" w:w="90"/>
              <w:bottom w:type="dxa" w:w="60"/>
              <w:right w:type="dxa" w:w="90"/>
            </w:tcMar>
          </w:tcPr>
          <w:p>
            <w:pPr>
              <w:spacing w:after="0"/>
            </w:pPr>
            <w:r>
              <w:rPr>
                <w:rFonts w:ascii="Calibri" w:cs="Calibri" w:eastAsia="Calibri" w:hAnsi="Calibri"/>
                <w:sz w:val="17"/>
                <w:szCs w:val="17"/>
              </w:rPr>
              <w:t xml:space="preserve">How to attempt it. Not exhaustive — the tester is expected to extend it.</w:t>
            </w:r>
          </w:p>
        </w:tc>
      </w:tr>
      <w:tr>
        <w:tc>
          <w:tcPr>
            <w:tcW w:type="dxa" w:w="2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Expected secure behaviour</w:t>
            </w:r>
          </w:p>
        </w:tc>
        <w:tc>
          <w:tcPr>
            <w:tcW w:type="dxa" w:w="12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the system must do. Anything else is a finding.</w:t>
            </w:r>
          </w:p>
        </w:tc>
      </w:tr>
      <w:tr>
        <w:tc>
          <w:tcPr>
            <w:tcW w:type="dxa" w:w="2000"/>
            <w:tcMar>
              <w:top w:type="dxa" w:w="60"/>
              <w:left w:type="dxa" w:w="90"/>
              <w:bottom w:type="dxa" w:w="60"/>
              <w:right w:type="dxa" w:w="90"/>
            </w:tcMar>
          </w:tcPr>
          <w:p>
            <w:pPr>
              <w:spacing w:after="0"/>
            </w:pPr>
            <w:r>
              <w:rPr>
                <w:rFonts w:ascii="Calibri" w:cs="Calibri" w:eastAsia="Calibri" w:hAnsi="Calibri"/>
                <w:b/>
                <w:bCs/>
                <w:sz w:val="17"/>
                <w:szCs w:val="17"/>
              </w:rPr>
              <w:t xml:space="preserve">Severity if it fails</w:t>
            </w:r>
          </w:p>
        </w:tc>
        <w:tc>
          <w:tcPr>
            <w:tcW w:type="dxa" w:w="12838"/>
            <w:tcMar>
              <w:top w:type="dxa" w:w="60"/>
              <w:left w:type="dxa" w:w="90"/>
              <w:bottom w:type="dxa" w:w="60"/>
              <w:right w:type="dxa" w:w="90"/>
            </w:tcMar>
          </w:tcPr>
          <w:p>
            <w:pPr>
              <w:spacing w:after="0"/>
            </w:pPr>
            <w:r>
              <w:rPr>
                <w:rFonts w:ascii="Calibri" w:cs="Calibri" w:eastAsia="Calibri" w:hAnsi="Calibri"/>
                <w:sz w:val="17"/>
                <w:szCs w:val="17"/>
              </w:rPr>
              <w:t xml:space="preserve">The rating to start from if the system does not behave as expected. Adjust for actual exploitability.</w:t>
            </w:r>
          </w:p>
        </w:tc>
      </w:tr>
    </w:tbl>
    <w:p>
      <w:pPr>
        <w:pStyle w:val="Heading2"/>
        <w:spacing w:after="130" w:before="280"/>
      </w:pPr>
      <w:r>
        <w:rPr>
          <w:rFonts w:ascii="Calibri" w:cs="Calibri" w:eastAsia="Calibri" w:hAnsi="Calibri"/>
          <w:b/>
          <w:bCs/>
          <w:color w:val="0E2841"/>
          <w:sz w:val="24"/>
          <w:szCs w:val="24"/>
        </w:rPr>
        <w:t xml:space="preserve">PT-01 — Authentication and session management</w:t>
      </w:r>
    </w:p>
    <w:p>
      <w:pPr>
        <w:spacing w:after="130" w:before="0"/>
      </w:pPr>
      <w:r>
        <w:rPr>
          <w:rFonts w:ascii="Calibri" w:cs="Calibri" w:eastAsia="Calibri" w:hAnsi="Calibri"/>
          <w:sz w:val="19"/>
          <w:szCs w:val="19"/>
        </w:rPr>
        <w:t xml:space="preserve">The system issues an 8-hour HS256 JWT and derives all authorization from its claims. These scenarios probe how tokens are issued, trusted, and — critically — whether they can be retired.</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Brute-force an account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Automate several hundred password attempts against a known account from one source, then from several. Measure whether any throttle, lockout or delay appears.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Attempts are throttled or the account is temporarily locked, and the activity is visible in the audit trail as repeated failures.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valid accounts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Compare responses, wording, status codes and timing between an unknown e-mail, a valid e-mail with a wrong password, and a disabled account.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All three are indistinguishable to the client. Timing differences must not reliably separate them.</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Forge a token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Alter the role claim to Super Admin and re-sign with an empty key, with alg set to none, and with HS256 using a guessed key. Submit each.</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 variant is rejected with 401. The alg none form must not be accepted.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 a token after the account is disabled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 in, capture the token, have an administrator disable the account, then keep using the captured token.</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Requests are refused once the account is disabled. See AR-01 — the current design is expected to keep working, and this scenario exists to size that gap.</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Use a token after a role downgrade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Sign in as an Admin, capture the token, have the role reduced, then attempt an administrative action with the old token.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reduced rights apply immediately. See AR-01.</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 a token after a password reset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Capture a token, reset the account password, then continue with the captured token.</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reset invalidates existing sessions.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Replay a captured token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Capture a token from one client and replay it from a different IP and user agent.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Behaviour is defined and, at minimum, the replay is visible in the audit trail.</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PT-01-08</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Verify expiry is enforced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Present a token with an exp in the past and one with an exp far in the future signed with the correct key.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expired token is refused. Clock skew tolerance is one minute and no more.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PT-01-09</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Confirm sign-out ends access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Sign out, then reuse the token captured before signing out.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token no longer works. Currently sign-out only clears browser storage.</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PT-01-10</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Recover the signing key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the JWT key: its length, whether it is a default, and whether it appears in the repository, images or environment output.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key is long, random, unique per environment and absent from source control and image layers.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PT-02 — Authorization — vertical privilege escalation</w:t>
      </w:r>
    </w:p>
    <w:p>
      <w:pPr>
        <w:spacing w:after="130" w:before="0"/>
      </w:pPr>
      <w:r>
        <w:rPr>
          <w:rFonts w:ascii="Calibri" w:cs="Calibri" w:eastAsia="Calibri" w:hAnsi="Calibri"/>
          <w:sz w:val="19"/>
          <w:szCs w:val="19"/>
        </w:rPr>
        <w:t xml:space="preserve">Permissions are a role × page × action matrix. The E2E run confirmed the matrix is enforced server-side; these scenarios attack the matrix itself and the paths around it.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Reach an admin endpoint as a low-privileged role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With an Auditor token, call every /admin/* endpoint directly, including PUT /admin/role-permissions.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All refused with 403 AUTH-003. No partial effect.</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Grant yourself rights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 an Admin, attempt to change the matrix; as any role, attempt to alter your own role via the user endpoints.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Only a Super Admin may change the matrix. No endpoint allows a user to raise their own role.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Restrict the Super Admin role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Attempt to remove Super Admin permissions to lock everyone out.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Refused; the Super Admin row cannot be restricted.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Create a Super Admin without being one</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 an Admin, create a user with role Super Admin, and separately with all-entities scope.</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Both refused with 403.</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Bypass by verb or path</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Try alternative verbs and casings, trailing slashes, path traversal and URL encoding against protected routes.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Routing and authorization are unaffected by these variations.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Mass assignment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Post extra fields — role, allEntities, entityId, status, id — to endpoints that do not expect them, including self-service paths.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Unexpected fields are ignored; privilege fields are settable only through the guarded admin paths.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Act during a permission change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Issue requests continuously while an administrator revokes a permission, to find a window where the old rights still apply.</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revocation takes effect within the documented cache window, and that window is stated and acceptable.</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PT-03 — Authorization — horizontal access and multi-tenancy</w:t>
      </w:r>
    </w:p>
    <w:p>
      <w:pPr>
        <w:spacing w:after="130" w:before="0"/>
      </w:pPr>
      <w:r>
        <w:rPr>
          <w:rFonts w:ascii="Calibri" w:cs="Calibri" w:eastAsia="Calibri" w:hAnsi="Calibri"/>
          <w:sz w:val="19"/>
          <w:szCs w:val="19"/>
        </w:rPr>
        <w:t xml:space="preserve">A Site BC User must never see another entity's customs data. This is the control that keeps two legal entities apart in one system.</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PT-03-01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Request another entity by filter</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As a scoped user, pass another entityId in the report filters, in every report and export endpoint.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Refused with 403 SCOPE-001 in every case; no rows returned.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PT-03-02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Reach another entity by object id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ingestion ids, quarantine ids, notification ids, saved view ids and user ids belonging to other entities and request them directly.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is refused or returns nothing. Ids must not be a route around scope.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PT-03-03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Escape scope through aggregates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Compare dashboard tiles, LPM totals and audit counts between a scoped user and a Super Admin with data in two entities.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 figure a scoped user sees covers only their entity. See AR/finding F-03 from the functional run.</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PT-03-04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Escape scope through search</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 free-text search to look for values known to exist only in another entity.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match is returned and no count discloses existence.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PT-03-05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Escape scope through exports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Export with a manipulated filter set as a scoped user.</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file contains only in-scope rows.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PT-03-06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Delete or edit another user's saved view</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view ids and attempt deletion as a different user.</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Refused with "not found (or not yours)"; the owner's view is untouched.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PT-04 — Injection and input validation</w:t>
      </w:r>
    </w:p>
    <w:p>
      <w:pPr>
        <w:spacing w:after="130" w:before="0"/>
      </w:pPr>
      <w:r>
        <w:rPr>
          <w:rFonts w:ascii="Calibri" w:cs="Calibri" w:eastAsia="Calibri" w:hAnsi="Calibri"/>
          <w:sz w:val="19"/>
          <w:szCs w:val="19"/>
        </w:rPr>
        <w:t xml:space="preserve">Values are parameterised; column and sort names are whitelisted and then concatenated. These scenarios attack the seam between the two.</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SQL injection through report parameters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Inject into columns, sort fields, report keys, filters, date fields, entity ids, paging values and search, using quotes, comments, stacked statements, and jsonb path syntax.</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Rejected by the whitelist with RPT-001 or treated as a literal value. No SQL error text, no timing difference, no data disclosure.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Blind and time-based injection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pg_sleep and boolean-difference payloads in every parameter, measuring response times across many samples.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parameter changes execution time in a way that tracks the payload.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Injection through uploaded content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Place SQL, script and formula payloads in cell values of an uploaded workbook, including the fields used for document numbers and item codes.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Content is stored as data and rendered as text. Nothing is executed at ingestion or on display.</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Spreadsheet formula injection in exports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Ingest values beginning with =, +, - and @, then export to CSV and Excel and open the result.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Exported values are neutralised so a spreadsheet does not execute them on open.</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Header and log injection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Send newline and control characters in e-mail, search and file-name fields that reach the audit log and alert e-mails.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Values are encoded; no forged log lines and no injected mail headers.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jsonb and type confusion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Send arrays, objects, nulls, very long strings, unicode and numeric edge values where scalars are expected.</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Rejected with a typed validation error, never an unhandled exception.</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Path traversal</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Use traversal sequences and absolute paths in the upload file name and in any parameter that could reach the filesystem.</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No filesystem path is derived from user input; uploads are parsed in memory.</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PT-05 — File upload and the ingestion pipeline</w:t>
      </w:r>
    </w:p>
    <w:p>
      <w:pPr>
        <w:spacing w:after="130" w:before="0"/>
      </w:pPr>
      <w:r>
        <w:rPr>
          <w:rFonts w:ascii="Calibri" w:cs="Calibri" w:eastAsia="Calibri" w:hAnsi="Calibri"/>
          <w:sz w:val="19"/>
          <w:szCs w:val="19"/>
        </w:rPr>
        <w:t xml:space="preserve">Uploads are the largest attacker-controlled surface: an authenticated user sends an arbitrary file that is parsed by a spreadsheet library.</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Upload a hostile archive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Submit a zip bomb, a workbook with a very large sheet, deeply nested XML and a file with a huge number of columns or rows.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Rejected or bounded. Memory and CPU stay within limits and the service keeps serving other users.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PT-05-02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XML external entity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Submit a workbook whose XML declares external entities pointing at local files and at an attacker-controlled URL.</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entity resolution, no file read, no outbound request.</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Bypass the size cap</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Send a chunked upload, a false Content-Length, and a multipart body whose declared and actual sizes differ.</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cap is enforced on what is actually read, not on what is declared.</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PT-05-04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executable or web content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files with double extensions, null bytes in the name, and content types claiming HTML or script.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Rejected as an unrecognised template. Nothing is written to a path the web server serves.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Poison another entity's data</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As a scoped user, upload a file whose contents claim to belong to a different entity or permit.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Ingested rows are attributed to the uploader's scope and cannot be redirected by file content.</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PT-05-06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Overwrite a reporting period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Re-upload a period with altered figures and observe what happens to the previously reported numbers.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change is deliberate, attributable in the audit trail, and the previous state is recoverable.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Exhaust storage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Upload many large files in succession to fill the database or disk.</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Quotas or monitoring limit the impact; the service degrades gracefully.</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PT-06 — API surface and business logic</w:t>
      </w:r>
    </w:p>
    <w:p>
      <w:pPr>
        <w:spacing w:after="130" w:before="0"/>
      </w:pPr>
      <w:r>
        <w:rPr>
          <w:rFonts w:ascii="Calibri" w:cs="Calibri" w:eastAsia="Calibri" w:hAnsi="Calibri"/>
          <w:sz w:val="19"/>
          <w:szCs w:val="19"/>
        </w:rPr>
        <w:t xml:space="preserve">Beyond generic web flaws, this system has customs-specific logic worth attacking: the routing rules, the reconciliation figures, and the notification fan-out.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Manipulate the Kode Barang routing</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Craft codes that sit on the boundary of the 9xx / 912 rules — leading spaces, unicode digits, a 9 in a different script, very long codes — and observe which report they land in.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Rows are routed deterministically and appear in exactly one report; nothing falls out of every view.</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PT-06-02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Hide rows from a report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through file content alone, to make rows invisible in every movement report while still counted as loaded.</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reconciliation between the loaded row count and the three views always balances.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Distort reconciliation figures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Submit values that could break the LPM arithmetic: negative quantities, extreme magnitudes, and values that overflow or lose precision.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Figures are validated or quarantined. Precision is preserved and totals stay explainable.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PT-06-04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Abuse notification fan-out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Trigger many alerting events rapidly, and set routing so a single upload mails every account.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Sending is bounded, failures do not block the request path, and the relay is not used as an open forwarder.</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Use the system as a mail relay</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Attempt to influence the recipient, sender or body of an alert e-mail through data under your control.</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Recipients come only from account records; no user-supplied address is ever used as a destination.</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PT-06-06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and harvest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Walk sequential ids across every endpoint and page through large result sets to estimate what an authenticated low-privilege account can extract in bulk.</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Volume is bounded by scope and the extraction is visible in the audit trail.</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Denial of service through queries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Request the largest page size across the widest report with the most expensive sort, concurrently.</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Response stays within the 2-second target or is bounded; one user cannot starve others.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PT-07 — Cryptography, secrets and transport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PT-07-01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Intercept credentials in transit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On the deployed network, capture traffic during sign-in and normal use.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Nothing sensitive is readable. On the current HTTP staging this will fail by design — record it to size the risk of AR-02.</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TLS once enabled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Test protocol versions, cipher suites, certificate chain, HSTS and redirect behaviour.</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Modern protocols only, valid chain, HSTS present, HTTP redirects to HTTPS.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PT-07-03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Recover secrets from the hosts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Look for the JWT key, database password and seed passwords in .env files, container environment, image layers, process listings, shell history and the generated rollback script.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Secrets are not readable by unprivileged host users and are absent from image layers and history.</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Recover secrets from the repository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Search the full git history, not just the current tree, for credentials, keys and real customs data.</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secret or production dataset has ever been committed.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PT-07-05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Assess password hashing</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Confirm the algorithm, work factor and per-user salting on stored hashes.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BCrypt with a work factor that is current and unique salts.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the database connection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Determine whether the application-to-database connection is encrypted and how the server certificate is validated.</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connection is encrypted and the certificate is verified rather than blindly trusted.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PT-08 — Client-side security</w:t>
      </w:r>
    </w:p>
    <w:p>
      <w:pPr>
        <w:spacing w:after="130" w:before="0"/>
      </w:pPr>
      <w:r>
        <w:rPr>
          <w:rFonts w:ascii="Calibri" w:cs="Calibri" w:eastAsia="Calibri" w:hAnsi="Calibri"/>
          <w:sz w:val="19"/>
          <w:szCs w:val="19"/>
        </w:rPr>
        <w:t xml:space="preserve">The session token is held in sessionStorage, so any script execution in the origin is a full session compromise. That raises the stakes on every injection point that reaches the DOM.</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Stored cross-site scripting</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Place script payloads in every value that is later rendered: item names, descriptions, file names, user names, entity names, saved view names, quarantine reasons and notification text.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Everything renders as text. No payload executes anywhere, including grids, tooltips, the notification list and the audit log.</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PT-08-02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Reflected and DOM-based XSS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Inject through query strings, the hash fragment and any value echoed into the page or into an error message.</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execution; the front end has no unsafe DOM sinks and this confirms none were introduced.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Session theft via script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Given any successful injection, demonstrate reading the token from sessionStorage.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Blocked by the absence of injection; a CSP would be the second line if one existed. See AR-05.</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PT-08-04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Clickjacking</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Frame the application in an attacker page and attempt to drive an administrative action.</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Framing is refused by X-Frame-Options or a frame-ancestors directive. Currently absent — see AR-05.</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Cross-site request forgery</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From another origin, attempt state-changing requests both with and without a token.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Requests without a valid Authorization header fail. Confirm no state-changing endpoint relies on ambient credentials.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PT-08-06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Sensitive data left in the browser</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Inspect storage, memory and the browser cache after sign-out, and check whether report data is cached by the browser or a proxy.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Sign-out clears client state; report responses are not cached to disk.</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Front-end dependency risk</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Review the built bundle for known-vulnerable libraries and for source maps or comments that disclose internals.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No known-vulnerable component ships, and no internal detail is exposed.</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PT-09 — Infrastructure, configuration and deployment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Map the exposed surface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Port-scan the three hosts and the database endpoint from inside and outside the network segment; identify every listening service.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Only the intended ports are reachable, and the database is not reachable from outside its allowed list.</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PT-09-02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Reach the database directly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to connect to the ApsaraDB endpoint from a host that should not be whitelisted, and with default and guessed credentials.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Connections from non-whitelisted sources are refused and no default credential works.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Reach the API bypassing the front end</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Call the API host and port directly, bypassing the reverse proxy and any controls it applies.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Direct access is either blocked or subject to the same controls.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PT-09-04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Escape the container</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the containers for root execution, writable mounts, the Docker socket, capabilities and host networking.</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Containers run unprivileged as a non-root user with no socket mount. See AR-07.</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Abuse the deployment path</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Assess who can push to the repository the servers pull from, how deploy keys are scoped, and whether a malicious commit would reach production unreviewed.</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Deploy keys are read-only and per-server; changes require review before release.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PT-09-06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Harvest information from errors and banners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Provoke errors at every tier and inspect responses and headers for versions, stack traces, internal hostnames and paths.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internal detail is disclosed; server banners are minimised.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Assess backup and restore exposure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Locate database dumps and backup files on the hosts and check their permissions and retention.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Dumps are not world-readable, are excluded from source control, and are removed when no longer needed.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PT-10 — Audit integrity and anti-forensics</w:t>
      </w:r>
    </w:p>
    <w:p>
      <w:pPr>
        <w:spacing w:after="130" w:before="0"/>
      </w:pPr>
      <w:r>
        <w:rPr>
          <w:rFonts w:ascii="Calibri" w:cs="Calibri" w:eastAsia="Calibri" w:hAnsi="Calibri"/>
          <w:sz w:val="19"/>
          <w:szCs w:val="19"/>
        </w:rPr>
        <w:t xml:space="preserve">For a customs system the audit trail is not a convenience — it is the record that supports a declaration. An attacker's last step is to remove their traces.</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PT-10-01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Modify an audit record</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Attempt UPDATE and DELETE on audit.audit_events as the application account and as any database account available.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Both are rejected by the append-only trigger.</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PT-10-02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Erase the trail wholesale</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TRUNCATE, and attempt to disable or drop the trigger, then restore it.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Refused. See AR-08 — TRUNCATE is currently not covered.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PT-10-03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Act without being recorded</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Find any state-changing action that produces no audit entry: exports, downloads, failed authorisation attempts, permission reads.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 state change and every data extraction is recorded with actor, target, time and source.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PT-10-04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Forge attribution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to write an audit entry attributed to another user, or to influence the recorded actor or IP through headers such as X-Forwarded-For.</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Attribution is derived from the authenticated session, not from client-supplied headers.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PT-10-05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Confirm the trail survives a reset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Run the transaction-data reset and confirm what remains, including whether the reset itself is recorded.</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trail is retained by default, and any deliberate clearing is itself recorded.</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r>
        <w:br w:type="page"/>
      </w:r>
    </w:p>
    <w:p>
      <w:pPr>
        <w:pStyle w:val="Heading1"/>
        <w:spacing w:after="130" w:before="280"/>
      </w:pPr>
      <w:r>
        <w:rPr>
          <w:rFonts w:ascii="Calibri" w:cs="Calibri" w:eastAsia="Calibri" w:hAnsi="Calibri"/>
          <w:b/>
          <w:bCs/>
          <w:color w:val="0E2841"/>
          <w:sz w:val="30"/>
          <w:szCs w:val="30"/>
        </w:rPr>
        <w:t xml:space="preserve">7. Severity scheme</w:t>
      </w:r>
    </w:p>
    <w:p>
      <w:pPr>
        <w:spacing w:after="100" w:before="0"/>
      </w:pPr>
      <w:r>
        <w:rPr>
          <w:rFonts w:ascii="Calibri" w:cs="Calibri" w:eastAsia="Calibri" w:hAnsi="Calibri"/>
          <w:sz w:val="19"/>
          <w:szCs w:val="19"/>
        </w:rPr>
        <w:t xml:space="preserve">Severity is assigned on impact to customs reporting, not on the novelty of the technique.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9500"/>
        <w:gridCol w:w="3838"/>
      </w:tblGrid>
      <w:tr>
        <w:trPr>
          <w:tblHeader/>
        </w:trPr>
        <w:tc>
          <w:tcPr>
            <w:tcW w:type="dxa" w:w="1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w:t>
            </w:r>
          </w:p>
        </w:tc>
        <w:tc>
          <w:tcPr>
            <w:tcW w:type="dxa" w:w="9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Means</w:t>
            </w:r>
          </w:p>
        </w:tc>
        <w:tc>
          <w:tcPr>
            <w:tcW w:type="dxa" w:w="38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response</w:t>
            </w:r>
          </w:p>
        </w:tc>
      </w:tr>
      <w:tr>
        <w:tc>
          <w:tcPr>
            <w:tcW w:type="dxa" w:w="1500"/>
            <w:tcMar>
              <w:top w:type="dxa" w:w="60"/>
              <w:left w:type="dxa" w:w="90"/>
              <w:bottom w:type="dxa" w:w="60"/>
              <w:right w:type="dxa" w:w="90"/>
            </w:tcMar>
          </w:tcPr>
          <w:p>
            <w:pPr>
              <w:spacing w:after="0"/>
            </w:pPr>
            <w:r>
              <w:rPr>
                <w:rFonts w:ascii="Calibri" w:cs="Calibri" w:eastAsia="Calibri" w:hAnsi="Calibri"/>
                <w:b/>
                <w:bCs/>
                <w:color w:val="B73532"/>
                <w:sz w:val="17"/>
                <w:szCs w:val="17"/>
              </w:rPr>
              <w:t xml:space="preserve">Critical</w:t>
            </w:r>
          </w:p>
        </w:tc>
        <w:tc>
          <w:tcPr>
            <w:tcW w:type="dxa" w:w="9500"/>
            <w:tcMar>
              <w:top w:type="dxa" w:w="60"/>
              <w:left w:type="dxa" w:w="90"/>
              <w:bottom w:type="dxa" w:w="60"/>
              <w:right w:type="dxa" w:w="90"/>
            </w:tcMar>
          </w:tcPr>
          <w:p>
            <w:pPr>
              <w:spacing w:after="0"/>
            </w:pPr>
            <w:r>
              <w:rPr>
                <w:rFonts w:ascii="Calibri" w:cs="Calibri" w:eastAsia="Calibri" w:hAnsi="Calibri"/>
                <w:sz w:val="17"/>
                <w:szCs w:val="17"/>
              </w:rPr>
              <w:t xml:space="preserve">Full compromise of data or the system: authentication bypass, cross-entity disclosure of customs data, remote code execution, or destruction of the audit trail.</w:t>
            </w:r>
          </w:p>
        </w:tc>
        <w:tc>
          <w:tcPr>
            <w:tcW w:type="dxa" w:w="3838"/>
            <w:tcMar>
              <w:top w:type="dxa" w:w="60"/>
              <w:left w:type="dxa" w:w="90"/>
              <w:bottom w:type="dxa" w:w="60"/>
              <w:right w:type="dxa" w:w="90"/>
            </w:tcMar>
          </w:tcPr>
          <w:p>
            <w:pPr>
              <w:spacing w:after="0"/>
            </w:pPr>
            <w:r>
              <w:rPr>
                <w:rFonts w:ascii="Calibri" w:cs="Calibri" w:eastAsia="Calibri" w:hAnsi="Calibri"/>
                <w:sz w:val="17"/>
                <w:szCs w:val="17"/>
              </w:rPr>
              <w:t xml:space="preserve">Fix before any further deployment</w:t>
            </w:r>
          </w:p>
        </w:tc>
      </w:tr>
      <w:tr>
        <w:tc>
          <w:tcPr>
            <w:tcW w:type="dxa" w:w="1500"/>
            <w:shd w:fill="F4F6F9" w:color="auto" w:val="clear"/>
            <w:tcMar>
              <w:top w:type="dxa" w:w="60"/>
              <w:left w:type="dxa" w:w="90"/>
              <w:bottom w:type="dxa" w:w="60"/>
              <w:right w:type="dxa" w:w="90"/>
            </w:tcMar>
          </w:tcPr>
          <w:p>
            <w:pPr>
              <w:spacing w:after="0"/>
            </w:pPr>
            <w:r>
              <w:rPr>
                <w:rFonts w:ascii="Calibri" w:cs="Calibri" w:eastAsia="Calibri" w:hAnsi="Calibri"/>
                <w:b/>
                <w:bCs/>
                <w:color w:val="B73532"/>
                <w:sz w:val="17"/>
                <w:szCs w:val="17"/>
              </w:rPr>
              <w:t xml:space="preserve">High</w:t>
            </w:r>
          </w:p>
        </w:tc>
        <w:tc>
          <w:tcPr>
            <w:tcW w:type="dxa" w:w="9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Significant compromise requiring a common pre-condition: privilege escalation from a valid account, credential capture, or an unrecoverable data change.</w:t>
            </w:r>
          </w:p>
        </w:tc>
        <w:tc>
          <w:tcPr>
            <w:tcW w:type="dxa" w:w="3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Fix before production</w:t>
            </w:r>
          </w:p>
        </w:tc>
      </w:tr>
      <w:tr>
        <w:tc>
          <w:tcPr>
            <w:tcW w:type="dxa" w:w="1500"/>
            <w:tcMar>
              <w:top w:type="dxa" w:w="60"/>
              <w:left w:type="dxa" w:w="90"/>
              <w:bottom w:type="dxa" w:w="60"/>
              <w:right w:type="dxa" w:w="90"/>
            </w:tcMar>
          </w:tcPr>
          <w:p>
            <w:pPr>
              <w:spacing w:after="0"/>
            </w:pPr>
            <w:r>
              <w:rPr>
                <w:rFonts w:ascii="Calibri" w:cs="Calibri" w:eastAsia="Calibri" w:hAnsi="Calibri"/>
                <w:b/>
                <w:bCs/>
                <w:color w:val="B4551F"/>
                <w:sz w:val="17"/>
                <w:szCs w:val="17"/>
              </w:rPr>
              <w:t xml:space="preserve">Medium</w:t>
            </w:r>
          </w:p>
        </w:tc>
        <w:tc>
          <w:tcPr>
            <w:tcW w:type="dxa" w:w="9500"/>
            <w:tcMar>
              <w:top w:type="dxa" w:w="60"/>
              <w:left w:type="dxa" w:w="90"/>
              <w:bottom w:type="dxa" w:w="60"/>
              <w:right w:type="dxa" w:w="90"/>
            </w:tcMar>
          </w:tcPr>
          <w:p>
            <w:pPr>
              <w:spacing w:after="0"/>
            </w:pPr>
            <w:r>
              <w:rPr>
                <w:rFonts w:ascii="Calibri" w:cs="Calibri" w:eastAsia="Calibri" w:hAnsi="Calibri"/>
                <w:sz w:val="17"/>
                <w:szCs w:val="17"/>
              </w:rPr>
              <w:t xml:space="preserve">Meaningful weakening of a control, or a flaw needing an uncommon pre-condition.</w:t>
            </w:r>
          </w:p>
        </w:tc>
        <w:tc>
          <w:tcPr>
            <w:tcW w:type="dxa" w:w="3838"/>
            <w:tcMar>
              <w:top w:type="dxa" w:w="60"/>
              <w:left w:type="dxa" w:w="90"/>
              <w:bottom w:type="dxa" w:w="60"/>
              <w:right w:type="dxa" w:w="90"/>
            </w:tcMar>
          </w:tcPr>
          <w:p>
            <w:pPr>
              <w:spacing w:after="0"/>
            </w:pPr>
            <w:r>
              <w:rPr>
                <w:rFonts w:ascii="Calibri" w:cs="Calibri" w:eastAsia="Calibri" w:hAnsi="Calibri"/>
                <w:sz w:val="17"/>
                <w:szCs w:val="17"/>
              </w:rPr>
              <w:t xml:space="preserve">Fix in the next release</w:t>
            </w:r>
          </w:p>
        </w:tc>
      </w:tr>
      <w:tr>
        <w:tc>
          <w:tcPr>
            <w:tcW w:type="dxa" w:w="1500"/>
            <w:shd w:fill="F4F6F9" w:color="auto" w:val="clear"/>
            <w:tcMar>
              <w:top w:type="dxa" w:w="60"/>
              <w:left w:type="dxa" w:w="90"/>
              <w:bottom w:type="dxa" w:w="60"/>
              <w:right w:type="dxa" w:w="90"/>
            </w:tcMar>
          </w:tcPr>
          <w:p>
            <w:pPr>
              <w:spacing w:after="0"/>
            </w:pPr>
            <w:r>
              <w:rPr>
                <w:rFonts w:ascii="Calibri" w:cs="Calibri" w:eastAsia="Calibri" w:hAnsi="Calibri"/>
                <w:b/>
                <w:bCs/>
                <w:color w:val="0E2841"/>
                <w:sz w:val="17"/>
                <w:szCs w:val="17"/>
              </w:rPr>
              <w:t xml:space="preserve">Low</w:t>
            </w:r>
          </w:p>
        </w:tc>
        <w:tc>
          <w:tcPr>
            <w:tcW w:type="dxa" w:w="9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Limited impact, or defence-in-depth that is absent rather than broken.</w:t>
            </w:r>
          </w:p>
        </w:tc>
        <w:tc>
          <w:tcPr>
            <w:tcW w:type="dxa" w:w="3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Schedule</w:t>
            </w:r>
          </w:p>
        </w:tc>
      </w:tr>
      <w:tr>
        <w:tc>
          <w:tcPr>
            <w:tcW w:type="dxa" w:w="1500"/>
            <w:tcMar>
              <w:top w:type="dxa" w:w="60"/>
              <w:left w:type="dxa" w:w="90"/>
              <w:bottom w:type="dxa" w:w="60"/>
              <w:right w:type="dxa" w:w="90"/>
            </w:tcMar>
          </w:tcPr>
          <w:p>
            <w:pPr>
              <w:spacing w:after="0"/>
            </w:pPr>
            <w:r>
              <w:rPr>
                <w:rFonts w:ascii="Calibri" w:cs="Calibri" w:eastAsia="Calibri" w:hAnsi="Calibri"/>
                <w:b/>
                <w:bCs/>
                <w:color w:val="6B7683"/>
                <w:sz w:val="17"/>
                <w:szCs w:val="17"/>
              </w:rPr>
              <w:t xml:space="preserve">Info</w:t>
            </w:r>
          </w:p>
        </w:tc>
        <w:tc>
          <w:tcPr>
            <w:tcW w:type="dxa" w:w="9500"/>
            <w:tcMar>
              <w:top w:type="dxa" w:w="60"/>
              <w:left w:type="dxa" w:w="90"/>
              <w:bottom w:type="dxa" w:w="60"/>
              <w:right w:type="dxa" w:w="90"/>
            </w:tcMar>
          </w:tcPr>
          <w:p>
            <w:pPr>
              <w:spacing w:after="0"/>
            </w:pPr>
            <w:r>
              <w:rPr>
                <w:rFonts w:ascii="Calibri" w:cs="Calibri" w:eastAsia="Calibri" w:hAnsi="Calibri"/>
                <w:sz w:val="17"/>
                <w:szCs w:val="17"/>
              </w:rPr>
              <w:t xml:space="preserve">No direct impact; hardening or hygiene.</w:t>
            </w:r>
          </w:p>
        </w:tc>
        <w:tc>
          <w:tcPr>
            <w:tcW w:type="dxa" w:w="3838"/>
            <w:tcMar>
              <w:top w:type="dxa" w:w="60"/>
              <w:left w:type="dxa" w:w="90"/>
              <w:bottom w:type="dxa" w:w="60"/>
              <w:right w:type="dxa" w:w="90"/>
            </w:tcMar>
          </w:tcPr>
          <w:p>
            <w:pPr>
              <w:spacing w:after="0"/>
            </w:pPr>
            <w:r>
              <w:rPr>
                <w:rFonts w:ascii="Calibri" w:cs="Calibri" w:eastAsia="Calibri" w:hAnsi="Calibri"/>
                <w:sz w:val="17"/>
                <w:szCs w:val="17"/>
              </w:rPr>
              <w:t xml:space="preserve">At discretion</w:t>
            </w:r>
          </w:p>
        </w:tc>
      </w:tr>
    </w:tbl>
    <w:p>
      <w:pPr>
        <w:pStyle w:val="Heading1"/>
        <w:spacing w:after="130" w:before="280"/>
      </w:pPr>
      <w:r>
        <w:rPr>
          <w:rFonts w:ascii="Calibri" w:cs="Calibri" w:eastAsia="Calibri" w:hAnsi="Calibri"/>
          <w:b/>
          <w:bCs/>
          <w:color w:val="0E2841"/>
          <w:sz w:val="30"/>
          <w:szCs w:val="30"/>
        </w:rPr>
        <w:t xml:space="preserve">8. Finding report format</w:t>
      </w:r>
    </w:p>
    <w:p>
      <w:pPr>
        <w:spacing w:after="100" w:before="0"/>
      </w:pPr>
      <w:r>
        <w:rPr>
          <w:rFonts w:ascii="Calibri" w:cs="Calibri" w:eastAsia="Calibri" w:hAnsi="Calibri"/>
          <w:sz w:val="19"/>
          <w:szCs w:val="19"/>
        </w:rPr>
        <w:t xml:space="preserve">One finding per distinct weakness. A finding that cannot be reproduced from its own description will be returned.</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12238"/>
      </w:tblGrid>
      <w:tr>
        <w:trPr>
          <w:tblHeader/>
        </w:trPr>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22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to record</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Finding ID</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Sequential, unique to the engagement</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Title</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One line naming the weakness, not the symptom</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Scenario ID</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The scenario that found it, e.g. PT-03-01</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Severity</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Critical / High / Medium / Low / Informational, with the reasoning</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CVSS</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Base vector and score where the finding maps to CVSS</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Affected component</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Host, service, endpoint or file, with the environment</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Pre-conditions</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What access the attacker needs first — unauthenticated, any account, a specific role</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Reproduction</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Numbered steps from a known starting state, with the exact request and payload</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Evidence</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Request and response, screenshot, or database state — with anything sensitive redacted</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Business impact</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it means for customs reporting specifically, not a generic statement</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Remediation</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What to change, and where</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Retest</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How the fix will be verified, and by whom</w:t>
            </w:r>
          </w:p>
        </w:tc>
      </w:tr>
    </w:tbl>
    <w:p>
      <w:pPr>
        <w:spacing w:after="100" w:before="100"/>
      </w:pPr>
      <w:r>
        <w:rPr>
          <w:rFonts w:ascii="Calibri" w:cs="Calibri" w:eastAsia="Calibri" w:hAnsi="Calibri"/>
          <w:i/>
          <w:iCs/>
          <w:sz w:val="19"/>
          <w:szCs w:val="19"/>
        </w:rPr>
        <w:t xml:space="preserve">Evidence containing real supplier names, tax identifiers, permit numbers or credentials must be redacted before the report leaves the engagement, and the unredacted copy destroyed at closure.</w:t>
      </w:r>
    </w:p>
    <w:p>
      <w:pPr>
        <w:pStyle w:val="Heading1"/>
        <w:spacing w:after="130" w:before="280"/>
      </w:pPr>
      <w:r>
        <w:rPr>
          <w:rFonts w:ascii="Calibri" w:cs="Calibri" w:eastAsia="Calibri" w:hAnsi="Calibri"/>
          <w:b/>
          <w:bCs/>
          <w:color w:val="0E2841"/>
          <w:sz w:val="30"/>
          <w:szCs w:val="30"/>
        </w:rPr>
        <w:t xml:space="preserve">9. Deliverables and retest</w:t>
      </w:r>
    </w:p>
    <w:p>
      <w:pPr>
        <w:pStyle w:val="ListParagraph"/>
        <w:numPr>
          <w:ilvl w:val="0"/>
          <w:numId w:val="2"/>
        </w:numPr>
        <w:spacing w:after="60"/>
      </w:pPr>
      <w:r>
        <w:rPr>
          <w:rFonts w:ascii="Calibri" w:cs="Calibri" w:eastAsia="Calibri" w:hAnsi="Calibri"/>
          <w:sz w:val="19"/>
          <w:szCs w:val="19"/>
        </w:rPr>
        <w:t xml:space="preserve">A critical finding is reported the day it is found, not held for the report.</w:t>
      </w:r>
    </w:p>
    <w:p>
      <w:pPr>
        <w:pStyle w:val="ListParagraph"/>
        <w:numPr>
          <w:ilvl w:val="0"/>
          <w:numId w:val="2"/>
        </w:numPr>
        <w:spacing w:after="60"/>
      </w:pPr>
      <w:r>
        <w:rPr>
          <w:rFonts w:ascii="Calibri" w:cs="Calibri" w:eastAsia="Calibri" w:hAnsi="Calibri"/>
          <w:sz w:val="19"/>
          <w:szCs w:val="19"/>
        </w:rPr>
        <w:t xml:space="preserve">A written report covering scope, method, findings with evidence, and an assessment of the whole rather than a list.</w:t>
      </w:r>
    </w:p>
    <w:p>
      <w:pPr>
        <w:pStyle w:val="ListParagraph"/>
        <w:numPr>
          <w:ilvl w:val="0"/>
          <w:numId w:val="2"/>
        </w:numPr>
        <w:spacing w:after="60"/>
      </w:pPr>
      <w:r>
        <w:rPr>
          <w:rFonts w:ascii="Calibri" w:cs="Calibri" w:eastAsia="Calibri" w:hAnsi="Calibri"/>
          <w:sz w:val="19"/>
          <w:szCs w:val="19"/>
        </w:rPr>
        <w:t xml:space="preserve">A remediation plan agreed with owners and dates against each finding.</w:t>
      </w:r>
    </w:p>
    <w:p>
      <w:pPr>
        <w:pStyle w:val="ListParagraph"/>
        <w:numPr>
          <w:ilvl w:val="0"/>
          <w:numId w:val="2"/>
        </w:numPr>
        <w:spacing w:after="60"/>
      </w:pPr>
      <w:r>
        <w:rPr>
          <w:rFonts w:ascii="Calibri" w:cs="Calibri" w:eastAsia="Calibri" w:hAnsi="Calibri"/>
          <w:sz w:val="19"/>
          <w:szCs w:val="19"/>
        </w:rPr>
        <w:t xml:space="preserve">A retest of every Critical and High finding, and a statement of what was re-tested and what was not.</w:t>
      </w:r>
    </w:p>
    <w:p>
      <w:pPr>
        <w:pStyle w:val="ListParagraph"/>
        <w:numPr>
          <w:ilvl w:val="0"/>
          <w:numId w:val="2"/>
        </w:numPr>
        <w:spacing w:after="60"/>
      </w:pPr>
      <w:r>
        <w:rPr>
          <w:rFonts w:ascii="Calibri" w:cs="Calibri" w:eastAsia="Calibri" w:hAnsi="Calibri"/>
          <w:sz w:val="19"/>
          <w:szCs w:val="19"/>
        </w:rPr>
        <w:t xml:space="preserve">The architecture observations in Part I tracked alongside the test findings, since several will be confirmed rather than discovered.</w:t>
      </w:r>
    </w:p>
    <w:p>
      <w:pPr>
        <w:pStyle w:val="Heading1"/>
        <w:spacing w:after="130" w:before="280"/>
      </w:pPr>
      <w:r>
        <w:rPr>
          <w:rFonts w:ascii="Calibri" w:cs="Calibri" w:eastAsia="Calibri" w:hAnsi="Calibri"/>
          <w:b/>
          <w:bCs/>
          <w:color w:val="0E2841"/>
          <w:sz w:val="30"/>
          <w:szCs w:val="30"/>
        </w:rPr>
        <w:t xml:space="preserve">10. Suggested sequence</w:t>
      </w:r>
    </w:p>
    <w:p>
      <w:pPr>
        <w:spacing w:after="100" w:before="0"/>
      </w:pPr>
      <w:r>
        <w:rPr>
          <w:rFonts w:ascii="Calibri" w:cs="Calibri" w:eastAsia="Calibri" w:hAnsi="Calibri"/>
          <w:sz w:val="19"/>
          <w:szCs w:val="19"/>
        </w:rPr>
        <w:t xml:space="preserve">The architecture review can start now. For the test itself, this order finds the most serious problems earliest:</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200"/>
        <w:gridCol w:w="4000"/>
        <w:gridCol w:w="9638"/>
      </w:tblGrid>
      <w:tr>
        <w:trPr>
          <w:tblHeader/>
        </w:trPr>
        <w:tc>
          <w:tcPr>
            <w:tcW w:type="dxa" w:w="1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Phase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Suites</w:t>
            </w:r>
          </w:p>
        </w:tc>
        <w:tc>
          <w:tcPr>
            <w:tcW w:type="dxa" w:w="96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Rationale</w:t>
            </w:r>
          </w:p>
        </w:tc>
      </w:tr>
      <w:tr>
        <w:tc>
          <w:tcPr>
            <w:tcW w:type="dxa" w:w="1200"/>
            <w:tcMar>
              <w:top w:type="dxa" w:w="60"/>
              <w:left w:type="dxa" w:w="90"/>
              <w:bottom w:type="dxa" w:w="60"/>
              <w:right w:type="dxa" w:w="90"/>
            </w:tcMar>
          </w:tcPr>
          <w:p>
            <w:pPr>
              <w:spacing w:after="0"/>
            </w:pPr>
            <w:r>
              <w:rPr>
                <w:rFonts w:ascii="Calibri" w:cs="Calibri" w:eastAsia="Calibri" w:hAnsi="Calibri"/>
                <w:b/>
                <w:bCs/>
                <w:sz w:val="17"/>
                <w:szCs w:val="17"/>
              </w:rPr>
              <w:t xml:space="preserve">1</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PT-09 infrastructure, PT-07 transport and secrets</w:t>
            </w:r>
          </w:p>
        </w:tc>
        <w:tc>
          <w:tcPr>
            <w:tcW w:type="dxa" w:w="9638"/>
            <w:tcMar>
              <w:top w:type="dxa" w:w="60"/>
              <w:left w:type="dxa" w:w="90"/>
              <w:bottom w:type="dxa" w:w="60"/>
              <w:right w:type="dxa" w:w="90"/>
            </w:tcMar>
          </w:tcPr>
          <w:p>
            <w:pPr>
              <w:spacing w:after="0"/>
            </w:pPr>
            <w:r>
              <w:rPr>
                <w:rFonts w:ascii="Calibri" w:cs="Calibri" w:eastAsia="Calibri" w:hAnsi="Calibri"/>
                <w:sz w:val="17"/>
                <w:szCs w:val="17"/>
              </w:rPr>
              <w:t xml:space="preserve">Establish what is reachable and whether credentials can simply be read. Everything else is cheaper if this comes first.</w:t>
            </w:r>
          </w:p>
        </w:tc>
      </w:tr>
      <w:tr>
        <w:tc>
          <w:tcPr>
            <w:tcW w:type="dxa" w:w="1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2</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PT-01 authentication, PT-02 vertical access</w:t>
            </w:r>
          </w:p>
        </w:tc>
        <w:tc>
          <w:tcPr>
            <w:tcW w:type="dxa" w:w="96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Getting in, and getting up. The highest-value failures.</w:t>
            </w:r>
          </w:p>
        </w:tc>
      </w:tr>
      <w:tr>
        <w:tc>
          <w:tcPr>
            <w:tcW w:type="dxa" w:w="1200"/>
            <w:tcMar>
              <w:top w:type="dxa" w:w="60"/>
              <w:left w:type="dxa" w:w="90"/>
              <w:bottom w:type="dxa" w:w="60"/>
              <w:right w:type="dxa" w:w="90"/>
            </w:tcMar>
          </w:tcPr>
          <w:p>
            <w:pPr>
              <w:spacing w:after="0"/>
            </w:pPr>
            <w:r>
              <w:rPr>
                <w:rFonts w:ascii="Calibri" w:cs="Calibri" w:eastAsia="Calibri" w:hAnsi="Calibri"/>
                <w:b/>
                <w:bCs/>
                <w:sz w:val="17"/>
                <w:szCs w:val="17"/>
              </w:rPr>
              <w:t xml:space="preserve">3</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PT-03 multi-tenancy, PT-10 audit integrity</w:t>
            </w:r>
          </w:p>
        </w:tc>
        <w:tc>
          <w:tcPr>
            <w:tcW w:type="dxa" w:w="9638"/>
            <w:tcMar>
              <w:top w:type="dxa" w:w="60"/>
              <w:left w:type="dxa" w:w="90"/>
              <w:bottom w:type="dxa" w:w="60"/>
              <w:right w:type="dxa" w:w="90"/>
            </w:tcMar>
          </w:tcPr>
          <w:p>
            <w:pPr>
              <w:spacing w:after="0"/>
            </w:pPr>
            <w:r>
              <w:rPr>
                <w:rFonts w:ascii="Calibri" w:cs="Calibri" w:eastAsia="Calibri" w:hAnsi="Calibri"/>
                <w:sz w:val="17"/>
                <w:szCs w:val="17"/>
              </w:rPr>
              <w:t xml:space="preserve">The two controls this system exists to provide: keeping entities apart and keeping the record.</w:t>
            </w:r>
          </w:p>
        </w:tc>
      </w:tr>
      <w:tr>
        <w:tc>
          <w:tcPr>
            <w:tcW w:type="dxa" w:w="1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4</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PT-04 injection, PT-08 client-side</w:t>
            </w:r>
          </w:p>
        </w:tc>
        <w:tc>
          <w:tcPr>
            <w:tcW w:type="dxa" w:w="96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classic surfaces, now with knowledge of the data model.</w:t>
            </w:r>
          </w:p>
        </w:tc>
      </w:tr>
      <w:tr>
        <w:tc>
          <w:tcPr>
            <w:tcW w:type="dxa" w:w="1200"/>
            <w:tcMar>
              <w:top w:type="dxa" w:w="60"/>
              <w:left w:type="dxa" w:w="90"/>
              <w:bottom w:type="dxa" w:w="60"/>
              <w:right w:type="dxa" w:w="90"/>
            </w:tcMar>
          </w:tcPr>
          <w:p>
            <w:pPr>
              <w:spacing w:after="0"/>
            </w:pPr>
            <w:r>
              <w:rPr>
                <w:rFonts w:ascii="Calibri" w:cs="Calibri" w:eastAsia="Calibri" w:hAnsi="Calibri"/>
                <w:b/>
                <w:bCs/>
                <w:sz w:val="17"/>
                <w:szCs w:val="17"/>
              </w:rPr>
              <w:t xml:space="preserve">5</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PT-05 uploads, PT-06 business logic</w:t>
            </w:r>
          </w:p>
        </w:tc>
        <w:tc>
          <w:tcPr>
            <w:tcW w:type="dxa" w:w="9638"/>
            <w:tcMar>
              <w:top w:type="dxa" w:w="60"/>
              <w:left w:type="dxa" w:w="90"/>
              <w:bottom w:type="dxa" w:w="60"/>
              <w:right w:type="dxa" w:w="90"/>
            </w:tcMar>
          </w:tcPr>
          <w:p>
            <w:pPr>
              <w:spacing w:after="0"/>
            </w:pPr>
            <w:r>
              <w:rPr>
                <w:rFonts w:ascii="Calibri" w:cs="Calibri" w:eastAsia="Calibri" w:hAnsi="Calibri"/>
                <w:sz w:val="17"/>
                <w:szCs w:val="17"/>
              </w:rPr>
              <w:t xml:space="preserve">The system-specific surface, which needs the most understanding and is where a generic test would stop.</w:t>
            </w:r>
          </w:p>
        </w:tc>
      </w:tr>
    </w:tbl>
    <w:p>
      <w:pPr>
        <w:spacing w:after="200" w:before="0"/>
      </w:pPr>
      <w:r>
        <w:rPr>
          <w:rFonts w:ascii="Calibri" w:cs="Calibri" w:eastAsia="Calibri" w:hAnsi="Calibri"/>
          <w:sz w:val="19"/>
          <w:szCs w:val="19"/>
        </w:rPr>
        <w:t xml:space="preserve"/>
      </w:r>
    </w:p>
    <w:tbl>
      <w:tblPr>
        <w:tblW w:type="dxa" w:w="108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3600"/>
        <w:gridCol w:w="4600"/>
      </w:tblGrid>
      <w:tr>
        <w:trPr>
          <w:tblHeader/>
        </w:trPr>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Role</w:t>
            </w:r>
          </w:p>
        </w:tc>
        <w:tc>
          <w:tcPr>
            <w:tcW w:type="dxa" w:w="3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Name</w:t>
            </w:r>
          </w:p>
        </w:tc>
        <w:tc>
          <w:tcPr>
            <w:tcW w:type="dxa" w:w="4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Signature and date</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Prepared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Reviewed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Authorised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Inventory — Security Architecture Review and Penetration Test Plan</dc:title>
  <dc:creator>BC Inventory Reporting System</dc:creator>
  <cp:lastModifiedBy>Un-named</cp:lastModifiedBy>
  <cp:revision>1</cp:revision>
  <dcterms:created xsi:type="dcterms:W3CDTF">2026-09-02T09:47:09.849Z</dcterms:created>
  <dcterms:modified xsi:type="dcterms:W3CDTF">2026-09-02T09:47:09.850Z</dcterms:modified>
</cp:coreProperties>
</file>

<file path=docProps/custom.xml><?xml version="1.0" encoding="utf-8"?>
<Properties xmlns="http://schemas.openxmlformats.org/officeDocument/2006/custom-properties" xmlns:vt="http://schemas.openxmlformats.org/officeDocument/2006/docPropsVTypes"/>
</file>