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0E8A80"/>
          <w:sz w:val="30"/>
          <w:szCs w:val="30"/>
        </w:rPr>
        <w:t xml:space="preserve">PRODUCT REQUIREMENT DOCUMENT</w:t>
      </w:r>
    </w:p>
    <w:p>
      <w:pPr>
        <w:spacing w:after="200"/>
        <w:jc w:val="center"/>
      </w:pPr>
      <w:r>
        <w:rPr>
          <w:b/>
          <w:bCs/>
          <w:color w:val="16294F"/>
          <w:sz w:val="56"/>
          <w:szCs w:val="56"/>
        </w:rPr>
        <w:t xml:space="preserve">Procurement Control Tower</w:t>
      </w:r>
    </w:p>
    <w:p>
      <w:pPr>
        <w:spacing w:after="900"/>
        <w:jc w:val="center"/>
      </w:pPr>
      <w:r>
        <w:rPr>
          <w:color w:val="555555"/>
          <w:sz w:val="24"/>
          <w:szCs w:val="24"/>
        </w:rPr>
        <w:t xml:space="preserve">Single-file SAP procurement analytics dashboard — PR → PO → GR end-to-end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1.0 (build v50 series)</w:t>
            </w:r>
          </w:p>
        </w:tc>
      </w:tr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 July 2026</w:t>
            </w:r>
          </w:p>
        </w:tc>
      </w:tr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Procurement / Supply Chain — KPN Downstream</w:t>
            </w:r>
          </w:p>
        </w:tc>
      </w:tr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Standalone HTML (browser, offline) · Google Apps Script web app (Drive-fed)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color w:val="16294F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10" w:before="0"/>
      </w:pPr>
      <w:r>
        <w:rPr>
          <w:i/>
          <w:iCs/>
          <w:color w:val="888888"/>
          <w:sz w:val="17"/>
          <w:szCs w:val="17"/>
        </w:rPr>
        <w:t xml:space="preserve">(In Word: References → Update Table to refresh page numbers.)</w:t>
      </w:r>
    </w:p>
    <w:p>
      <w:r>
        <w:br w:type="page"/>
      </w:r>
    </w:p>
    <w:p>
      <w:pPr>
        <w:pStyle w:val="Heading1"/>
        <w:spacing w:after="140" w:before="300"/>
      </w:pPr>
      <w:r>
        <w:rPr>
          <w:color w:val="16294F"/>
        </w:rPr>
        <w:t xml:space="preserve">1. Executive Summary</w:t>
      </w:r>
    </w:p>
    <w:p>
      <w:pPr>
        <w:spacing w:after="110" w:before="0"/>
      </w:pPr>
      <w:r>
        <w:rPr>
          <w:sz w:val="21"/>
          <w:szCs w:val="21"/>
        </w:rPr>
        <w:t xml:space="preserve">The Procurement Control Tower is a self-contained HTML application that transforms five raw SAP list exports (PR Report, PR Release, PO Report, PO Release, GR List) plus an FX rate table into a complete procure-to-receive analytics suite. All parsing and analysis run client-side in the browser: no server, no installation, and no procurement data ever leaves the user’s machine in the offline deployment. A Google Apps Script deployment adds shared, URL-based access with a Google Drive folder as the single data store, automatic loading on page open, chunked file transfer with retries, and a guided-error UX.</w:t>
      </w:r>
    </w:p>
    <w:p>
      <w:pPr>
        <w:spacing w:after="110" w:before="0"/>
      </w:pPr>
      <w:r>
        <w:rPr>
          <w:sz w:val="21"/>
          <w:szCs w:val="21"/>
        </w:rPr>
        <w:t xml:space="preserve">The product covers the full document flow — requisition, approval, ordering, receipt — with executive KPIs (cycle times, demand realism, expedite effectiveness, GR/IR and commitment aging), governance controls (WBS/Appropriation-Request thresholds, retro-PO detection, STO segregation), multi-currency USD consolidation under a strict no-silent-conversion rule, and exact-set drill-downs from every chart to the underlying document lines.</w:t>
      </w:r>
    </w:p>
    <w:p>
      <w:pPr>
        <w:pStyle w:val="Heading1"/>
        <w:spacing w:after="140" w:before="300"/>
      </w:pPr>
      <w:r>
        <w:rPr>
          <w:color w:val="16294F"/>
        </w:rPr>
        <w:t xml:space="preserve">2. Objectives &amp;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58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Zero-friction data refresh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One folder drop (offline) or one page open (web app) loads all 5 exports + FX and completes analysis without user configuration.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Trustworthy numbers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 silently wrong figures: USD shown only when every currency has a rate; token prices, STOs, and data anomalies flagged in Data Check; drill counts equal chart counts exactly.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Governance visibility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WBS/AR non-compliance countable and drillable at PR level (total and open pipeline) with per-item thresholds (material ≥ IDR 30M, service ≥ IDR 150M).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Decision-grade KPIs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KPI set (Demand Realism, Expedite Effectiveness, GR/IR &gt;60d, Commitment &gt;60d) reproduces the reference analysis figures on the same data.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Shared deployment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Colleagues open one URL; data loads from Drive automatically with visible progress; failures produce guided, actionable messages.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3. Users &amp;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Needs</w:t>
            </w:r>
          </w:p>
        </w:tc>
        <w:tc>
          <w:tcPr>
            <w:tcW w:type="dxa" w:w="3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features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Procurement Analyst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Daily operational view; find stuck documents; answer “where is my PR/PO”.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Open Items tab, status drills, aging severity, search, detail table.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Procurement Manager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Cycle times, workload, vendor spend, monthly trends, expedite abuse.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Executive &amp; PO tabs, P1 KPIs, purchasing-group charts, Vendor 360.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Approver (PIC)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Personal pending queue; what is waiting on me.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Pending approvals by PIC with direct-PO fallback drill.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Auditor / Controls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WBS/AR compliance, retro POs, deleted-after-approval, data lineage.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WBS cards, Data Check warnings, drill-to-line evidence.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Administrator (owner)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Deploy, feed data, control access.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GAS deployment, Drive data folder, versioning, access settings.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4. Scope</w:t>
      </w:r>
    </w:p>
    <w:p>
      <w:pPr>
        <w:pStyle w:val="Heading3"/>
        <w:spacing w:after="90" w:before="180"/>
      </w:pPr>
      <w:r>
        <w:rPr>
          <w:color w:val="0E8A80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Ingestion of the 5 SAP exports (legacy multi-entity layout and new EU layout) and the SAP FX rate workbook, by content recognition.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Client-side analysis: PR–PO linking (both directions, 1 PR → N POs), GR line joining, status derivation, STO segregation, WBS policy checks, FX consolidation.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Presentation: 8 tabs, KPI cards, interactive charts with exact-set drill-downs, entity popups (vendor / material / category), detail table with per-user layout.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Deployment: offline single file; Google Apps Script web app with Drive-folder data store, autoload, chunked transfer, cancel, progress modal.</w:t>
      </w:r>
    </w:p>
    <w:p>
      <w:pPr>
        <w:pStyle w:val="Heading3"/>
        <w:spacing w:after="90" w:before="180"/>
      </w:pPr>
      <w:r>
        <w:rPr>
          <w:color w:val="0E8A8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Writing back to SAP; workflow actions (approve/release) — the product is read-only analytics.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Live SAP connectivity (RFC/OData); data arrives via exported files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User management beyond the hosting platform’s access control.</w:t>
      </w:r>
    </w:p>
    <w:p>
      <w:pPr>
        <w:pStyle w:val="Heading1"/>
        <w:spacing w:after="140" w:before="300"/>
      </w:pPr>
      <w:r>
        <w:rPr>
          <w:color w:val="16294F"/>
        </w:rPr>
        <w:t xml:space="preserve">5. System Architecture</w:t>
      </w:r>
    </w:p>
    <w:p>
      <w:pPr>
        <w:spacing w:after="110" w:before="0"/>
      </w:pPr>
      <w:r>
        <w:rPr>
          <w:sz w:val="21"/>
          <w:szCs w:val="21"/>
        </w:rPr>
        <w:t xml:space="preserve">One HTML file (~500 KB) containing all logic. Libraries (SheetJS for Excel parsing, Chart.js for visuals) load from cdnjs. State lives in memory; user preferences (column mappings, order, FX rates, exclusions) persist in browser localStorage. In the web-app deployment, an Apps Script server file (Code.gs) serves the HTML and bridges a Drive folder, transferring files to the client in 2 MB base64 chunks; parsing still happens entirely client-side.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Ingest layer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Folder picker + fallback dialog, drag-drop, file inputs, Drive autoload; content-based file-type detection; FX absorption; shared progress modal with cancel (Drive stage).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Data Check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Column-spec validation with aliases, per-row source/header remapping (persisted), structural warnings (token prices, STO share, zero valuations, linkage notes).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Analysis engine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Row model build (PR items × PO links), GR join, status machine, STO flagging, WBS policy, aging, FX conversion, KPI computation.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Presentation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Tabs, cards, charts, drill registry, popups, detail table with drag-drop columns.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GAS bridge (optional)</w:t>
            </w:r>
          </w:p>
        </w:tc>
        <w:tc>
          <w:tcPr>
            <w:tcW w:type="dxa" w:w="6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doGet HTML service; listDataFiles / getDataFile / getDataFileChunk over a configured Drive folder; executes as owner.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6. Data Feed Specification</w:t>
      </w:r>
    </w:p>
    <w:p>
      <w:pPr>
        <w:spacing w:after="110" w:before="0"/>
      </w:pPr>
      <w:r>
        <w:rPr>
          <w:sz w:val="21"/>
          <w:szCs w:val="21"/>
        </w:rPr>
        <w:t xml:space="preserve">Files are recognised by their column signatures, never by filename. Both generations of exports are supported; the PO-side PR reference is authoritative when present.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Feed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 (subset)</w:t>
            </w:r>
          </w:p>
        </w:tc>
        <w:tc>
          <w:tcPr>
            <w:tcW w:type="dxa" w:w="3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 Report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Purchase Requisition, Item, Material, Total Value, Requisition date, Deliv. date, Requirement Urgency, WBS Element, Release/Deletion indicators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Demand backbone; one analytical row per PR item; WBS policy input. Legacy layout may instead carry PR-side PO references.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 Report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Purchasing Document, Item, Purchase Requisition + Item of requisition (link), Net Price, Per, Net Order Value, Currency, Delivery date (EINDT), Acct Assignment Cat., Req. Tracking Number, Purchasing Doc. Type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Order facts; authoritative PR link enabling 1 PR → N POs; STO identification (*70 doc types) with RTN back-reference; confirmed delivery dates.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GR List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Purchase order, Item, Movement type (101/102/122), Posting Date, Quantity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Receipt joining at PO-line level; reversals netted; STO receipts retained for delivery analytics.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 / PO Release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 No / PO No, PIC Release, Rel Seq/Code, Approve Date, Status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Approval flow, bottleneck and pending-queue analytics.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FX rates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SAP layouts: Date|From|To|Rate[|Ratio] or Month|From|To|Average of Rate; or simple Currency|Rate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USD consolidation; newest month wins; US$ normalised to USD; auto-absorbed from the data folder.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7. System Process Flows (L0 → L2)</w:t>
      </w:r>
    </w:p>
    <w:p>
      <w:pPr>
        <w:pStyle w:val="Heading2"/>
        <w:spacing w:after="110" w:before="240"/>
      </w:pPr>
      <w:r>
        <w:rPr>
          <w:color w:val="16294F"/>
        </w:rPr>
        <w:t xml:space="preserve">7.1 L0 — Context</w:t>
      </w:r>
    </w:p>
    <w:p>
      <w:pPr>
        <w:spacing w:after="110" w:before="0"/>
      </w:pPr>
      <w:r>
        <w:rPr>
          <w:sz w:val="21"/>
          <w:szCs w:val="21"/>
        </w:rPr>
        <w:t xml:space="preserve">Highest-level view: the product sits between SAP’s standard list exports and procurement decisions.</w:t>
      </w:r>
    </w:p>
    <w:p>
      <w:pPr>
        <w:spacing w:after="140" w:before="60"/>
      </w:pPr>
      <w:r>
        <w:rPr>
          <w:b/>
          <w:bCs/>
          <w:color w:val="16294F"/>
          <w:sz w:val="20"/>
          <w:szCs w:val="20"/>
        </w:rPr>
        <w:t xml:space="preserve">SAP ECC/S4 (ME5A · ME2N · MB51 · release lists)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Export bundle (5 XLSX + FX)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Procurement Control Tower (browser)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Insights · Drills · Governance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Actor/System</w:t>
            </w:r>
          </w:p>
        </w:tc>
        <w:tc>
          <w:tcPr>
            <w:tcW w:type="dxa" w:w="7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L0 interaction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SAP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Source of truth; users export the five lists + rate table on a refresh cadence (daily/weekly).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Data store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 folder (offline) or Google Drive folder (web app). Same files either way.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Ingests, validates, analyses, presents; never writes back.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7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Consume KPIs and drills; act in SAP (expedite, fix WBS, close POs) based on findings.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7.2 L1 — Major processes</w:t>
      </w:r>
    </w:p>
    <w:p>
      <w:pPr>
        <w:spacing w:after="140" w:before="60"/>
      </w:pPr>
      <w:r>
        <w:rPr>
          <w:b/>
          <w:bCs/>
          <w:color w:val="16294F"/>
          <w:sz w:val="20"/>
          <w:szCs w:val="20"/>
        </w:rPr>
        <w:t xml:space="preserve">P1 Acquire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P2 Validate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P3 Analyse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P4 Present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16294F"/>
          <w:sz w:val="20"/>
          <w:szCs w:val="20"/>
        </w:rPr>
        <w:t xml:space="preserve">P5 Drill &amp; Act</w:t>
      </w:r>
    </w:p>
    <w:p>
      <w:pPr>
        <w:spacing w:after="140" w:before="60"/>
      </w:pPr>
      <w:r>
        <w:rPr>
          <w:b/>
          <w:bCs/>
          <w:color w:val="B45309"/>
          <w:sz w:val="20"/>
          <w:szCs w:val="20"/>
        </w:rPr>
        <w:t xml:space="preserve">P6 Administer (deploy · feed · access)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52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Acquire data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Obtain the six files from folder, drag-drop, dialog, or Drive; show progress; allow cancel (Drive).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Validate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Detect file types by content; check layout vs spec; surface warnings; accept user remappings.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Analyse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Build the row model, join documents, derive statuses, apply business rules (STO, WBS, FX), compute KPIs.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Present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Render tabs, cards, charts, tables under active filters and exclusions.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Drill &amp; act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Open exact underlying rows from any figure; inspect entities (vendor/material); export lists.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Administer</w:t>
            </w:r>
          </w:p>
        </w:tc>
        <w:tc>
          <w:tcPr>
            <w:tcW w:type="dxa" w:w="5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Deploy the web app, maintain the Drive data folder, control access, publish versions.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7.3 L2 — Process decomposition</w:t>
      </w:r>
    </w:p>
    <w:p>
      <w:pPr>
        <w:pStyle w:val="Heading3"/>
        <w:spacing w:after="90" w:before="180"/>
      </w:pPr>
      <w:r>
        <w:rPr>
          <w:color w:val="0E8A80"/>
        </w:rPr>
        <w:t xml:space="preserve">P1 Acquire — L2</w:t>
      </w:r>
    </w:p>
    <w:p>
      <w:pPr>
        <w:spacing w:after="140" w:before="60"/>
      </w:pPr>
      <w:r>
        <w:rPr>
          <w:b/>
          <w:bCs/>
          <w:color w:val="0E8A80"/>
          <w:sz w:val="20"/>
          <w:szCs w:val="20"/>
        </w:rPr>
        <w:t xml:space="preserve">1.1 Choose source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1.2 Enumerate files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1.3 Transfer (Drive: 2MB chunks, 3× retry, cancellable)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1.4 Read bytes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1.5 Hand to P2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9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Sources: 📂 folder picker (modern API, falls back to directory dialog on file:// or sandboxed iframes), drag-drop, multi-file input, or Drive autoload (fires once on open inside the web app when no data is loaded).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Offline: all files in the chosen folder. Drive: listDataFiles returns Excel files with name/size/id.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Drive transfers per file in 2 MB base64 chunks; each chunk retries up to 3× with backoff on channel failures (“HTTP 0”); ✕ Cancel stops the loop and leaves the session unchanged; progress modal shows file i/N, KB, received bytes.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Bytes normalised into a fresh typed array before parsing (defensive against exotic host contexts).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1.5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Progress modal shows per-file ✓ checklist as files are parsed in P2; “Running the analysis…” then auto-close on completion; red bar + Close on error.</w:t>
            </w:r>
          </w:p>
        </w:tc>
      </w:tr>
    </w:tbl>
    <w:p>
      <w:pPr>
        <w:pStyle w:val="Heading3"/>
        <w:spacing w:after="90" w:before="180"/>
      </w:pPr>
      <w:r>
        <w:rPr>
          <w:color w:val="0E8A80"/>
        </w:rPr>
        <w:t xml:space="preserve">P2 Validate — L2</w:t>
      </w:r>
    </w:p>
    <w:p>
      <w:pPr>
        <w:spacing w:after="140" w:before="60"/>
      </w:pPr>
      <w:r>
        <w:rPr>
          <w:b/>
          <w:bCs/>
          <w:color w:val="0E8A80"/>
          <w:sz w:val="20"/>
          <w:szCs w:val="20"/>
        </w:rPr>
        <w:t xml:space="preserve">2.1 Detect type by columns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2.2 Absorb FX table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2.3 Spec check + aliases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2.4 User remap (persisted)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2.5 Structural warnings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Signatures on normalised headers assign pr/po/gr/prel/por; unmatched files go to “unrecognised” (never guessed).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Unrecognised sheets are tested as rate tables (From/To+rate, or compact Currency|Rate) and absorbed into FX with a success note.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Data Check lists every expected column per feed with required/optional status; known header variants auto-heal (e.g. Quantity ↔ Order Quantity; Delivery date variants).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Per-row source-file and header remapping UI; choices persist in the browser and re-apply on future loads.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Warnings computed on the parsed data: token/zero prices (STOs excluded), STO population note, valuation coverage, GR linkage notes, FX gaps.</w:t>
            </w:r>
          </w:p>
        </w:tc>
      </w:tr>
    </w:tbl>
    <w:p>
      <w:pPr>
        <w:pStyle w:val="Heading3"/>
        <w:spacing w:after="90" w:before="180"/>
      </w:pPr>
      <w:r>
        <w:rPr>
          <w:color w:val="0E8A80"/>
        </w:rPr>
        <w:t xml:space="preserve">P3 Analyse — L2</w:t>
      </w:r>
    </w:p>
    <w:p>
      <w:pPr>
        <w:spacing w:after="140" w:before="60"/>
      </w:pPr>
      <w:r>
        <w:rPr>
          <w:b/>
          <w:bCs/>
          <w:color w:val="0E8A80"/>
          <w:sz w:val="20"/>
          <w:szCs w:val="20"/>
        </w:rPr>
        <w:t xml:space="preserve">3.1 Parse PR items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3.2 Parse PO lines + PR-link map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3.3 Expand rows (1 PR item × N PO lines)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3.4 Join GR at line level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3.5 Status machine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3.6 Business rules (STO · WBS · FX)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3.7 KPIs &amp; stashes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One candidate row per active PR item; deleted items flagged; WBS Element, urgency, dates, valuation carried.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 lines keyed PO|Item with price, per-unit, value, currency, EINDT, acct assignment, doc type, Req. Tracking; poByPR map from Purchase Requisition + Item of requisition.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Authoritative PO-side links expand a PR item into one row per PO line; extras marked so PR-level counts stay single; legacy PR-side references honoured when the new link is absent.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First 101 receipt per PO line attaches GR date/qty; 102/122 net against receipts; complete GR export means no orphan reconstruction needed.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3.5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Status per row: Unapproved PR → PR Approved-No PO → PO-Not Approved / HOLD PO → PO-No GR → Delivered; deletions surface as PR/PO-Deleted.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3.6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STO: doc types ending “70” are transport documents — excluded from price/quantity/PO-count analytics, retained in delivery analytics, RTN links to the purchase PO. WBS: material items ≥ IDR 30M and service items (no material code) ≥ IDR 150M require a WBS Element. FX: per-currency aggregation; USD shown only when every present currency has a rate, else honest per-currency fallback with banner.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3.7</w:t>
            </w:r>
          </w:p>
        </w:tc>
        <w:tc>
          <w:tcPr>
            <w:tcW w:type="dxa" w:w="7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KPIs computed with exact row-set stashes so every chart/card drill opens precisely its own rows.</w:t>
            </w:r>
          </w:p>
        </w:tc>
      </w:tr>
    </w:tbl>
    <w:p>
      <w:pPr>
        <w:pStyle w:val="Heading3"/>
        <w:spacing w:after="90" w:before="180"/>
      </w:pPr>
      <w:r>
        <w:rPr>
          <w:color w:val="0E8A80"/>
        </w:rPr>
        <w:t xml:space="preserve">P4 Present / P5 Drill — L2</w:t>
      </w:r>
    </w:p>
    <w:p>
      <w:pPr>
        <w:spacing w:after="140" w:before="60"/>
      </w:pPr>
      <w:r>
        <w:rPr>
          <w:b/>
          <w:bCs/>
          <w:color w:val="0E8A80"/>
          <w:sz w:val="20"/>
          <w:szCs w:val="20"/>
        </w:rPr>
        <w:t xml:space="preserve">4.1 Tabs render (deferred per tab)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4.2 Cards + charts from stashes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5.1 Click → registry lookup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5.2 Rows drill → popup table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0E8A80"/>
          <w:sz w:val="20"/>
          <w:szCs w:val="20"/>
        </w:rPr>
        <w:t xml:space="preserve">5.3 No PR-linked rows → PO Report lines fallback</w:t>
      </w:r>
    </w:p>
    <w:p>
      <w:pPr>
        <w:spacing w:after="110" w:before="0"/>
      </w:pPr>
      <w:r>
        <w:rPr>
          <w:sz w:val="21"/>
          <w:szCs w:val="21"/>
        </w:rPr>
        <w:t xml:space="preserve">Popups: Vendor 360 (spend by month/material, per-currency composition), Material (KPIs, vendor/area shares, full PO history with Price Unit and token/STO tagging), Category (chemical level-2 grouping), generic drill (adaptive value units: millions only at ≥ 1M).</w:t>
      </w:r>
    </w:p>
    <w:p>
      <w:pPr>
        <w:pStyle w:val="Heading3"/>
        <w:spacing w:after="90" w:before="180"/>
      </w:pPr>
      <w:r>
        <w:rPr>
          <w:color w:val="0E8A80"/>
        </w:rPr>
        <w:t xml:space="preserve">P6 Administer — L2</w:t>
      </w:r>
    </w:p>
    <w:p>
      <w:pPr>
        <w:spacing w:after="140" w:before="60"/>
      </w:pPr>
      <w:r>
        <w:rPr>
          <w:b/>
          <w:bCs/>
          <w:color w:val="B45309"/>
          <w:sz w:val="20"/>
          <w:szCs w:val="20"/>
        </w:rPr>
        <w:t xml:space="preserve">6.1 Create GAS project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B45309"/>
          <w:sz w:val="20"/>
          <w:szCs w:val="20"/>
        </w:rPr>
        <w:t xml:space="preserve">6.2 Paste Code.gs + index.html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B45309"/>
          <w:sz w:val="20"/>
          <w:szCs w:val="20"/>
        </w:rPr>
        <w:t xml:space="preserve">6.3 Set DATA_FOLDER_ID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B45309"/>
          <w:sz w:val="20"/>
          <w:szCs w:val="20"/>
        </w:rPr>
        <w:t xml:space="preserve">6.4 Authorize Drive (owner, once)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B45309"/>
          <w:sz w:val="20"/>
          <w:szCs w:val="20"/>
        </w:rPr>
        <w:t xml:space="preserve">6.5 Deploy · Execute as Me · org access</w:t>
      </w:r>
      <w:r>
        <w:rPr>
          <w:b/>
          <w:bCs/>
          <w:color w:val="0E8A80"/>
          <w:sz w:val="20"/>
          <w:szCs w:val="20"/>
        </w:rPr>
        <w:t xml:space="preserve">   →   </w:t>
      </w:r>
      <w:r>
        <w:rPr>
          <w:b/>
          <w:bCs/>
          <w:color w:val="B45309"/>
          <w:sz w:val="20"/>
          <w:szCs w:val="20"/>
        </w:rPr>
        <w:t xml:space="preserve">6.6 Update = replace Drive files / paste + New version</w:t>
      </w:r>
    </w:p>
    <w:p>
      <w:pPr>
        <w:pStyle w:val="Heading1"/>
        <w:spacing w:after="140" w:before="300"/>
      </w:pPr>
      <w:r>
        <w:rPr>
          <w:color w:val="16294F"/>
        </w:rPr>
        <w:t xml:space="preserve">8. Functional Requirements &amp; User Stories</w:t>
      </w:r>
    </w:p>
    <w:p>
      <w:pPr>
        <w:spacing w:after="110" w:before="0"/>
      </w:pPr>
      <w:r>
        <w:rPr>
          <w:sz w:val="21"/>
          <w:szCs w:val="21"/>
        </w:rPr>
        <w:t xml:space="preserve">Every functionality carries a positive (happy-path) and a negative (failure/edge) story with acceptance criteria. IDs are stable for traceability.</w:t>
      </w:r>
    </w:p>
    <w:p>
      <w:pPr>
        <w:pStyle w:val="Heading2"/>
        <w:spacing w:after="110" w:before="240"/>
      </w:pPr>
      <w:r>
        <w:rPr>
          <w:color w:val="16294F"/>
        </w:rPr>
        <w:t xml:space="preserve">F1 — Data Acquisition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analyst, I drop my SAP export folder on the dashboard so that all five files and the FX table load in one action.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5 types detected by content; FX absorbed; success hint names the folder and FX count; analysis starts automatically.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analyst, I pick a folder missing two exports so that I know exactly what to fetch.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Hint lists missing feeds by name; loaded files remain staged; analysis does not run on a partial bundle.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web-app user, I open the URL so that data loads from Drive with zero clicks.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Autoload fires once when the bridge is present and no data is loaded; progress modal shows listing → per-file download (KB) → parsing → auto-close.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web-app user on a flaky network, a chunk transfer drops (HTTP 0) so that the load still completes.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Each chunk retries up to 3× with visible “↻ Retry n/3”; only after exhaustion does a red-bar error appear, explaining the channel drop.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F1.3+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 mid-download, I press ✕ Cancel so that nothing changes.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Loop stops (≤1 in-flight chunk discarded), modal closes, button re-enabled, hint says nothing was changed; no partial data registered.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F1.3−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user, I try to cancel during parsing so that I am not misled.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Cancel is hidden once parsing starts; analysis cannot be half-stopped, and the UI does not pretend otherwise.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F1.4+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offline user, my folder auto-refreshes hourly so that the dashboard tracks file updates.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Re-enumeration on timer; changed bundle re-parses; progress modal appears and self-closes.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F1.4−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 opening the offline file, I see no Drive button so that I am not offered a dead control.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Outside Apps Script the bridge is absent; the button stays hidden; folder/drag-drop paths unaffected.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F2 — File Detection &amp; Data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F2.1+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user, files are recognised by their columns so that renamed files still load.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Signature match on normalised headers; filename plays no role; both legacy and new EU layouts detect correctly.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F2.1−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user, an unrelated Excel in the folder is not force-fitted so that data cannot be corrupted.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Non-matching, non-FX files are listed as unrecognised; nothing is guessed into a feed slot.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F2.2+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data steward, I remap a renamed column once so that future loads self-heal.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Per-row source + header dropdowns; mapping persists in the browser and re-applies; required-column status updates live.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F2.2−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data steward, a required column is truly absent so that I get a clear red flag, not silent zeros.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Data Check marks the feed red with the missing column named; dependent cards show — with tooltips rather than fabricated values.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F2.3+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auditor, structural anomalies are declared on load so that I trust what I read.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Warnings enumerate token/zero-priced lines (with top vendors), STO population, valuation coverage; each is informational with counts.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F2.3−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auditor, STO zero values are not mislabelled as token prices so that the warning stays meaningful.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Token-price warning excludes *70 lines by rule; on reference data it reports the genuine 49, not 4,302.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F3 — FX &amp; Currency Consolidation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F3.1+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manager, I upload the SAP rate file (or keep it in the data folder) so that everything converts to USD.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three layouts parse; newest month wins; US$ normalised; “✓ loaded N currencies”; converted views switch to USD automatically.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F3.1−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manager with no rates loaded, I still see amounts so that the pivot is never blank.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Vendors × Materials falls back to per-currency display with a top amber banner naming missing currencies; sorting uses IDR values; nothing renders empty.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F3.2+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reader, USD figures are only shown when complete so that totals are never silently understated.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Any converted figure requires a rate for every present currency; otherwise per-currency output with an explicit note (e.g. “IDR-based %”).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F3.2−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reader, a vendor with mixed currencies is not summed raw so that “B IDR” never contains dollars.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Vendor spend aggregates per currency; all-rated → M USD; else IDR-only bars labelled “IDR POs only”.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F4 — Analysis Engine &amp;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analyst, one PR item sourced from many POs appears correctly so that split sourcing is visible, not double-counted.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PO-side links expand rows per PO line; PR-level counts use primary rows only; split counter reported; reference data: 645 split items, max 33 POs.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analyst, a PR whose PO reference is dangling still shows so that nothing disappears.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Unresolvable references keep the PR-only row with its declared status; link-suspect rows never fabricate PO quantities.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logistics user, STOs (*70) are treated as transport so that purchase analytics stay clean.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 lines excluded from routine materials, PO count/avg, category quantities and price analytics; receipts retained in Delivery; RTN shows the purchase PO; 🚚 tagging in popups.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logistics user, an 80-series doc type is NOT auto-classified so that unspecified types are not guessed.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Rule is ends-with-70 exactly; other series flow as normal purchases until the business specifies otherwise.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F4.3+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controller, over-threshold PRs without WBS are counted so that AR compliance is measurable.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Material ≥ 30M / service ≥ 150M per item; PR-level count + item count + value; drill lists items; open-pipeline variant on the Open tab.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F4.3−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controller, exports without the WBS column degrade gracefully so that old data does not fake compliance.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Card shows “no WBS column in this export” instead of 0 violations; nothing counts as compliant by absence of data.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F4.4+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analyst, GR reversals are netted so that Delivered means delivered.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102/122 offset 101 receipts at line level; reversal rate visible; STO receipts included in delivery views.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F4.4−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analyst, a GR row without a PO match is not attached blindly so that receipts never migrate across documents.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Line-key join only (with controlled single-line fallback); unmatched receipts are reported, not forced.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F5 — KPIs &amp;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F5.1+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manager, Demand Realism shows whether requested dates are achievable so that OTD becomes fixable at the source.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% of PRs whose requested lead ≥ category-median actual lead; subtitle contrasts requested vs actual medians; red &lt; 40%; drill opens unrealistic PRs.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F5.1−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manager on sparse data, the card does not invent a score so that small samples cannot mislead.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Without enough delivered history or requested dates the card shows — with “needs GR + requested dates”.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F5.2+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manager, Expedite Effectiveness exposes whether the urgent lane is faster so that flag abuse is visible.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Ratio of urgent (1–2) vs standard median PR→PO days; ≥1× renders red; reference data reproduces 1.40×; drill lists urgent PRs.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F5.2−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manager, when too few urgent PRs exist the ratio is not fabricated so that noise never colours a KPI.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Below a minimum matched sample the card shows — with “not enough matched PRs”; no ratio, no colour coding.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F5.3+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finance partner, GR/IR and Commitment &gt;60d aging quantify stale exposure so that working capital risk is monitored.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Share of value on documents older than 60 days; strict-USD rule with IDR-based fallback note; drill by PO set; reference data reproduces 44%.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F5.3−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finance partner with a missing exotic rate, the share is still computed honestly so that the KPI never blends unconverted currencies.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Falls back to IDR-denominated share with an explicit “(IDR-based %)” suffix.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F6 — Charts &amp; Drill-downs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F6.1+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user, clicking any bar opens exactly the rows behind it so that numbers are verifiable.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Charts stash their exact row/PO sets at render; drill counts equal displayed counts; “Others” buckets drill to their assembled sets.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F6.1−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user, a slice made of direct POs (no PR link) still drills so that popups are never empty.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Rows-first, then PO-Report-lines fallback popup with an explicit “direct POs (no PR link)” note; reference case: 14 pending POs → 50 lines.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F6.2+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delivery manager, ordered-vs-received per month shows fulfilment catch-up so that late months stand out.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Delivery tab bar pair (all PO lines vs lines with GR) by PO month, STOs included; both series drillable; invariant received ≤ ordered holds.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F6.2−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user with an undated bundle, the chart degrades cleanly so that broken axes never render.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Missing dates → “No PO lines with dates” placeholder instead of an empty chart.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F7 — Entity Popups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F7.1+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buyer, the material popup shows the full PO history so that price and vendor context is one click away.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Deduped PO lines newest-first with qty, unit price, Price Unit, doc-ccy + USD values, status, GR date; STOs tagged 🚚 and unpriced; token prices flagged ⚠.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F7.1−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buyer, a $2,325 line does not display as 0 so that small foreign-currency values stay readable.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Adaptive units: ≥ 1M in millions with “M” suffix, below that the full amount; verified on the reference row (2,325 USD).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F7.2+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category manager, the vendor bio shows spend with its currency composition so that USD context is complete.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Bio shows USD total plus per-currency breakdown inline (full detail in tooltip).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F7.2−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category manager, a vendor with an unrated currency is not silently converted so that the bio never lies.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Unrated components stay in document currency in the composition line; USD shown only for the rated part per the global rule.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F8 — Customisation &amp; Persistence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F8.1+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power user, I reorder and hide detail-table columns by drag-drop so that my layout survives sessions.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Order/visibility persist in localStorage and re-apply; new columns append without breaking saved orders.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F8.1−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web-app user, I am warned that browser storage there is less durable so that I do not rely on it.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Documentation + FX-in-folder pattern make preferences reconstructible; core function never depends on persisted state.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F8.2+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admin, I exclude document types / purchasing groups / orgs once so that every view respects scope.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Exclusion configs apply across cards, charts, drills and popups consistently.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F8.2−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admin, clearing an exclusion restores full scope so that filters are always reversible.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Removing a config immediately re-includes data on next render with no residue.</w:t>
            </w:r>
          </w:p>
        </w:tc>
      </w:tr>
    </w:tbl>
    <w:p>
      <w:pPr>
        <w:pStyle w:val="Heading2"/>
        <w:spacing w:after="110" w:before="240"/>
      </w:pPr>
      <w:r>
        <w:rPr>
          <w:color w:val="16294F"/>
        </w:rPr>
        <w:t xml:space="preserve">F9 — Deployment &amp; Administration (Web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700"/>
        <w:gridCol w:w="4000"/>
        <w:gridCol w:w="3506"/>
      </w:tblGrid>
      <w:tr>
        <w:tc>
          <w:tcPr>
            <w:tcW w:type="dxa" w:w="8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F9.1+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owner, I deploy once and update data by replacing Drive files so that maintenance is trivial.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app serves index.html; data updates require no redeployment; content detection tolerates renamed files.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F9.1−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an owner who saved but did not publish, I am told the URL serves versions so that “it still runs old code” is self-explanatory.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Client guard detects missing server functions and prints the exact fix path (Manage deployments → New version).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F9.2+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0E8A80"/>
                <w:sz w:val="19"/>
                <w:szCs w:val="19"/>
              </w:rPr>
              <w:t xml:space="preserve">Positive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viewer in the org, I need no Drive permission so that access is one setting.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Execute-as-Me reads the folder under the owner; viewers only need web-app access.</w:t>
            </w:r>
          </w:p>
        </w:tc>
      </w:tr>
      <w:tr>
        <w:tc>
          <w:tcPr>
            <w:tcW w:type="dxa" w:w="8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F9.2−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BE3B2C"/>
                <w:sz w:val="19"/>
                <w:szCs w:val="19"/>
              </w:rPr>
              <w:t xml:space="preserve">Negative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As a viewer hitting a permissions error, I see the deployment-setting cure so that the owner fixes the right thing.</w:t>
            </w:r>
          </w:p>
        </w:tc>
        <w:tc>
          <w:tcPr>
            <w:tcW w:type="dxa" w:w="3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“You do not have permission to call DriveApp…” translates to the Execute-as guidance; owner-side auth errors translate to the editor ▶ Run walkthrough; malformed folder IDs (e.g. trailing ?usp=sharing) translate to the copy-the-ID guidance.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9.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parsing/analysis client-side; procurement data never uploaded (offline) / never leaves the Google session (web app). Explicit reassurance in UI where the folder-upload wording could suggest otherwise.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Full bundle (~100k rows across feeds, files up to ~6 MB) parses and analyses within seconds on a standard laptop; heavy tabs render deferred.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Chunked transfer + 3× retry on the Drive path; global error bar; version stamp; progress modal cannot dead-end (Cancel/Close/timeout states).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Modern Chromium/Edge/Firefox; folder-picker fallback for file:// and sandboxed iframes; cdnjs reachability required.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Web-app perimeter = deployment access setting (execute-as-Me model documented, including its audit trade-off).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Honesty of figures</w:t>
            </w:r>
          </w:p>
        </w:tc>
        <w:tc>
          <w:tcPr>
            <w:tcW w:type="dxa" w:w="6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Strict conversion rule; adaptive units; anomaly tagging (token ⚠, STO 🚚); drills equal charts by construction.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10. Assumptions,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/ assumption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0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SAP export layout drift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Feeds stop detecting or columns misread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Content detection + alias healing + per-row remap UI + Data Check red flags.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FX file forgotten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USD views degrade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Auto-pickup from data folder; honest per-currency fallback with banner; rates persist per browser.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WBS threshold interpretation (per item vs per PR total)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Compliance counts shift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Current rule: per item (documented); one-line change if policy reads per PR.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google.script.run payload/network limits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Large files fail to transfer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MB chunking + retries; failure text names the cause after retries exhaust.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Browser storage wiped (esp. GAS sandbox)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Preferences lost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All preferences reconstructible; nothing functional depends on persistence.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Token/masked prices in source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Spend understated per vendor</w:t>
            </w:r>
          </w:p>
        </w:tc>
        <w:tc>
          <w:tcPr>
            <w:tcW w:type="dxa" w:w="3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Flagged per line, warned per load; upstream fix indicated (real prices in SAP).</w:t>
            </w:r>
          </w:p>
        </w:tc>
      </w:tr>
    </w:tbl>
    <w:p>
      <w:pPr>
        <w:pStyle w:val="Heading1"/>
        <w:spacing w:after="140" w:before="300"/>
      </w:pPr>
      <w:r>
        <w:rPr>
          <w:color w:val="16294F"/>
        </w:rPr>
        <w:t xml:space="preserve">11.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 / PO / GR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Purchase Requisition / Purchase Order / Goods Receipt (SAP documents).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EINDT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SAP item delivery date on the PO — the promised/confirmed date enabling true vendor OTD.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Stock Transport Order — doc types ending “70”; inter-site goods movement, not a purchase; Req. Tracking Number carries the originating purchase PO.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WBS / AR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Work Breakdown Structure element evidencing an approved Appropriation Request; mandatory above value thresholds.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GR/IR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Goods received, invoice not yet posted — uninvoiced receipt value.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Token price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Deliberate placeholder price in SAP (e.g. 1 per 10,000) — not real spend; flagged ⚠.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Drill (exact-set)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Chart click opening precisely the row set the figure was computed from.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L0/L1/L2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Process decomposition levels: context → major processes → step detail.</w:t>
            </w:r>
          </w:p>
        </w:tc>
      </w:tr>
    </w:tbl>
    <w:p>
      <w:pPr>
        <w:spacing w:after="110" w:before="0"/>
      </w:pPr>
      <w:r>
        <w:rPr>
          <w:sz w:val="21"/>
          <w:szCs w:val="21"/>
        </w:rPr>
        <w:t xml:space="preserve"> </w:t>
      </w:r>
    </w:p>
    <w:p>
      <w:pPr>
        <w:spacing w:after="110" w:before="0"/>
        <w:jc w:val="center"/>
      </w:pPr>
      <w:r>
        <w:rPr>
          <w:i/>
          <w:iCs/>
          <w:color w:val="888888"/>
          <w:sz w:val="21"/>
          <w:szCs w:val="21"/>
        </w:rPr>
        <w:t xml:space="preserve">— End of document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Procurement Control Tower — PRD v1.0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2026-07-29T08:08:13.342Z</dcterms:created>
  <dcterms:modified xsi:type="dcterms:W3CDTF">2026-07-29T08:08:13.342Z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