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8421C" w14:textId="77777777" w:rsidR="002C36C5" w:rsidRPr="00526CF6" w:rsidRDefault="002C36C5" w:rsidP="00A01D71">
      <w:pPr>
        <w:rPr>
          <w:rFonts w:ascii="Times New Roman" w:hAnsi="Times New Roman"/>
          <w:b/>
          <w:sz w:val="28"/>
          <w:szCs w:val="28"/>
        </w:rPr>
      </w:pPr>
      <w:bookmarkStart w:id="0" w:name="_GoBack"/>
      <w:bookmarkEnd w:id="0"/>
      <w:r w:rsidRPr="00526CF6">
        <w:rPr>
          <w:rFonts w:ascii="Times New Roman" w:hAnsi="Times New Roman"/>
          <w:b/>
          <w:sz w:val="28"/>
          <w:szCs w:val="28"/>
        </w:rPr>
        <w:t>HUMAN RESEARCH DETERMINATION FORM</w:t>
      </w:r>
    </w:p>
    <w:p w14:paraId="0B0D23B0" w14:textId="77777777" w:rsidR="002C36C5" w:rsidRPr="00526CF6" w:rsidRDefault="002C36C5" w:rsidP="00A01D71">
      <w:pPr>
        <w:rPr>
          <w:rFonts w:ascii="Times New Roman" w:hAnsi="Times New Roman"/>
          <w:sz w:val="28"/>
          <w:szCs w:val="28"/>
        </w:rPr>
      </w:pPr>
    </w:p>
    <w:p w14:paraId="121ECB2A" w14:textId="77777777" w:rsidR="002F75AE" w:rsidRPr="00526CF6" w:rsidRDefault="002F75AE" w:rsidP="00A01D71">
      <w:pPr>
        <w:rPr>
          <w:rFonts w:ascii="Times New Roman" w:hAnsi="Times New Roman"/>
          <w:b/>
          <w:sz w:val="28"/>
          <w:szCs w:val="28"/>
        </w:rPr>
      </w:pPr>
      <w:r w:rsidRPr="00526CF6">
        <w:rPr>
          <w:rFonts w:ascii="Times New Roman" w:hAnsi="Times New Roman"/>
          <w:b/>
          <w:sz w:val="28"/>
          <w:szCs w:val="28"/>
        </w:rPr>
        <w:t>INSTRUCTIONS:</w:t>
      </w:r>
    </w:p>
    <w:p w14:paraId="4264D4E3" w14:textId="77777777" w:rsidR="00CA4112" w:rsidRPr="00526CF6" w:rsidRDefault="00A5242D" w:rsidP="002B3F8D">
      <w:pPr>
        <w:pStyle w:val="List"/>
        <w:spacing w:before="120" w:beforeAutospacing="0" w:after="0" w:afterAutospacing="0"/>
        <w:ind w:left="360"/>
        <w:rPr>
          <w:i w:val="0"/>
        </w:rPr>
      </w:pPr>
      <w:r w:rsidRPr="00526CF6">
        <w:rPr>
          <w:i w:val="0"/>
        </w:rPr>
        <w:t>Prior to initiation, i</w:t>
      </w:r>
      <w:r w:rsidR="009C3E9F" w:rsidRPr="00526CF6">
        <w:rPr>
          <w:i w:val="0"/>
        </w:rPr>
        <w:t xml:space="preserve">nvestigators are required to submit and the IRB is required to review </w:t>
      </w:r>
      <w:r w:rsidR="00801E91" w:rsidRPr="00526CF6">
        <w:rPr>
          <w:i w:val="0"/>
        </w:rPr>
        <w:t>H</w:t>
      </w:r>
      <w:r w:rsidR="009C3E9F" w:rsidRPr="00526CF6">
        <w:rPr>
          <w:i w:val="0"/>
        </w:rPr>
        <w:t>uman</w:t>
      </w:r>
      <w:r w:rsidR="00801E91" w:rsidRPr="00526CF6">
        <w:rPr>
          <w:i w:val="0"/>
        </w:rPr>
        <w:t xml:space="preserve"> R</w:t>
      </w:r>
      <w:r w:rsidR="009C3E9F" w:rsidRPr="00526CF6">
        <w:rPr>
          <w:i w:val="0"/>
        </w:rPr>
        <w:t xml:space="preserve">esearch </w:t>
      </w:r>
      <w:r w:rsidRPr="00526CF6">
        <w:rPr>
          <w:i w:val="0"/>
        </w:rPr>
        <w:t xml:space="preserve">for which Northwestern University </w:t>
      </w:r>
      <w:proofErr w:type="gramStart"/>
      <w:r w:rsidRPr="00526CF6">
        <w:rPr>
          <w:i w:val="0"/>
        </w:rPr>
        <w:t>is engaged</w:t>
      </w:r>
      <w:proofErr w:type="gramEnd"/>
      <w:r w:rsidR="00921E93" w:rsidRPr="00526CF6">
        <w:rPr>
          <w:i w:val="0"/>
        </w:rPr>
        <w:t>.</w:t>
      </w:r>
    </w:p>
    <w:p w14:paraId="3147DF02" w14:textId="77777777" w:rsidR="002F4B22" w:rsidRPr="00526CF6" w:rsidRDefault="00CA4112" w:rsidP="00E41FF3">
      <w:pPr>
        <w:pStyle w:val="List"/>
        <w:spacing w:before="0" w:beforeAutospacing="0" w:after="0" w:afterAutospacing="0"/>
        <w:ind w:left="360"/>
        <w:rPr>
          <w:i w:val="0"/>
        </w:rPr>
      </w:pPr>
      <w:r w:rsidRPr="00526CF6">
        <w:rPr>
          <w:i w:val="0"/>
        </w:rPr>
        <w:t>The term</w:t>
      </w:r>
      <w:r w:rsidR="002C36C5" w:rsidRPr="00526CF6">
        <w:rPr>
          <w:i w:val="0"/>
        </w:rPr>
        <w:t xml:space="preserve"> </w:t>
      </w:r>
      <w:r w:rsidR="002C36C5" w:rsidRPr="00FC7F00">
        <w:rPr>
          <w:i w:val="0"/>
        </w:rPr>
        <w:t>“Human Research”</w:t>
      </w:r>
      <w:r w:rsidR="002C36C5" w:rsidRPr="00526CF6">
        <w:rPr>
          <w:i w:val="0"/>
        </w:rPr>
        <w:t xml:space="preserve"> </w:t>
      </w:r>
      <w:proofErr w:type="gramStart"/>
      <w:r w:rsidR="002C36C5" w:rsidRPr="00526CF6">
        <w:rPr>
          <w:i w:val="0"/>
        </w:rPr>
        <w:t>is</w:t>
      </w:r>
      <w:r w:rsidR="009C3E9F" w:rsidRPr="00526CF6">
        <w:rPr>
          <w:i w:val="0"/>
        </w:rPr>
        <w:t xml:space="preserve"> defined</w:t>
      </w:r>
      <w:proofErr w:type="gramEnd"/>
      <w:r w:rsidR="009C3E9F" w:rsidRPr="00526CF6">
        <w:rPr>
          <w:i w:val="0"/>
        </w:rPr>
        <w:t xml:space="preserve"> below for you to consider</w:t>
      </w:r>
      <w:r w:rsidR="002F4B22" w:rsidRPr="00526CF6">
        <w:rPr>
          <w:i w:val="0"/>
        </w:rPr>
        <w:t xml:space="preserve"> in Section 1.0</w:t>
      </w:r>
      <w:r w:rsidR="009C3E9F" w:rsidRPr="00526CF6">
        <w:rPr>
          <w:i w:val="0"/>
        </w:rPr>
        <w:t>.</w:t>
      </w:r>
    </w:p>
    <w:p w14:paraId="2D4321B3" w14:textId="77777777" w:rsidR="002F4B22" w:rsidRPr="00526CF6" w:rsidRDefault="002F4B22" w:rsidP="00E41FF3">
      <w:pPr>
        <w:pStyle w:val="List"/>
        <w:spacing w:before="0" w:beforeAutospacing="0" w:after="0" w:afterAutospacing="0"/>
        <w:ind w:left="360"/>
        <w:rPr>
          <w:i w:val="0"/>
        </w:rPr>
      </w:pPr>
      <w:r w:rsidRPr="00526CF6">
        <w:rPr>
          <w:i w:val="0"/>
        </w:rPr>
        <w:t xml:space="preserve">Section 2.0 contains examples of activities that </w:t>
      </w:r>
      <w:proofErr w:type="gramStart"/>
      <w:r w:rsidRPr="00526CF6">
        <w:rPr>
          <w:i w:val="0"/>
        </w:rPr>
        <w:t>are generally considered</w:t>
      </w:r>
      <w:proofErr w:type="gramEnd"/>
      <w:r w:rsidRPr="00526CF6">
        <w:rPr>
          <w:i w:val="0"/>
        </w:rPr>
        <w:t xml:space="preserve"> not to be Human Research.</w:t>
      </w:r>
    </w:p>
    <w:p w14:paraId="03709EEE" w14:textId="77777777" w:rsidR="00921E93" w:rsidRPr="00526CF6" w:rsidRDefault="002F4B22" w:rsidP="00E41FF3">
      <w:pPr>
        <w:pStyle w:val="List"/>
        <w:spacing w:before="0" w:beforeAutospacing="0" w:after="0" w:afterAutospacing="0"/>
        <w:ind w:left="360"/>
        <w:rPr>
          <w:i w:val="0"/>
        </w:rPr>
      </w:pPr>
      <w:r w:rsidRPr="00526CF6">
        <w:rPr>
          <w:i w:val="0"/>
        </w:rPr>
        <w:t xml:space="preserve">If, after </w:t>
      </w:r>
      <w:proofErr w:type="gramStart"/>
      <w:r w:rsidRPr="00526CF6">
        <w:rPr>
          <w:i w:val="0"/>
        </w:rPr>
        <w:t>reading through</w:t>
      </w:r>
      <w:proofErr w:type="gramEnd"/>
      <w:r w:rsidRPr="00526CF6">
        <w:rPr>
          <w:i w:val="0"/>
        </w:rPr>
        <w:t xml:space="preserve"> Sections 1.0 and 2.0, you are not certain whether your activity is Human Research </w:t>
      </w:r>
      <w:r w:rsidRPr="00526CF6">
        <w:rPr>
          <w:b/>
          <w:i w:val="0"/>
        </w:rPr>
        <w:t>or</w:t>
      </w:r>
      <w:r w:rsidRPr="00526CF6">
        <w:rPr>
          <w:i w:val="0"/>
        </w:rPr>
        <w:t xml:space="preserve"> you would like for the IRB Office to determine that for you and provide documentation of that determination, complete </w:t>
      </w:r>
      <w:r w:rsidR="00FB47B5" w:rsidRPr="00526CF6">
        <w:rPr>
          <w:i w:val="0"/>
        </w:rPr>
        <w:t xml:space="preserve">the information on page 2 and in </w:t>
      </w:r>
      <w:r w:rsidRPr="00526CF6">
        <w:rPr>
          <w:i w:val="0"/>
        </w:rPr>
        <w:t>Section 3.0.</w:t>
      </w:r>
      <w:r w:rsidR="009C3E9F" w:rsidRPr="00526CF6">
        <w:rPr>
          <w:i w:val="0"/>
        </w:rPr>
        <w:t xml:space="preserve"> </w:t>
      </w:r>
      <w:r w:rsidR="00CA4112" w:rsidRPr="00526CF6">
        <w:rPr>
          <w:i w:val="0"/>
        </w:rPr>
        <w:t xml:space="preserve">The IRB Office uses “WORKSHEET: Human Research Determination” (HRP-310) to make its </w:t>
      </w:r>
      <w:r w:rsidRPr="00526CF6">
        <w:rPr>
          <w:i w:val="0"/>
        </w:rPr>
        <w:t>H</w:t>
      </w:r>
      <w:r w:rsidR="00CA4112" w:rsidRPr="00526CF6">
        <w:rPr>
          <w:i w:val="0"/>
        </w:rPr>
        <w:t xml:space="preserve">uman </w:t>
      </w:r>
      <w:r w:rsidRPr="00526CF6">
        <w:rPr>
          <w:i w:val="0"/>
        </w:rPr>
        <w:t>R</w:t>
      </w:r>
      <w:r w:rsidR="00CA4112" w:rsidRPr="00526CF6">
        <w:rPr>
          <w:i w:val="0"/>
        </w:rPr>
        <w:t>esearch determinations. Please consult that worksheet as a guide for th</w:t>
      </w:r>
      <w:r w:rsidRPr="00526CF6">
        <w:rPr>
          <w:i w:val="0"/>
        </w:rPr>
        <w:t>e information you provide in Section 3.0.</w:t>
      </w:r>
      <w:r w:rsidR="00921E93" w:rsidRPr="00526CF6">
        <w:rPr>
          <w:i w:val="0"/>
        </w:rPr>
        <w:t xml:space="preserve"> </w:t>
      </w:r>
    </w:p>
    <w:p w14:paraId="128DCE34" w14:textId="77777777" w:rsidR="00BA7B12" w:rsidRPr="00526CF6" w:rsidRDefault="002F4B22" w:rsidP="002B3F8D">
      <w:pPr>
        <w:pStyle w:val="List"/>
        <w:spacing w:before="0" w:beforeAutospacing="0" w:after="0" w:afterAutospacing="0"/>
        <w:ind w:left="360"/>
        <w:rPr>
          <w:i w:val="0"/>
        </w:rPr>
      </w:pPr>
      <w:r w:rsidRPr="00526CF6">
        <w:rPr>
          <w:i w:val="0"/>
        </w:rPr>
        <w:t xml:space="preserve">After completing Section 3.0, create a new study in </w:t>
      </w:r>
      <w:proofErr w:type="gramStart"/>
      <w:r w:rsidR="000705CF" w:rsidRPr="00526CF6">
        <w:rPr>
          <w:i w:val="0"/>
        </w:rPr>
        <w:t>eIRB+</w:t>
      </w:r>
      <w:r w:rsidRPr="00526CF6">
        <w:rPr>
          <w:i w:val="0"/>
        </w:rPr>
        <w:t xml:space="preserve"> and upload the entire document in lieu of an Investigator’s Protocol</w:t>
      </w:r>
      <w:proofErr w:type="gramEnd"/>
      <w:r w:rsidRPr="00526CF6">
        <w:rPr>
          <w:i w:val="0"/>
        </w:rPr>
        <w:t xml:space="preserve"> and submit the study for IRB Office review.</w:t>
      </w:r>
    </w:p>
    <w:p w14:paraId="652C6E24" w14:textId="77777777" w:rsidR="00A5242D" w:rsidRPr="00526CF6" w:rsidRDefault="002F4B22" w:rsidP="002B3F8D">
      <w:pPr>
        <w:pStyle w:val="List"/>
        <w:spacing w:before="0" w:beforeAutospacing="0" w:after="0" w:afterAutospacing="0"/>
        <w:ind w:left="360"/>
        <w:rPr>
          <w:i w:val="0"/>
        </w:rPr>
      </w:pPr>
      <w:r w:rsidRPr="00526CF6">
        <w:rPr>
          <w:i w:val="0"/>
        </w:rPr>
        <w:t>If, while reviewing</w:t>
      </w:r>
      <w:r w:rsidR="00A5242D" w:rsidRPr="00526CF6">
        <w:rPr>
          <w:i w:val="0"/>
        </w:rPr>
        <w:t xml:space="preserve"> this determination form, you discover that an activity is </w:t>
      </w:r>
      <w:r w:rsidR="00801E91" w:rsidRPr="00526CF6">
        <w:rPr>
          <w:i w:val="0"/>
        </w:rPr>
        <w:t>H</w:t>
      </w:r>
      <w:r w:rsidR="00A5242D" w:rsidRPr="00526CF6">
        <w:rPr>
          <w:i w:val="0"/>
        </w:rPr>
        <w:t xml:space="preserve">uman </w:t>
      </w:r>
      <w:r w:rsidR="00801E91" w:rsidRPr="00526CF6">
        <w:rPr>
          <w:i w:val="0"/>
        </w:rPr>
        <w:t>R</w:t>
      </w:r>
      <w:r w:rsidR="00A5242D" w:rsidRPr="00526CF6">
        <w:rPr>
          <w:i w:val="0"/>
        </w:rPr>
        <w:t>esearch, consult the “Investigator Manual” (HRP-103) for further instructions.</w:t>
      </w:r>
    </w:p>
    <w:p w14:paraId="748A3F54" w14:textId="77777777" w:rsidR="002B3F8D" w:rsidRPr="00FC7F00" w:rsidRDefault="002B3F8D" w:rsidP="002B3F8D">
      <w:pPr>
        <w:pStyle w:val="List"/>
        <w:spacing w:before="0" w:beforeAutospacing="0" w:after="0" w:afterAutospacing="0"/>
        <w:ind w:left="360"/>
        <w:rPr>
          <w:i w:val="0"/>
        </w:rPr>
      </w:pPr>
      <w:r w:rsidRPr="00526CF6">
        <w:rPr>
          <w:i w:val="0"/>
        </w:rPr>
        <w:t>If you need assistance, contact one of the offices below:</w:t>
      </w:r>
    </w:p>
    <w:p w14:paraId="76AC7B10" w14:textId="77777777" w:rsidR="00573BAF" w:rsidRPr="00FC7F00" w:rsidRDefault="00573BAF" w:rsidP="00E41FF3">
      <w:pPr>
        <w:pStyle w:val="List"/>
        <w:numPr>
          <w:ilvl w:val="0"/>
          <w:numId w:val="0"/>
        </w:numPr>
        <w:spacing w:before="0" w:beforeAutospacing="0" w:after="0" w:afterAutospacing="0"/>
        <w:ind w:left="360"/>
        <w:rPr>
          <w:i w:val="0"/>
        </w:rPr>
      </w:pPr>
    </w:p>
    <w:tbl>
      <w:tblPr>
        <w:tblStyle w:val="TableGrid"/>
        <w:tblW w:w="0" w:type="auto"/>
        <w:tblInd w:w="360" w:type="dxa"/>
        <w:tblLook w:val="04A0" w:firstRow="1" w:lastRow="0" w:firstColumn="1" w:lastColumn="0" w:noHBand="0" w:noVBand="1"/>
      </w:tblPr>
      <w:tblGrid>
        <w:gridCol w:w="4269"/>
        <w:gridCol w:w="4227"/>
      </w:tblGrid>
      <w:tr w:rsidR="00573BAF" w:rsidRPr="00526CF6" w14:paraId="7899B73B" w14:textId="77777777" w:rsidTr="00573BAF">
        <w:tc>
          <w:tcPr>
            <w:tcW w:w="4428" w:type="dxa"/>
          </w:tcPr>
          <w:p w14:paraId="51FA1743" w14:textId="77777777" w:rsidR="00573BAF" w:rsidRPr="00526CF6" w:rsidRDefault="00573BAF" w:rsidP="00E41FF3">
            <w:pPr>
              <w:pStyle w:val="List"/>
              <w:numPr>
                <w:ilvl w:val="0"/>
                <w:numId w:val="0"/>
              </w:numPr>
              <w:spacing w:before="0" w:beforeAutospacing="0" w:after="0" w:afterAutospacing="0"/>
              <w:rPr>
                <w:b/>
                <w:i w:val="0"/>
              </w:rPr>
            </w:pPr>
            <w:r w:rsidRPr="00526CF6">
              <w:rPr>
                <w:b/>
                <w:i w:val="0"/>
              </w:rPr>
              <w:t xml:space="preserve">Social </w:t>
            </w:r>
            <w:r w:rsidR="002F0F2D" w:rsidRPr="00526CF6">
              <w:rPr>
                <w:b/>
                <w:i w:val="0"/>
              </w:rPr>
              <w:t>and Behavioral Research</w:t>
            </w:r>
          </w:p>
          <w:p w14:paraId="025B4853" w14:textId="77777777" w:rsidR="00573BAF" w:rsidRPr="00526CF6" w:rsidRDefault="002F4B22" w:rsidP="00E41FF3">
            <w:pPr>
              <w:pStyle w:val="List"/>
              <w:numPr>
                <w:ilvl w:val="0"/>
                <w:numId w:val="0"/>
              </w:numPr>
              <w:spacing w:before="0" w:beforeAutospacing="0" w:after="0" w:afterAutospacing="0"/>
              <w:rPr>
                <w:i w:val="0"/>
              </w:rPr>
            </w:pPr>
            <w:r w:rsidRPr="00526CF6">
              <w:rPr>
                <w:i w:val="0"/>
                <w:color w:val="060606"/>
              </w:rPr>
              <w:t>Chambers Hall, 2nd Floor</w:t>
            </w:r>
            <w:r w:rsidRPr="00526CF6">
              <w:rPr>
                <w:i w:val="0"/>
                <w:color w:val="060606"/>
              </w:rPr>
              <w:br/>
              <w:t>600 Foster St.</w:t>
            </w:r>
            <w:r w:rsidRPr="00526CF6">
              <w:rPr>
                <w:i w:val="0"/>
                <w:color w:val="060606"/>
              </w:rPr>
              <w:br/>
              <w:t>Evanston, IL 60208</w:t>
            </w:r>
            <w:r w:rsidRPr="00526CF6">
              <w:rPr>
                <w:i w:val="0"/>
                <w:color w:val="060606"/>
              </w:rPr>
              <w:br/>
              <w:t xml:space="preserve">Phone: </w:t>
            </w:r>
            <w:r w:rsidRPr="00526CF6">
              <w:rPr>
                <w:rStyle w:val="baec5a81-e4d6-4674-97f3-e9220f0136c1"/>
                <w:i w:val="0"/>
                <w:color w:val="060606"/>
              </w:rPr>
              <w:t>(847) 467-1723</w:t>
            </w:r>
            <w:r w:rsidRPr="00526CF6">
              <w:rPr>
                <w:i w:val="0"/>
                <w:color w:val="060606"/>
              </w:rPr>
              <w:br/>
            </w:r>
            <w:hyperlink r:id="rId14" w:history="1">
              <w:r w:rsidRPr="00526CF6">
                <w:rPr>
                  <w:rStyle w:val="Hyperlink"/>
                  <w:i w:val="0"/>
                </w:rPr>
                <w:t>irb@northwestern.edu</w:t>
              </w:r>
            </w:hyperlink>
          </w:p>
        </w:tc>
        <w:tc>
          <w:tcPr>
            <w:tcW w:w="4428" w:type="dxa"/>
          </w:tcPr>
          <w:p w14:paraId="02F2499C" w14:textId="77777777" w:rsidR="00573BAF" w:rsidRPr="00526CF6" w:rsidRDefault="00573BAF" w:rsidP="00E41FF3">
            <w:pPr>
              <w:pStyle w:val="List"/>
              <w:numPr>
                <w:ilvl w:val="0"/>
                <w:numId w:val="0"/>
              </w:numPr>
              <w:spacing w:before="0" w:beforeAutospacing="0" w:after="0" w:afterAutospacing="0"/>
              <w:rPr>
                <w:i w:val="0"/>
              </w:rPr>
            </w:pPr>
            <w:r w:rsidRPr="00526CF6">
              <w:rPr>
                <w:b/>
                <w:i w:val="0"/>
              </w:rPr>
              <w:t xml:space="preserve">Biomedical </w:t>
            </w:r>
            <w:r w:rsidR="002F0F2D" w:rsidRPr="00526CF6">
              <w:rPr>
                <w:b/>
                <w:i w:val="0"/>
              </w:rPr>
              <w:t>Research</w:t>
            </w:r>
          </w:p>
          <w:p w14:paraId="23FE94A8" w14:textId="77777777" w:rsidR="00573BAF" w:rsidRPr="00526CF6" w:rsidRDefault="002F4B22" w:rsidP="00E41FF3">
            <w:pPr>
              <w:pStyle w:val="List"/>
              <w:numPr>
                <w:ilvl w:val="0"/>
                <w:numId w:val="0"/>
              </w:numPr>
              <w:spacing w:before="0" w:beforeAutospacing="0" w:after="0" w:afterAutospacing="0"/>
              <w:ind w:right="360"/>
              <w:rPr>
                <w:i w:val="0"/>
              </w:rPr>
            </w:pPr>
            <w:r w:rsidRPr="00526CF6">
              <w:rPr>
                <w:i w:val="0"/>
                <w:color w:val="060606"/>
              </w:rPr>
              <w:t xml:space="preserve">Arthur </w:t>
            </w:r>
            <w:proofErr w:type="spellStart"/>
            <w:r w:rsidRPr="00526CF6">
              <w:rPr>
                <w:i w:val="0"/>
                <w:color w:val="060606"/>
              </w:rPr>
              <w:t>Rubloff</w:t>
            </w:r>
            <w:proofErr w:type="spellEnd"/>
            <w:r w:rsidRPr="00526CF6">
              <w:rPr>
                <w:i w:val="0"/>
                <w:color w:val="060606"/>
              </w:rPr>
              <w:t xml:space="preserve"> Building, 7th Floor</w:t>
            </w:r>
            <w:r w:rsidRPr="00526CF6">
              <w:rPr>
                <w:i w:val="0"/>
                <w:color w:val="060606"/>
              </w:rPr>
              <w:br/>
              <w:t>750 N. Lake Shore Dr.</w:t>
            </w:r>
            <w:r w:rsidRPr="00526CF6">
              <w:rPr>
                <w:i w:val="0"/>
                <w:color w:val="060606"/>
              </w:rPr>
              <w:br/>
              <w:t>Chicago, IL 60611</w:t>
            </w:r>
            <w:r w:rsidRPr="00526CF6">
              <w:rPr>
                <w:i w:val="0"/>
                <w:color w:val="060606"/>
              </w:rPr>
              <w:br/>
              <w:t xml:space="preserve">Phone: </w:t>
            </w:r>
            <w:r w:rsidRPr="00526CF6">
              <w:rPr>
                <w:rStyle w:val="baec5a81-e4d6-4674-97f3-e9220f0136c1"/>
                <w:i w:val="0"/>
                <w:color w:val="060606"/>
              </w:rPr>
              <w:t>(312) 503-9338</w:t>
            </w:r>
            <w:r w:rsidRPr="00526CF6">
              <w:rPr>
                <w:i w:val="0"/>
                <w:color w:val="060606"/>
              </w:rPr>
              <w:br/>
            </w:r>
            <w:hyperlink r:id="rId15" w:history="1">
              <w:r w:rsidRPr="00526CF6">
                <w:rPr>
                  <w:rStyle w:val="Hyperlink"/>
                  <w:i w:val="0"/>
                </w:rPr>
                <w:t>irb@northwestern.edu</w:t>
              </w:r>
            </w:hyperlink>
          </w:p>
        </w:tc>
      </w:tr>
    </w:tbl>
    <w:p w14:paraId="3C175290" w14:textId="77777777" w:rsidR="001C7854" w:rsidRPr="00526CF6" w:rsidRDefault="001C7854" w:rsidP="001C7854">
      <w:pPr>
        <w:rPr>
          <w:rFonts w:ascii="Times New Roman" w:hAnsi="Times New Roman"/>
          <w:b/>
          <w:sz w:val="28"/>
          <w:szCs w:val="28"/>
        </w:rPr>
      </w:pPr>
    </w:p>
    <w:p w14:paraId="65C7292A" w14:textId="77777777" w:rsidR="00573BAF" w:rsidRPr="00526CF6" w:rsidRDefault="00573BAF" w:rsidP="001C7854">
      <w:pPr>
        <w:rPr>
          <w:rFonts w:ascii="Times New Roman" w:hAnsi="Times New Roman"/>
          <w:b/>
          <w:sz w:val="28"/>
          <w:szCs w:val="28"/>
        </w:rPr>
      </w:pPr>
    </w:p>
    <w:p w14:paraId="24831BB5" w14:textId="77777777" w:rsidR="00573BAF" w:rsidRPr="00526CF6" w:rsidRDefault="00573BAF" w:rsidP="001C7854">
      <w:pPr>
        <w:rPr>
          <w:rFonts w:ascii="Times New Roman" w:hAnsi="Times New Roman"/>
          <w:b/>
          <w:sz w:val="28"/>
          <w:szCs w:val="28"/>
        </w:rPr>
      </w:pPr>
    </w:p>
    <w:p w14:paraId="54CAB45D" w14:textId="77777777" w:rsidR="00FB47B5" w:rsidRPr="00526CF6" w:rsidRDefault="00FB47B5">
      <w:pPr>
        <w:autoSpaceDE/>
        <w:autoSpaceDN/>
        <w:adjustRightInd/>
        <w:rPr>
          <w:rFonts w:ascii="Times New Roman" w:hAnsi="Times New Roman"/>
          <w:b/>
          <w:sz w:val="28"/>
          <w:szCs w:val="28"/>
        </w:rPr>
      </w:pPr>
      <w:r w:rsidRPr="00526CF6">
        <w:rPr>
          <w:rFonts w:ascii="Times New Roman" w:hAnsi="Times New Roman"/>
          <w:b/>
          <w:sz w:val="28"/>
          <w:szCs w:val="28"/>
        </w:rPr>
        <w:br w:type="page"/>
      </w:r>
    </w:p>
    <w:p w14:paraId="7F7623CE" w14:textId="77777777" w:rsidR="001C7854" w:rsidRPr="00526CF6" w:rsidRDefault="00DD035F" w:rsidP="001C7854">
      <w:pPr>
        <w:rPr>
          <w:rFonts w:ascii="Times New Roman" w:hAnsi="Times New Roman"/>
          <w:b/>
          <w:sz w:val="28"/>
          <w:szCs w:val="28"/>
        </w:rPr>
      </w:pPr>
      <w:r w:rsidRPr="00526CF6">
        <w:rPr>
          <w:rFonts w:ascii="Times New Roman" w:hAnsi="Times New Roman"/>
          <w:b/>
          <w:sz w:val="28"/>
          <w:szCs w:val="28"/>
        </w:rPr>
        <w:lastRenderedPageBreak/>
        <w:t>ACTIVITY</w:t>
      </w:r>
      <w:r w:rsidR="001C7854" w:rsidRPr="00526CF6">
        <w:rPr>
          <w:rFonts w:ascii="Times New Roman" w:hAnsi="Times New Roman"/>
          <w:b/>
          <w:sz w:val="28"/>
          <w:szCs w:val="28"/>
        </w:rPr>
        <w:t xml:space="preserve"> TITLE:</w:t>
      </w:r>
    </w:p>
    <w:p w14:paraId="724895BC" w14:textId="77777777" w:rsidR="001C7854" w:rsidRPr="00FC7F00" w:rsidRDefault="001C7854" w:rsidP="001C7854">
      <w:pPr>
        <w:pStyle w:val="Default"/>
        <w:spacing w:before="120" w:after="120"/>
        <w:ind w:left="720"/>
      </w:pPr>
      <w:r w:rsidRPr="00FC7F00">
        <w:t>Include the full protocol title</w:t>
      </w:r>
      <w:r w:rsidR="00CA4112" w:rsidRPr="00FC7F00">
        <w:t xml:space="preserve"> as listed in the [IRB System] (include link)</w:t>
      </w:r>
      <w:r w:rsidRPr="00FC7F00">
        <w:t>.</w:t>
      </w:r>
    </w:p>
    <w:p w14:paraId="65A54FE5" w14:textId="77777777" w:rsidR="001C7854" w:rsidRPr="00526CF6" w:rsidRDefault="001C7854" w:rsidP="001C7854">
      <w:pPr>
        <w:pStyle w:val="Default"/>
        <w:rPr>
          <w:b/>
          <w:sz w:val="28"/>
          <w:szCs w:val="28"/>
        </w:rPr>
      </w:pPr>
      <w:r w:rsidRPr="00526CF6">
        <w:rPr>
          <w:b/>
          <w:sz w:val="28"/>
          <w:szCs w:val="28"/>
        </w:rPr>
        <w:t>PRINCIPAL INVESTIGATOR:</w:t>
      </w:r>
    </w:p>
    <w:p w14:paraId="11F6F51D" w14:textId="77777777" w:rsidR="001C7854" w:rsidRPr="00FC7F00" w:rsidRDefault="001C7854" w:rsidP="001C7854">
      <w:pPr>
        <w:pStyle w:val="Default"/>
        <w:spacing w:before="120"/>
        <w:ind w:left="720"/>
      </w:pPr>
      <w:r w:rsidRPr="00FC7F00">
        <w:t>Name</w:t>
      </w:r>
    </w:p>
    <w:p w14:paraId="4A2602BF" w14:textId="77777777" w:rsidR="001C7854" w:rsidRPr="00FC7F00" w:rsidRDefault="001C7854" w:rsidP="001C7854">
      <w:pPr>
        <w:pStyle w:val="Default"/>
        <w:ind w:left="720"/>
      </w:pPr>
      <w:r w:rsidRPr="00FC7F00">
        <w:t>Department</w:t>
      </w:r>
    </w:p>
    <w:p w14:paraId="2F442F7B" w14:textId="77777777" w:rsidR="001C7854" w:rsidRPr="00FC7F00" w:rsidRDefault="001C7854" w:rsidP="001C7854">
      <w:pPr>
        <w:pStyle w:val="Default"/>
        <w:ind w:left="720"/>
      </w:pPr>
      <w:r w:rsidRPr="00FC7F00">
        <w:t>Telephone Number</w:t>
      </w:r>
    </w:p>
    <w:p w14:paraId="65DE5035" w14:textId="77777777" w:rsidR="001C7854" w:rsidRPr="00FC7F00" w:rsidRDefault="001C7854" w:rsidP="001C7854">
      <w:pPr>
        <w:pStyle w:val="Default"/>
        <w:spacing w:after="120"/>
        <w:ind w:left="720"/>
      </w:pPr>
      <w:r w:rsidRPr="00FC7F00">
        <w:t>Email Address</w:t>
      </w:r>
    </w:p>
    <w:p w14:paraId="1CB7E8E2" w14:textId="77777777" w:rsidR="001C7854" w:rsidRPr="00526CF6" w:rsidRDefault="00CA4112" w:rsidP="001C7854">
      <w:pPr>
        <w:pStyle w:val="Default"/>
        <w:rPr>
          <w:b/>
          <w:sz w:val="28"/>
          <w:szCs w:val="28"/>
        </w:rPr>
      </w:pPr>
      <w:r w:rsidRPr="00526CF6">
        <w:rPr>
          <w:b/>
          <w:sz w:val="28"/>
          <w:szCs w:val="28"/>
        </w:rPr>
        <w:t xml:space="preserve">VERSION </w:t>
      </w:r>
      <w:r w:rsidR="001C7854" w:rsidRPr="00526CF6">
        <w:rPr>
          <w:b/>
          <w:sz w:val="28"/>
          <w:szCs w:val="28"/>
        </w:rPr>
        <w:t>DATE:</w:t>
      </w:r>
    </w:p>
    <w:p w14:paraId="566DE198" w14:textId="77777777" w:rsidR="001C7854" w:rsidRPr="00FC7F00" w:rsidRDefault="001C7854" w:rsidP="001C7854">
      <w:pPr>
        <w:pStyle w:val="Default"/>
        <w:spacing w:before="120" w:after="120"/>
        <w:ind w:left="720"/>
      </w:pPr>
      <w:r w:rsidRPr="00FC7F00">
        <w:t>Include the date of submission</w:t>
      </w:r>
      <w:r w:rsidR="00F96782" w:rsidRPr="00FC7F00">
        <w:t>.</w:t>
      </w:r>
    </w:p>
    <w:p w14:paraId="50746699" w14:textId="77777777" w:rsidR="001C7854" w:rsidRPr="00526CF6" w:rsidRDefault="001C7854" w:rsidP="001C7854">
      <w:pPr>
        <w:pStyle w:val="TOCHeading"/>
        <w:spacing w:before="0" w:line="240" w:lineRule="auto"/>
        <w:rPr>
          <w:rFonts w:ascii="Times New Roman" w:hAnsi="Times New Roman"/>
          <w:color w:val="000000"/>
        </w:rPr>
      </w:pPr>
      <w:r w:rsidRPr="00526CF6">
        <w:rPr>
          <w:rFonts w:ascii="Times New Roman" w:hAnsi="Times New Roman"/>
          <w:color w:val="000000"/>
        </w:rPr>
        <w:t>T</w:t>
      </w:r>
      <w:r w:rsidR="004D28DA" w:rsidRPr="00526CF6">
        <w:rPr>
          <w:rFonts w:ascii="Times New Roman" w:hAnsi="Times New Roman"/>
          <w:color w:val="000000"/>
        </w:rPr>
        <w:t>ABLE OF CONTENTS</w:t>
      </w:r>
    </w:p>
    <w:p w14:paraId="1C90E861" w14:textId="77777777" w:rsidR="00C766F8" w:rsidRPr="00526CF6" w:rsidRDefault="001C7854">
      <w:pPr>
        <w:pStyle w:val="TOC1"/>
        <w:tabs>
          <w:tab w:val="left" w:pos="660"/>
          <w:tab w:val="right" w:leader="dot" w:pos="8630"/>
        </w:tabs>
        <w:rPr>
          <w:rFonts w:asciiTheme="minorHAnsi" w:eastAsiaTheme="minorEastAsia" w:hAnsiTheme="minorHAnsi" w:cstheme="minorBidi"/>
          <w:noProof/>
          <w:sz w:val="22"/>
          <w:szCs w:val="22"/>
        </w:rPr>
      </w:pPr>
      <w:r w:rsidRPr="00526CF6">
        <w:fldChar w:fldCharType="begin"/>
      </w:r>
      <w:r w:rsidRPr="00526CF6">
        <w:instrText xml:space="preserve"> TOC \o "1-3" \h \z \u </w:instrText>
      </w:r>
      <w:r w:rsidRPr="00FC7F00">
        <w:fldChar w:fldCharType="separate"/>
      </w:r>
      <w:hyperlink w:anchor="_Toc403077387" w:history="1">
        <w:r w:rsidR="00C766F8" w:rsidRPr="00526CF6">
          <w:rPr>
            <w:rStyle w:val="Hyperlink"/>
            <w:noProof/>
          </w:rPr>
          <w:t>1.0</w:t>
        </w:r>
        <w:r w:rsidR="00C766F8" w:rsidRPr="00526CF6">
          <w:rPr>
            <w:rFonts w:asciiTheme="minorHAnsi" w:eastAsiaTheme="minorEastAsia" w:hAnsiTheme="minorHAnsi" w:cstheme="minorBidi"/>
            <w:noProof/>
            <w:sz w:val="22"/>
            <w:szCs w:val="22"/>
          </w:rPr>
          <w:tab/>
        </w:r>
        <w:r w:rsidR="00C766F8" w:rsidRPr="00526CF6">
          <w:rPr>
            <w:rStyle w:val="Hyperlink"/>
            <w:noProof/>
          </w:rPr>
          <w:t>Definitions for Human Research</w:t>
        </w:r>
        <w:r w:rsidR="00C766F8" w:rsidRPr="00526CF6">
          <w:rPr>
            <w:noProof/>
            <w:webHidden/>
          </w:rPr>
          <w:tab/>
        </w:r>
        <w:r w:rsidR="00C766F8" w:rsidRPr="00CD7F08">
          <w:rPr>
            <w:noProof/>
            <w:webHidden/>
          </w:rPr>
          <w:fldChar w:fldCharType="begin"/>
        </w:r>
        <w:r w:rsidR="00C766F8" w:rsidRPr="00526CF6">
          <w:rPr>
            <w:noProof/>
            <w:webHidden/>
          </w:rPr>
          <w:instrText xml:space="preserve"> PAGEREF _Toc403077387 \h </w:instrText>
        </w:r>
        <w:r w:rsidR="00C766F8" w:rsidRPr="00CD7F08">
          <w:rPr>
            <w:noProof/>
            <w:webHidden/>
          </w:rPr>
        </w:r>
        <w:r w:rsidR="00C766F8" w:rsidRPr="00FC7F00">
          <w:rPr>
            <w:noProof/>
            <w:webHidden/>
          </w:rPr>
          <w:fldChar w:fldCharType="separate"/>
        </w:r>
        <w:r w:rsidR="00C766F8" w:rsidRPr="00526CF6">
          <w:rPr>
            <w:noProof/>
            <w:webHidden/>
          </w:rPr>
          <w:t>3</w:t>
        </w:r>
        <w:r w:rsidR="00C766F8" w:rsidRPr="00CD7F08">
          <w:rPr>
            <w:noProof/>
            <w:webHidden/>
          </w:rPr>
          <w:fldChar w:fldCharType="end"/>
        </w:r>
      </w:hyperlink>
    </w:p>
    <w:p w14:paraId="7E2FA12F" w14:textId="77777777" w:rsidR="00C766F8" w:rsidRPr="00526CF6" w:rsidRDefault="00892AD2">
      <w:pPr>
        <w:pStyle w:val="TOC1"/>
        <w:tabs>
          <w:tab w:val="left" w:pos="660"/>
          <w:tab w:val="right" w:leader="dot" w:pos="8630"/>
        </w:tabs>
        <w:rPr>
          <w:rFonts w:asciiTheme="minorHAnsi" w:eastAsiaTheme="minorEastAsia" w:hAnsiTheme="minorHAnsi" w:cstheme="minorBidi"/>
          <w:noProof/>
          <w:sz w:val="22"/>
          <w:szCs w:val="22"/>
        </w:rPr>
      </w:pPr>
      <w:hyperlink w:anchor="_Toc403077388" w:history="1">
        <w:r w:rsidR="00C766F8" w:rsidRPr="00526CF6">
          <w:rPr>
            <w:rStyle w:val="Hyperlink"/>
            <w:noProof/>
          </w:rPr>
          <w:t>2.0</w:t>
        </w:r>
        <w:r w:rsidR="00C766F8" w:rsidRPr="00526CF6">
          <w:rPr>
            <w:rFonts w:asciiTheme="minorHAnsi" w:eastAsiaTheme="minorEastAsia" w:hAnsiTheme="minorHAnsi" w:cstheme="minorBidi"/>
            <w:noProof/>
            <w:sz w:val="22"/>
            <w:szCs w:val="22"/>
          </w:rPr>
          <w:tab/>
        </w:r>
        <w:r w:rsidR="00C766F8" w:rsidRPr="00526CF6">
          <w:rPr>
            <w:rStyle w:val="Hyperlink"/>
            <w:noProof/>
          </w:rPr>
          <w:t>Examples of activities that are generally considered not to be Human Research</w:t>
        </w:r>
        <w:r w:rsidR="00C766F8" w:rsidRPr="00526CF6">
          <w:rPr>
            <w:noProof/>
            <w:webHidden/>
          </w:rPr>
          <w:tab/>
        </w:r>
        <w:r w:rsidR="00C766F8" w:rsidRPr="00CD7F08">
          <w:rPr>
            <w:noProof/>
            <w:webHidden/>
          </w:rPr>
          <w:fldChar w:fldCharType="begin"/>
        </w:r>
        <w:r w:rsidR="00C766F8" w:rsidRPr="00526CF6">
          <w:rPr>
            <w:noProof/>
            <w:webHidden/>
          </w:rPr>
          <w:instrText xml:space="preserve"> PAGEREF _Toc403077388 \h </w:instrText>
        </w:r>
        <w:r w:rsidR="00C766F8" w:rsidRPr="00CD7F08">
          <w:rPr>
            <w:noProof/>
            <w:webHidden/>
          </w:rPr>
        </w:r>
        <w:r w:rsidR="00C766F8" w:rsidRPr="00FC7F00">
          <w:rPr>
            <w:noProof/>
            <w:webHidden/>
          </w:rPr>
          <w:fldChar w:fldCharType="separate"/>
        </w:r>
        <w:r w:rsidR="00C766F8" w:rsidRPr="00526CF6">
          <w:rPr>
            <w:noProof/>
            <w:webHidden/>
          </w:rPr>
          <w:t>4</w:t>
        </w:r>
        <w:r w:rsidR="00C766F8" w:rsidRPr="00CD7F08">
          <w:rPr>
            <w:noProof/>
            <w:webHidden/>
          </w:rPr>
          <w:fldChar w:fldCharType="end"/>
        </w:r>
      </w:hyperlink>
    </w:p>
    <w:p w14:paraId="04478103" w14:textId="77777777" w:rsidR="00C766F8" w:rsidRPr="00526CF6" w:rsidRDefault="00892AD2">
      <w:pPr>
        <w:pStyle w:val="TOC1"/>
        <w:tabs>
          <w:tab w:val="left" w:pos="660"/>
          <w:tab w:val="right" w:leader="dot" w:pos="8630"/>
        </w:tabs>
        <w:rPr>
          <w:rFonts w:asciiTheme="minorHAnsi" w:eastAsiaTheme="minorEastAsia" w:hAnsiTheme="minorHAnsi" w:cstheme="minorBidi"/>
          <w:noProof/>
          <w:sz w:val="22"/>
          <w:szCs w:val="22"/>
        </w:rPr>
      </w:pPr>
      <w:hyperlink w:anchor="_Toc403077389" w:history="1">
        <w:r w:rsidR="00C766F8" w:rsidRPr="00526CF6">
          <w:rPr>
            <w:rStyle w:val="Hyperlink"/>
            <w:bCs/>
            <w:noProof/>
          </w:rPr>
          <w:t>3.0</w:t>
        </w:r>
        <w:r w:rsidR="00C766F8" w:rsidRPr="00526CF6">
          <w:rPr>
            <w:rFonts w:asciiTheme="minorHAnsi" w:eastAsiaTheme="minorEastAsia" w:hAnsiTheme="minorHAnsi" w:cstheme="minorBidi"/>
            <w:noProof/>
            <w:sz w:val="22"/>
            <w:szCs w:val="22"/>
          </w:rPr>
          <w:tab/>
        </w:r>
        <w:r w:rsidR="00C766F8" w:rsidRPr="00526CF6">
          <w:rPr>
            <w:rStyle w:val="Hyperlink"/>
            <w:noProof/>
          </w:rPr>
          <w:t>Description of Activity</w:t>
        </w:r>
        <w:r w:rsidR="00C766F8" w:rsidRPr="00526CF6">
          <w:rPr>
            <w:noProof/>
            <w:webHidden/>
          </w:rPr>
          <w:tab/>
        </w:r>
        <w:r w:rsidR="00C766F8" w:rsidRPr="00CD7F08">
          <w:rPr>
            <w:noProof/>
            <w:webHidden/>
          </w:rPr>
          <w:fldChar w:fldCharType="begin"/>
        </w:r>
        <w:r w:rsidR="00C766F8" w:rsidRPr="00526CF6">
          <w:rPr>
            <w:noProof/>
            <w:webHidden/>
          </w:rPr>
          <w:instrText xml:space="preserve"> PAGEREF _Toc403077389 \h </w:instrText>
        </w:r>
        <w:r w:rsidR="00C766F8" w:rsidRPr="00CD7F08">
          <w:rPr>
            <w:noProof/>
            <w:webHidden/>
          </w:rPr>
        </w:r>
        <w:r w:rsidR="00C766F8" w:rsidRPr="00FC7F00">
          <w:rPr>
            <w:noProof/>
            <w:webHidden/>
          </w:rPr>
          <w:fldChar w:fldCharType="separate"/>
        </w:r>
        <w:r w:rsidR="00C766F8" w:rsidRPr="00526CF6">
          <w:rPr>
            <w:noProof/>
            <w:webHidden/>
          </w:rPr>
          <w:t>6</w:t>
        </w:r>
        <w:r w:rsidR="00C766F8" w:rsidRPr="00CD7F08">
          <w:rPr>
            <w:noProof/>
            <w:webHidden/>
          </w:rPr>
          <w:fldChar w:fldCharType="end"/>
        </w:r>
      </w:hyperlink>
    </w:p>
    <w:p w14:paraId="462D0A29" w14:textId="77777777" w:rsidR="001C7854" w:rsidRPr="00526CF6" w:rsidRDefault="001C7854">
      <w:r w:rsidRPr="00526CF6">
        <w:rPr>
          <w:b/>
          <w:bCs/>
          <w:noProof/>
        </w:rPr>
        <w:fldChar w:fldCharType="end"/>
      </w:r>
    </w:p>
    <w:p w14:paraId="48EB97F7" w14:textId="77777777" w:rsidR="00393FAF" w:rsidRPr="00C57AE1" w:rsidRDefault="001C7854" w:rsidP="001C7854">
      <w:pPr>
        <w:pStyle w:val="Heading1"/>
        <w:ind w:left="0" w:firstLine="0"/>
      </w:pPr>
      <w:r w:rsidRPr="00526CF6">
        <w:br w:type="page"/>
      </w:r>
      <w:bookmarkStart w:id="1" w:name="_Toc403077387"/>
      <w:r w:rsidR="009373E7" w:rsidRPr="00526CF6">
        <w:lastRenderedPageBreak/>
        <w:t>Definitions for Human Research</w:t>
      </w:r>
      <w:bookmarkEnd w:id="1"/>
    </w:p>
    <w:p w14:paraId="1131CD1A" w14:textId="77777777" w:rsidR="00AD03CE" w:rsidRPr="00526CF6" w:rsidRDefault="00573BAF" w:rsidP="00E41FF3">
      <w:pPr>
        <w:pStyle w:val="BlockText"/>
        <w:rPr>
          <w:i w:val="0"/>
        </w:rPr>
      </w:pPr>
      <w:r w:rsidRPr="00526CF6">
        <w:rPr>
          <w:i w:val="0"/>
        </w:rPr>
        <w:t xml:space="preserve">Review the </w:t>
      </w:r>
      <w:r w:rsidR="009373E7" w:rsidRPr="00526CF6">
        <w:rPr>
          <w:i w:val="0"/>
        </w:rPr>
        <w:t>following definitions to determine whether your activity is Human Research.</w:t>
      </w:r>
      <w:r w:rsidR="00EB01B8" w:rsidRPr="00526CF6">
        <w:rPr>
          <w:i w:val="0"/>
        </w:rPr>
        <w:t xml:space="preserve"> </w:t>
      </w:r>
      <w:r w:rsidR="00EB01B8" w:rsidRPr="00FC7F00">
        <w:rPr>
          <w:i w:val="0"/>
        </w:rPr>
        <w:t xml:space="preserve">Note that </w:t>
      </w:r>
      <w:r w:rsidR="00EB01B8" w:rsidRPr="00FC7F00">
        <w:rPr>
          <w:b/>
          <w:i w:val="0"/>
          <w:u w:val="single"/>
        </w:rPr>
        <w:t>publication</w:t>
      </w:r>
      <w:r w:rsidR="000008E7" w:rsidRPr="00FC7F00">
        <w:rPr>
          <w:b/>
          <w:i w:val="0"/>
          <w:u w:val="single"/>
        </w:rPr>
        <w:t xml:space="preserve"> is not</w:t>
      </w:r>
      <w:r w:rsidR="00EB01B8" w:rsidRPr="00FC7F00">
        <w:rPr>
          <w:b/>
          <w:i w:val="0"/>
          <w:u w:val="single"/>
        </w:rPr>
        <w:t xml:space="preserve"> a determining factor</w:t>
      </w:r>
      <w:r w:rsidR="00EB01B8" w:rsidRPr="00FC7F00">
        <w:rPr>
          <w:i w:val="0"/>
        </w:rPr>
        <w:t xml:space="preserve"> for whether an activity is Human Research</w:t>
      </w:r>
      <w:r w:rsidR="00D028E1" w:rsidRPr="00FC7F00">
        <w:rPr>
          <w:i w:val="0"/>
        </w:rPr>
        <w:t xml:space="preserve"> requiring review and approval by the IRB</w:t>
      </w:r>
      <w:r w:rsidR="00801E91" w:rsidRPr="00FC7F00">
        <w:rPr>
          <w:i w:val="0"/>
        </w:rPr>
        <w:t>.</w:t>
      </w:r>
    </w:p>
    <w:p w14:paraId="3E962747" w14:textId="77777777" w:rsidR="009373E7" w:rsidRPr="00526CF6" w:rsidRDefault="006C5E96" w:rsidP="00E41FF3">
      <w:pPr>
        <w:pStyle w:val="BlockText"/>
        <w:numPr>
          <w:ilvl w:val="0"/>
          <w:numId w:val="29"/>
        </w:numPr>
        <w:ind w:left="1260" w:hanging="540"/>
        <w:rPr>
          <w:i w:val="0"/>
        </w:rPr>
      </w:pPr>
      <w:r w:rsidRPr="00FC7F00">
        <w:rPr>
          <w:b/>
          <w:i w:val="0"/>
        </w:rPr>
        <w:t>“</w:t>
      </w:r>
      <w:r w:rsidR="009373E7" w:rsidRPr="00FC7F00">
        <w:rPr>
          <w:b/>
          <w:i w:val="0"/>
        </w:rPr>
        <w:t>Human Research</w:t>
      </w:r>
      <w:r w:rsidRPr="00FC7F00">
        <w:rPr>
          <w:b/>
          <w:i w:val="0"/>
        </w:rPr>
        <w:t>”</w:t>
      </w:r>
      <w:r w:rsidR="009373E7" w:rsidRPr="00526CF6">
        <w:rPr>
          <w:i w:val="0"/>
        </w:rPr>
        <w:t xml:space="preserve"> (</w:t>
      </w:r>
      <w:r w:rsidR="009373E7" w:rsidRPr="00526CF6">
        <w:rPr>
          <w:i w:val="0"/>
          <w:u w:val="single"/>
        </w:rPr>
        <w:t>according to DHHS</w:t>
      </w:r>
      <w:r w:rsidR="009373E7" w:rsidRPr="00526CF6">
        <w:rPr>
          <w:i w:val="0"/>
        </w:rPr>
        <w:t>)</w:t>
      </w:r>
      <w:r w:rsidR="009373E7" w:rsidRPr="00526CF6">
        <w:rPr>
          <w:i w:val="0"/>
        </w:rPr>
        <w:br/>
        <w:t>The definition includes two components:</w:t>
      </w:r>
    </w:p>
    <w:p w14:paraId="216D978D" w14:textId="77777777" w:rsidR="009373E7" w:rsidRPr="00526CF6" w:rsidRDefault="006C5E96" w:rsidP="00E41FF3">
      <w:pPr>
        <w:pStyle w:val="BlockText"/>
        <w:numPr>
          <w:ilvl w:val="0"/>
          <w:numId w:val="27"/>
        </w:numPr>
        <w:ind w:left="1620"/>
        <w:rPr>
          <w:i w:val="0"/>
        </w:rPr>
      </w:pPr>
      <w:r w:rsidRPr="00FC7F00">
        <w:rPr>
          <w:b/>
          <w:i w:val="0"/>
        </w:rPr>
        <w:t>“</w:t>
      </w:r>
      <w:r w:rsidR="009373E7" w:rsidRPr="00FC7F00">
        <w:rPr>
          <w:b/>
          <w:i w:val="0"/>
        </w:rPr>
        <w:t>Research</w:t>
      </w:r>
      <w:r w:rsidRPr="00FC7F00">
        <w:rPr>
          <w:b/>
          <w:i w:val="0"/>
        </w:rPr>
        <w:t>”</w:t>
      </w:r>
      <w:r w:rsidR="009373E7" w:rsidRPr="00526CF6">
        <w:rPr>
          <w:i w:val="0"/>
        </w:rPr>
        <w:t xml:space="preserve">: A systematic investigation, including research development, </w:t>
      </w:r>
      <w:proofErr w:type="gramStart"/>
      <w:r w:rsidR="009373E7" w:rsidRPr="00526CF6">
        <w:rPr>
          <w:i w:val="0"/>
        </w:rPr>
        <w:t>testing</w:t>
      </w:r>
      <w:proofErr w:type="gramEnd"/>
      <w:r w:rsidR="009373E7" w:rsidRPr="00526CF6">
        <w:rPr>
          <w:i w:val="0"/>
        </w:rPr>
        <w:t xml:space="preserve"> and evaluation, designed to develop or contribute to generalizable knowledge.</w:t>
      </w:r>
    </w:p>
    <w:p w14:paraId="045BBE03" w14:textId="77777777" w:rsidR="009373E7" w:rsidRPr="00526CF6" w:rsidRDefault="006C5E96" w:rsidP="00E41FF3">
      <w:pPr>
        <w:pStyle w:val="BlockText"/>
        <w:numPr>
          <w:ilvl w:val="0"/>
          <w:numId w:val="27"/>
        </w:numPr>
        <w:ind w:left="1620"/>
        <w:rPr>
          <w:i w:val="0"/>
        </w:rPr>
      </w:pPr>
      <w:r w:rsidRPr="00FC7F00">
        <w:rPr>
          <w:b/>
          <w:i w:val="0"/>
        </w:rPr>
        <w:t>“</w:t>
      </w:r>
      <w:r w:rsidR="009373E7" w:rsidRPr="00FC7F00">
        <w:rPr>
          <w:b/>
          <w:i w:val="0"/>
        </w:rPr>
        <w:t>Human Subject</w:t>
      </w:r>
      <w:r w:rsidRPr="00FC7F00">
        <w:rPr>
          <w:b/>
          <w:i w:val="0"/>
        </w:rPr>
        <w:t>”</w:t>
      </w:r>
      <w:r w:rsidR="009373E7" w:rsidRPr="00526CF6">
        <w:rPr>
          <w:i w:val="0"/>
        </w:rPr>
        <w:t>: A living individual about whom an investigator (whether professional or student) conducting research obtains (1) data through intervention or interaction with the individual, or (2) identifiable private information.</w:t>
      </w:r>
    </w:p>
    <w:p w14:paraId="4E953EFF" w14:textId="77777777" w:rsidR="009373E7" w:rsidRPr="00FC7F00" w:rsidRDefault="009373E7" w:rsidP="00E41FF3">
      <w:pPr>
        <w:pStyle w:val="BlockText"/>
        <w:ind w:left="1260"/>
        <w:rPr>
          <w:i w:val="0"/>
        </w:rPr>
      </w:pPr>
      <w:r w:rsidRPr="00FC7F00">
        <w:rPr>
          <w:i w:val="0"/>
        </w:rPr>
        <w:t xml:space="preserve">If your activity </w:t>
      </w:r>
      <w:r w:rsidR="00D028E1" w:rsidRPr="00FC7F00">
        <w:rPr>
          <w:i w:val="0"/>
        </w:rPr>
        <w:t>does not meet both of these components</w:t>
      </w:r>
      <w:r w:rsidR="00467FE0" w:rsidRPr="00FC7F00">
        <w:rPr>
          <w:i w:val="0"/>
        </w:rPr>
        <w:t xml:space="preserve">, </w:t>
      </w:r>
      <w:r w:rsidRPr="00FC7F00">
        <w:rPr>
          <w:i w:val="0"/>
        </w:rPr>
        <w:t>then it is not Human Research according to DHHS. Please see below for the FDA definition.</w:t>
      </w:r>
    </w:p>
    <w:p w14:paraId="4E9EA888" w14:textId="77777777" w:rsidR="006C5E96" w:rsidRPr="00526CF6" w:rsidRDefault="006C5E96" w:rsidP="00E41FF3">
      <w:pPr>
        <w:pStyle w:val="BlockText"/>
        <w:numPr>
          <w:ilvl w:val="0"/>
          <w:numId w:val="29"/>
        </w:numPr>
        <w:ind w:left="1260" w:hanging="540"/>
        <w:rPr>
          <w:i w:val="0"/>
        </w:rPr>
      </w:pPr>
      <w:r w:rsidRPr="00FC7F00">
        <w:rPr>
          <w:b/>
          <w:i w:val="0"/>
        </w:rPr>
        <w:t>“</w:t>
      </w:r>
      <w:r w:rsidR="009373E7" w:rsidRPr="00FC7F00">
        <w:rPr>
          <w:b/>
          <w:i w:val="0"/>
        </w:rPr>
        <w:t>Human Research</w:t>
      </w:r>
      <w:r w:rsidRPr="00FC7F00">
        <w:rPr>
          <w:b/>
          <w:i w:val="0"/>
        </w:rPr>
        <w:t>”</w:t>
      </w:r>
      <w:r w:rsidR="009373E7" w:rsidRPr="00526CF6">
        <w:rPr>
          <w:i w:val="0"/>
        </w:rPr>
        <w:t xml:space="preserve"> (</w:t>
      </w:r>
      <w:r w:rsidR="009373E7" w:rsidRPr="00526CF6">
        <w:rPr>
          <w:i w:val="0"/>
          <w:u w:val="single"/>
        </w:rPr>
        <w:t>according to FDA</w:t>
      </w:r>
      <w:r w:rsidR="009373E7" w:rsidRPr="00526CF6">
        <w:rPr>
          <w:i w:val="0"/>
        </w:rPr>
        <w:t>)</w:t>
      </w:r>
      <w:r w:rsidR="009373E7" w:rsidRPr="00526CF6">
        <w:rPr>
          <w:i w:val="0"/>
        </w:rPr>
        <w:br/>
        <w:t>The definition includes two components:</w:t>
      </w:r>
    </w:p>
    <w:p w14:paraId="37B458D3" w14:textId="77777777" w:rsidR="006C5E96" w:rsidRPr="00526CF6" w:rsidRDefault="006C5E96" w:rsidP="00E41FF3">
      <w:pPr>
        <w:pStyle w:val="BlockText"/>
        <w:numPr>
          <w:ilvl w:val="0"/>
          <w:numId w:val="28"/>
        </w:numPr>
        <w:ind w:left="1620"/>
        <w:rPr>
          <w:i w:val="0"/>
        </w:rPr>
      </w:pPr>
      <w:r w:rsidRPr="00FC7F00">
        <w:rPr>
          <w:b/>
          <w:i w:val="0"/>
        </w:rPr>
        <w:t>“Research”</w:t>
      </w:r>
      <w:r w:rsidRPr="00526CF6">
        <w:rPr>
          <w:i w:val="0"/>
        </w:rPr>
        <w:t>: Any experiment that involves a test article and one or more Human Subjects, and that meets any one of the following:</w:t>
      </w:r>
    </w:p>
    <w:p w14:paraId="1CC07451" w14:textId="77777777" w:rsidR="006C5E96" w:rsidRPr="00526CF6" w:rsidRDefault="006C5E96" w:rsidP="00E41FF3">
      <w:pPr>
        <w:pStyle w:val="BlockText"/>
        <w:numPr>
          <w:ilvl w:val="1"/>
          <w:numId w:val="28"/>
        </w:numPr>
        <w:spacing w:after="0"/>
        <w:ind w:left="1980"/>
        <w:rPr>
          <w:i w:val="0"/>
        </w:rPr>
      </w:pPr>
      <w:r w:rsidRPr="00C57AE1">
        <w:rPr>
          <w:i w:val="0"/>
        </w:rPr>
        <w:t xml:space="preserve">Must meet the requirements for prior submission to the US Food and Drug Administration under section 505(i) of the Federal Food, Drug, and Cosmetic Act meaning any use of a drug other than the use of an approved drug in the course of </w:t>
      </w:r>
      <w:r w:rsidRPr="00526CF6">
        <w:rPr>
          <w:i w:val="0"/>
        </w:rPr>
        <w:t>medical practice;</w:t>
      </w:r>
    </w:p>
    <w:p w14:paraId="1E3AFCDA" w14:textId="77777777" w:rsidR="006C5E96" w:rsidRPr="00526CF6" w:rsidRDefault="006C5E96" w:rsidP="00E41FF3">
      <w:pPr>
        <w:pStyle w:val="BlockText"/>
        <w:numPr>
          <w:ilvl w:val="1"/>
          <w:numId w:val="28"/>
        </w:numPr>
        <w:spacing w:before="0" w:after="0"/>
        <w:ind w:left="1980"/>
        <w:rPr>
          <w:i w:val="0"/>
        </w:rPr>
      </w:pPr>
      <w:r w:rsidRPr="00526CF6">
        <w:rPr>
          <w:i w:val="0"/>
        </w:rPr>
        <w:t>Must meet the requirements for prior submission to the US Food and Drug Administration under section 520(g) of the Federal Food, Drug, and Cosmetic Act meaning any activity that evaluates the safety or effectiveness of a device; OR</w:t>
      </w:r>
    </w:p>
    <w:p w14:paraId="5802FE3A" w14:textId="77777777" w:rsidR="006C5E96" w:rsidRPr="00526CF6" w:rsidRDefault="006C5E96" w:rsidP="00E41FF3">
      <w:pPr>
        <w:pStyle w:val="BlockText"/>
        <w:numPr>
          <w:ilvl w:val="1"/>
          <w:numId w:val="28"/>
        </w:numPr>
        <w:spacing w:before="0"/>
        <w:ind w:left="1980"/>
        <w:rPr>
          <w:i w:val="0"/>
        </w:rPr>
      </w:pPr>
      <w:r w:rsidRPr="00526CF6">
        <w:rPr>
          <w:i w:val="0"/>
        </w:rPr>
        <w:t xml:space="preserve">Any activity the results of which </w:t>
      </w:r>
      <w:proofErr w:type="gramStart"/>
      <w:r w:rsidRPr="00526CF6">
        <w:rPr>
          <w:i w:val="0"/>
        </w:rPr>
        <w:t>are intended</w:t>
      </w:r>
      <w:proofErr w:type="gramEnd"/>
      <w:r w:rsidRPr="00526CF6">
        <w:rPr>
          <w:i w:val="0"/>
        </w:rPr>
        <w:t xml:space="preserve"> to be later submitted to, or held for inspection by, the US Food and Drug Administration as part of an application for a research or marketing permit.</w:t>
      </w:r>
    </w:p>
    <w:p w14:paraId="05DFD868" w14:textId="77777777" w:rsidR="006C5E96" w:rsidRPr="00FC7F00" w:rsidRDefault="006C5E96" w:rsidP="00E41FF3">
      <w:pPr>
        <w:pStyle w:val="BlockText"/>
        <w:numPr>
          <w:ilvl w:val="0"/>
          <w:numId w:val="28"/>
        </w:numPr>
        <w:spacing w:before="0"/>
        <w:ind w:left="1620"/>
        <w:rPr>
          <w:i w:val="0"/>
        </w:rPr>
      </w:pPr>
      <w:proofErr w:type="gramStart"/>
      <w:r w:rsidRPr="00FC7F00">
        <w:rPr>
          <w:b/>
          <w:i w:val="0"/>
        </w:rPr>
        <w:t>“Human Subject”</w:t>
      </w:r>
      <w:r w:rsidRPr="00526CF6">
        <w:rPr>
          <w:b/>
          <w:i w:val="0"/>
        </w:rPr>
        <w:t xml:space="preserve">: </w:t>
      </w:r>
      <w:r w:rsidRPr="00526CF6">
        <w:rPr>
          <w:i w:val="0"/>
        </w:rPr>
        <w:t>An individual who is or becomes a subject in research, either as a recipient of the test article or as a control.</w:t>
      </w:r>
      <w:proofErr w:type="gramEnd"/>
      <w:r w:rsidRPr="00526CF6">
        <w:rPr>
          <w:i w:val="0"/>
        </w:rPr>
        <w:t xml:space="preserve"> A subject may be either a healthy human or a patient. A human subject includes an individual on whose specimen a medical device is used.</w:t>
      </w:r>
    </w:p>
    <w:p w14:paraId="777DBF61" w14:textId="77777777" w:rsidR="006C5E96" w:rsidRPr="00FC7F00" w:rsidRDefault="006C5E96" w:rsidP="00E41FF3">
      <w:pPr>
        <w:pStyle w:val="BlockText"/>
        <w:spacing w:before="0"/>
        <w:ind w:left="1260"/>
        <w:rPr>
          <w:i w:val="0"/>
        </w:rPr>
      </w:pPr>
      <w:r w:rsidRPr="00FC7F00">
        <w:rPr>
          <w:i w:val="0"/>
        </w:rPr>
        <w:t xml:space="preserve">If your activity </w:t>
      </w:r>
      <w:r w:rsidR="00467FE0" w:rsidRPr="00FC7F00">
        <w:rPr>
          <w:i w:val="0"/>
        </w:rPr>
        <w:t xml:space="preserve">is </w:t>
      </w:r>
      <w:r w:rsidR="00467FE0" w:rsidRPr="00FC7F00">
        <w:rPr>
          <w:b/>
          <w:i w:val="0"/>
        </w:rPr>
        <w:t>not research</w:t>
      </w:r>
      <w:r w:rsidR="00467FE0" w:rsidRPr="00FC7F00">
        <w:rPr>
          <w:i w:val="0"/>
        </w:rPr>
        <w:t xml:space="preserve"> or is </w:t>
      </w:r>
      <w:r w:rsidR="00467FE0" w:rsidRPr="00FC7F00">
        <w:rPr>
          <w:b/>
          <w:i w:val="0"/>
        </w:rPr>
        <w:t>research that does not involve human subjects</w:t>
      </w:r>
      <w:r w:rsidR="00467FE0" w:rsidRPr="00FC7F00">
        <w:rPr>
          <w:i w:val="0"/>
        </w:rPr>
        <w:t xml:space="preserve">, then </w:t>
      </w:r>
      <w:r w:rsidRPr="00FC7F00">
        <w:rPr>
          <w:i w:val="0"/>
        </w:rPr>
        <w:t>it is not Human Research according to FDA.</w:t>
      </w:r>
    </w:p>
    <w:p w14:paraId="2E23F5E2" w14:textId="77777777" w:rsidR="00393FAF" w:rsidRPr="00FC7F00" w:rsidRDefault="006C5E96" w:rsidP="00E41FF3">
      <w:pPr>
        <w:pStyle w:val="BlockText"/>
        <w:numPr>
          <w:ilvl w:val="0"/>
          <w:numId w:val="29"/>
        </w:numPr>
        <w:spacing w:before="0"/>
        <w:ind w:left="1260" w:hanging="540"/>
        <w:rPr>
          <w:i w:val="0"/>
        </w:rPr>
      </w:pPr>
      <w:r w:rsidRPr="00FC7F00">
        <w:rPr>
          <w:b/>
          <w:i w:val="0"/>
        </w:rPr>
        <w:lastRenderedPageBreak/>
        <w:t>If your activity does not meet either DHHS or FDA definitions for “Human Research”, then you do not need to submit anything to the IRB Office for review.</w:t>
      </w:r>
      <w:r w:rsidR="00467FE0" w:rsidRPr="00FC7F00">
        <w:rPr>
          <w:b/>
          <w:i w:val="0"/>
        </w:rPr>
        <w:t xml:space="preserve"> Consult “WORKSHEE</w:t>
      </w:r>
      <w:r w:rsidR="002679DD" w:rsidRPr="00FC7F00">
        <w:rPr>
          <w:b/>
          <w:i w:val="0"/>
        </w:rPr>
        <w:t>T: Human Research Determination</w:t>
      </w:r>
      <w:r w:rsidR="00467FE0" w:rsidRPr="00FC7F00">
        <w:rPr>
          <w:b/>
          <w:i w:val="0"/>
        </w:rPr>
        <w:t xml:space="preserve"> (HRP-310)</w:t>
      </w:r>
      <w:r w:rsidR="002679DD" w:rsidRPr="00FC7F00">
        <w:rPr>
          <w:b/>
          <w:i w:val="0"/>
        </w:rPr>
        <w:t>”</w:t>
      </w:r>
      <w:r w:rsidR="00467FE0" w:rsidRPr="00FC7F00">
        <w:rPr>
          <w:b/>
          <w:i w:val="0"/>
        </w:rPr>
        <w:t xml:space="preserve"> for further clarification if needed.</w:t>
      </w:r>
    </w:p>
    <w:p w14:paraId="349CAC81" w14:textId="77777777" w:rsidR="00393FAF" w:rsidRPr="00526CF6" w:rsidRDefault="00467FE0" w:rsidP="00811473">
      <w:pPr>
        <w:pStyle w:val="Heading1"/>
      </w:pPr>
      <w:bookmarkStart w:id="2" w:name="_Toc403077388"/>
      <w:r w:rsidRPr="00526CF6">
        <w:t xml:space="preserve">Examples of activities that are generally considered </w:t>
      </w:r>
      <w:r w:rsidR="00EB01B8" w:rsidRPr="00526CF6">
        <w:t xml:space="preserve">not </w:t>
      </w:r>
      <w:r w:rsidRPr="00526CF6">
        <w:t>to be Human Research</w:t>
      </w:r>
      <w:bookmarkEnd w:id="2"/>
    </w:p>
    <w:p w14:paraId="79929CB0" w14:textId="77777777" w:rsidR="00AD03CE" w:rsidRPr="00FC7F00" w:rsidRDefault="004040C6" w:rsidP="00E41FF3">
      <w:pPr>
        <w:pStyle w:val="BlockText"/>
        <w:rPr>
          <w:i w:val="0"/>
        </w:rPr>
      </w:pPr>
      <w:r w:rsidRPr="00526CF6">
        <w:rPr>
          <w:i w:val="0"/>
        </w:rPr>
        <w:t xml:space="preserve">The following are examples of activities that </w:t>
      </w:r>
      <w:proofErr w:type="gramStart"/>
      <w:r w:rsidRPr="00526CF6">
        <w:rPr>
          <w:i w:val="0"/>
        </w:rPr>
        <w:t xml:space="preserve">are </w:t>
      </w:r>
      <w:r w:rsidRPr="00FC7F00">
        <w:rPr>
          <w:i w:val="0"/>
        </w:rPr>
        <w:t>generally</w:t>
      </w:r>
      <w:r w:rsidRPr="00526CF6">
        <w:rPr>
          <w:i w:val="0"/>
        </w:rPr>
        <w:t xml:space="preserve"> considered</w:t>
      </w:r>
      <w:proofErr w:type="gramEnd"/>
      <w:r w:rsidRPr="00526CF6">
        <w:rPr>
          <w:i w:val="0"/>
        </w:rPr>
        <w:t xml:space="preserve"> not to be Human Research according to the definitions in Section 1.0. </w:t>
      </w:r>
      <w:r w:rsidR="000008E7" w:rsidRPr="00526CF6">
        <w:rPr>
          <w:i w:val="0"/>
        </w:rPr>
        <w:t>If your activity</w:t>
      </w:r>
      <w:r w:rsidRPr="00526CF6">
        <w:rPr>
          <w:i w:val="0"/>
        </w:rPr>
        <w:t xml:space="preserve"> </w:t>
      </w:r>
      <w:r w:rsidR="000008E7" w:rsidRPr="00526CF6">
        <w:rPr>
          <w:i w:val="0"/>
        </w:rPr>
        <w:t>is</w:t>
      </w:r>
      <w:r w:rsidRPr="00C57AE1">
        <w:rPr>
          <w:i w:val="0"/>
        </w:rPr>
        <w:t xml:space="preserve"> limited to one of the examples below, then it is likely not Human </w:t>
      </w:r>
      <w:proofErr w:type="gramStart"/>
      <w:r w:rsidRPr="00C57AE1">
        <w:rPr>
          <w:i w:val="0"/>
        </w:rPr>
        <w:t>Research</w:t>
      </w:r>
      <w:r w:rsidR="00D23459" w:rsidRPr="00526CF6">
        <w:rPr>
          <w:i w:val="0"/>
        </w:rPr>
        <w:t xml:space="preserve"> which</w:t>
      </w:r>
      <w:proofErr w:type="gramEnd"/>
      <w:r w:rsidR="00D23459" w:rsidRPr="00526CF6">
        <w:rPr>
          <w:i w:val="0"/>
        </w:rPr>
        <w:t xml:space="preserve"> would need to be reviewed by the IRB</w:t>
      </w:r>
      <w:r w:rsidRPr="00526CF6">
        <w:rPr>
          <w:i w:val="0"/>
        </w:rPr>
        <w:t>.</w:t>
      </w:r>
      <w:r w:rsidR="000008E7" w:rsidRPr="00526CF6">
        <w:rPr>
          <w:i w:val="0"/>
        </w:rPr>
        <w:t xml:space="preserve"> </w:t>
      </w:r>
      <w:r w:rsidR="000008E7" w:rsidRPr="00FC7F00">
        <w:rPr>
          <w:i w:val="0"/>
        </w:rPr>
        <w:t xml:space="preserve">Note that </w:t>
      </w:r>
      <w:r w:rsidR="000008E7" w:rsidRPr="00FC7F00">
        <w:rPr>
          <w:b/>
          <w:i w:val="0"/>
        </w:rPr>
        <w:t>publication is not a determining factor</w:t>
      </w:r>
      <w:r w:rsidR="000008E7" w:rsidRPr="00FC7F00">
        <w:rPr>
          <w:i w:val="0"/>
        </w:rPr>
        <w:t xml:space="preserve"> for whether an activity is Human Research.</w:t>
      </w:r>
    </w:p>
    <w:p w14:paraId="08920540" w14:textId="35FFA489" w:rsidR="000705CF" w:rsidRPr="00FC7F00" w:rsidRDefault="000705CF" w:rsidP="005C6E9A">
      <w:pPr>
        <w:pStyle w:val="BlockText"/>
        <w:numPr>
          <w:ilvl w:val="1"/>
          <w:numId w:val="16"/>
        </w:numPr>
        <w:ind w:left="1260" w:hanging="540"/>
        <w:rPr>
          <w:i w:val="0"/>
        </w:rPr>
      </w:pPr>
      <w:r w:rsidRPr="00526CF6">
        <w:rPr>
          <w:b/>
          <w:i w:val="0"/>
        </w:rPr>
        <w:t>Grant-only Submission:</w:t>
      </w:r>
      <w:r w:rsidRPr="00526CF6">
        <w:rPr>
          <w:i w:val="0"/>
        </w:rPr>
        <w:t xml:space="preserve"> The submission includes a grant (without an accompanying protocol) for which you would like acknowledgement of receipt by the IRB Office. Examples include Umbrella Grants, Training Grants</w:t>
      </w:r>
      <w:proofErr w:type="gramStart"/>
      <w:r w:rsidRPr="00526CF6">
        <w:rPr>
          <w:i w:val="0"/>
        </w:rPr>
        <w:t>,  etc</w:t>
      </w:r>
      <w:proofErr w:type="gramEnd"/>
      <w:r w:rsidRPr="00526CF6">
        <w:rPr>
          <w:i w:val="0"/>
        </w:rPr>
        <w:t>., that themselves do not include all elements</w:t>
      </w:r>
      <w:r w:rsidR="000D3A9B">
        <w:rPr>
          <w:i w:val="0"/>
        </w:rPr>
        <w:t>.</w:t>
      </w:r>
      <w:r w:rsidRPr="00526CF6">
        <w:rPr>
          <w:i w:val="0"/>
        </w:rPr>
        <w:t>.</w:t>
      </w:r>
    </w:p>
    <w:p w14:paraId="64E01EB9" w14:textId="77777777" w:rsidR="00EB01B8" w:rsidRPr="00FC7F00" w:rsidRDefault="00EB01B8" w:rsidP="005C6E9A">
      <w:pPr>
        <w:pStyle w:val="BlockText"/>
        <w:numPr>
          <w:ilvl w:val="1"/>
          <w:numId w:val="16"/>
        </w:numPr>
        <w:ind w:left="1260" w:hanging="540"/>
        <w:rPr>
          <w:i w:val="0"/>
        </w:rPr>
      </w:pPr>
      <w:r w:rsidRPr="00526CF6">
        <w:rPr>
          <w:b/>
          <w:i w:val="0"/>
        </w:rPr>
        <w:t>Program Evaluation/Quality Assurance Review/Quality Improvement Project</w:t>
      </w:r>
      <w:r w:rsidRPr="00526CF6">
        <w:rPr>
          <w:i w:val="0"/>
        </w:rPr>
        <w:t>: The activity is limited to program evaluation, quality assurance, or quality improvement activities designed specifically to evaluate, assure, or improve performance within a department, classroom, or hospital setting.</w:t>
      </w:r>
      <w:r w:rsidR="000008E7" w:rsidRPr="00C57AE1">
        <w:rPr>
          <w:i w:val="0"/>
        </w:rPr>
        <w:br/>
      </w:r>
      <w:r w:rsidR="000008E7" w:rsidRPr="00C57AE1">
        <w:rPr>
          <w:i w:val="0"/>
        </w:rPr>
        <w:br/>
      </w:r>
      <w:r w:rsidR="000008E7" w:rsidRPr="00FC7F00">
        <w:rPr>
          <w:i w:val="0"/>
        </w:rPr>
        <w:t>Note that an evaluation, assurance review, or improvement project designed specifically for a particular setting may yield useful information for similar entities, but may still not meet one of the definitions for Human Research in Section 1.0.</w:t>
      </w:r>
    </w:p>
    <w:p w14:paraId="05077B13" w14:textId="77777777" w:rsidR="00AD03CE" w:rsidRPr="00FC7F00" w:rsidRDefault="004040C6" w:rsidP="005C6E9A">
      <w:pPr>
        <w:pStyle w:val="BlockText"/>
        <w:numPr>
          <w:ilvl w:val="1"/>
          <w:numId w:val="16"/>
        </w:numPr>
        <w:ind w:left="1260" w:hanging="540"/>
        <w:rPr>
          <w:i w:val="0"/>
        </w:rPr>
      </w:pPr>
      <w:r w:rsidRPr="00526CF6">
        <w:rPr>
          <w:b/>
          <w:i w:val="0"/>
        </w:rPr>
        <w:t>Case Report</w:t>
      </w:r>
      <w:r w:rsidRPr="00526CF6">
        <w:rPr>
          <w:i w:val="0"/>
        </w:rPr>
        <w:t xml:space="preserve">: The project consists of a case report or </w:t>
      </w:r>
      <w:proofErr w:type="gramStart"/>
      <w:r w:rsidRPr="00526CF6">
        <w:rPr>
          <w:i w:val="0"/>
        </w:rPr>
        <w:t>series which</w:t>
      </w:r>
      <w:proofErr w:type="gramEnd"/>
      <w:r w:rsidRPr="00526CF6">
        <w:rPr>
          <w:i w:val="0"/>
        </w:rPr>
        <w:t xml:space="preserve"> describes an interesting treatment, presentation</w:t>
      </w:r>
      <w:r w:rsidR="00801E91" w:rsidRPr="00C57AE1">
        <w:rPr>
          <w:i w:val="0"/>
        </w:rPr>
        <w:t>,</w:t>
      </w:r>
      <w:r w:rsidRPr="00526CF6">
        <w:rPr>
          <w:i w:val="0"/>
        </w:rPr>
        <w:t xml:space="preserve"> or outcome. A critical component is that nothing </w:t>
      </w:r>
      <w:proofErr w:type="gramStart"/>
      <w:r w:rsidRPr="00526CF6">
        <w:rPr>
          <w:i w:val="0"/>
        </w:rPr>
        <w:t>was done</w:t>
      </w:r>
      <w:proofErr w:type="gramEnd"/>
      <w:r w:rsidRPr="00526CF6">
        <w:rPr>
          <w:i w:val="0"/>
        </w:rPr>
        <w:t xml:space="preserve"> to the patient(s) with prior “research” intent.</w:t>
      </w:r>
      <w:r w:rsidRPr="00526CF6">
        <w:rPr>
          <w:i w:val="0"/>
        </w:rPr>
        <w:br/>
      </w:r>
      <w:r w:rsidRPr="00526CF6">
        <w:rPr>
          <w:i w:val="0"/>
        </w:rPr>
        <w:br/>
      </w:r>
      <w:r w:rsidRPr="00FC7F00">
        <w:rPr>
          <w:i w:val="0"/>
        </w:rPr>
        <w:t xml:space="preserve">Note that HIPAA or other state or local laws may still apply to this activity. Please consult the </w:t>
      </w:r>
      <w:r w:rsidR="001A0ED4" w:rsidRPr="00FC7F00">
        <w:rPr>
          <w:i w:val="0"/>
        </w:rPr>
        <w:t>entity from which you received or accessed the information contained in the report for further guidance.</w:t>
      </w:r>
    </w:p>
    <w:p w14:paraId="0B092F8B" w14:textId="77777777" w:rsidR="00AD03CE" w:rsidRPr="00FC7F00" w:rsidRDefault="001A0ED4" w:rsidP="005C6E9A">
      <w:pPr>
        <w:pStyle w:val="BlockText"/>
        <w:numPr>
          <w:ilvl w:val="1"/>
          <w:numId w:val="16"/>
        </w:numPr>
        <w:ind w:left="1260" w:hanging="540"/>
        <w:rPr>
          <w:i w:val="0"/>
        </w:rPr>
      </w:pPr>
      <w:r w:rsidRPr="00526CF6">
        <w:rPr>
          <w:b/>
          <w:i w:val="0"/>
        </w:rPr>
        <w:t>Course-Related Activit</w:t>
      </w:r>
      <w:r w:rsidR="000008E7" w:rsidRPr="00526CF6">
        <w:rPr>
          <w:b/>
          <w:i w:val="0"/>
        </w:rPr>
        <w:t>y</w:t>
      </w:r>
      <w:r w:rsidRPr="00526CF6">
        <w:rPr>
          <w:i w:val="0"/>
        </w:rPr>
        <w:t xml:space="preserve">: The project is limited to </w:t>
      </w:r>
      <w:r w:rsidR="000008E7" w:rsidRPr="00526CF6">
        <w:rPr>
          <w:i w:val="0"/>
        </w:rPr>
        <w:t xml:space="preserve">one or more </w:t>
      </w:r>
      <w:r w:rsidRPr="00526CF6">
        <w:rPr>
          <w:i w:val="0"/>
        </w:rPr>
        <w:t xml:space="preserve">course-related activities designed specifically for educational or teaching purposes where data are collected from </w:t>
      </w:r>
      <w:r w:rsidR="00B72257" w:rsidRPr="00C57AE1">
        <w:rPr>
          <w:i w:val="0"/>
        </w:rPr>
        <w:t xml:space="preserve">and about students as part of </w:t>
      </w:r>
      <w:r w:rsidRPr="00526CF6">
        <w:rPr>
          <w:i w:val="0"/>
        </w:rPr>
        <w:t>routine class exercise</w:t>
      </w:r>
      <w:r w:rsidR="000008E7" w:rsidRPr="00526CF6">
        <w:rPr>
          <w:i w:val="0"/>
        </w:rPr>
        <w:t>s</w:t>
      </w:r>
      <w:r w:rsidRPr="00526CF6">
        <w:rPr>
          <w:i w:val="0"/>
        </w:rPr>
        <w:t xml:space="preserve"> or assignment</w:t>
      </w:r>
      <w:r w:rsidR="000008E7" w:rsidRPr="00526CF6">
        <w:rPr>
          <w:i w:val="0"/>
        </w:rPr>
        <w:t>s</w:t>
      </w:r>
      <w:r w:rsidRPr="00526CF6">
        <w:rPr>
          <w:i w:val="0"/>
        </w:rPr>
        <w:t xml:space="preserve"> and otherwise do not meet either of the definitions of Human Research in Section 1.0.</w:t>
      </w:r>
      <w:r w:rsidRPr="00526CF6">
        <w:rPr>
          <w:i w:val="0"/>
        </w:rPr>
        <w:br/>
      </w:r>
      <w:r w:rsidRPr="00FC7F00">
        <w:rPr>
          <w:i w:val="0"/>
        </w:rPr>
        <w:br/>
        <w:t xml:space="preserve">Note that some course-related activities, even those conducted by students, may yield information suggesting additional investigation </w:t>
      </w:r>
      <w:r w:rsidRPr="00FC7F00">
        <w:rPr>
          <w:i w:val="0"/>
        </w:rPr>
        <w:lastRenderedPageBreak/>
        <w:t xml:space="preserve">or analysis. If an additional activity entails Human Research, then it </w:t>
      </w:r>
      <w:proofErr w:type="gramStart"/>
      <w:r w:rsidRPr="00FC7F00">
        <w:rPr>
          <w:i w:val="0"/>
        </w:rPr>
        <w:t>must be submitted</w:t>
      </w:r>
      <w:proofErr w:type="gramEnd"/>
      <w:r w:rsidRPr="00FC7F00">
        <w:rPr>
          <w:i w:val="0"/>
        </w:rPr>
        <w:t xml:space="preserve"> to the IRB Office for review.</w:t>
      </w:r>
    </w:p>
    <w:p w14:paraId="7A719E57" w14:textId="77777777" w:rsidR="001A0ED4" w:rsidRPr="00FC7F00" w:rsidRDefault="000008E7" w:rsidP="005C6E9A">
      <w:pPr>
        <w:pStyle w:val="BlockText"/>
        <w:numPr>
          <w:ilvl w:val="1"/>
          <w:numId w:val="16"/>
        </w:numPr>
        <w:ind w:left="1260" w:hanging="540"/>
        <w:rPr>
          <w:i w:val="0"/>
        </w:rPr>
      </w:pPr>
      <w:r w:rsidRPr="00526CF6">
        <w:rPr>
          <w:b/>
          <w:i w:val="0"/>
        </w:rPr>
        <w:t>Journalistic or Documentary Activity (including Oral History)</w:t>
      </w:r>
      <w:r w:rsidR="00B72257" w:rsidRPr="00526CF6">
        <w:rPr>
          <w:i w:val="0"/>
        </w:rPr>
        <w:t xml:space="preserve">: The activity is limited </w:t>
      </w:r>
      <w:r w:rsidR="00801E91" w:rsidRPr="00526CF6">
        <w:rPr>
          <w:i w:val="0"/>
        </w:rPr>
        <w:t xml:space="preserve">to </w:t>
      </w:r>
      <w:r w:rsidR="00B72257" w:rsidRPr="00526CF6">
        <w:rPr>
          <w:i w:val="0"/>
        </w:rPr>
        <w:t xml:space="preserve">investigations or interviews (structured or open-ended) that focus on specific events (current or historical), views, etc. Such investigations or interviews may be reported or published in any medium, </w:t>
      </w:r>
      <w:r w:rsidR="00E577F4">
        <w:rPr>
          <w:i w:val="0"/>
        </w:rPr>
        <w:t>(</w:t>
      </w:r>
      <w:proofErr w:type="spellStart"/>
      <w:r w:rsidR="00B72257" w:rsidRPr="00526CF6">
        <w:rPr>
          <w:i w:val="0"/>
        </w:rPr>
        <w:t>e.g</w:t>
      </w:r>
      <w:proofErr w:type="spellEnd"/>
      <w:r w:rsidR="00B72257" w:rsidRPr="00526CF6">
        <w:rPr>
          <w:i w:val="0"/>
        </w:rPr>
        <w:t xml:space="preserve">, print newspaper, documentary video, </w:t>
      </w:r>
      <w:proofErr w:type="gramStart"/>
      <w:r w:rsidR="00B72257" w:rsidRPr="00526CF6">
        <w:rPr>
          <w:i w:val="0"/>
        </w:rPr>
        <w:t>online</w:t>
      </w:r>
      <w:proofErr w:type="gramEnd"/>
      <w:r w:rsidR="00B72257" w:rsidRPr="00526CF6">
        <w:rPr>
          <w:i w:val="0"/>
        </w:rPr>
        <w:t xml:space="preserve"> magazine</w:t>
      </w:r>
      <w:r w:rsidR="00E577F4">
        <w:rPr>
          <w:i w:val="0"/>
        </w:rPr>
        <w:t>)</w:t>
      </w:r>
      <w:r w:rsidR="00597831" w:rsidRPr="00526CF6">
        <w:rPr>
          <w:i w:val="0"/>
        </w:rPr>
        <w:t>.</w:t>
      </w:r>
    </w:p>
    <w:p w14:paraId="73D46E4E" w14:textId="77777777" w:rsidR="00D61D52" w:rsidRPr="00FC7F00" w:rsidRDefault="00DD035F" w:rsidP="00B85F69">
      <w:pPr>
        <w:pStyle w:val="BlockText"/>
        <w:numPr>
          <w:ilvl w:val="1"/>
          <w:numId w:val="16"/>
        </w:numPr>
        <w:spacing w:before="0"/>
        <w:ind w:left="1267" w:hanging="547"/>
        <w:rPr>
          <w:i w:val="0"/>
        </w:rPr>
      </w:pPr>
      <w:r w:rsidRPr="00526CF6">
        <w:rPr>
          <w:b/>
          <w:i w:val="0"/>
        </w:rPr>
        <w:t>Research Using Public or Non-Identifiable Private Information</w:t>
      </w:r>
      <w:r w:rsidR="00D61D52" w:rsidRPr="00526CF6">
        <w:rPr>
          <w:b/>
          <w:i w:val="0"/>
        </w:rPr>
        <w:t xml:space="preserve"> about Living Individuals</w:t>
      </w:r>
      <w:r w:rsidRPr="00526CF6">
        <w:rPr>
          <w:i w:val="0"/>
        </w:rPr>
        <w:t xml:space="preserve">: The activity is limited to analyzing data about </w:t>
      </w:r>
      <w:r w:rsidR="00D61D52" w:rsidRPr="00526CF6">
        <w:rPr>
          <w:i w:val="0"/>
        </w:rPr>
        <w:t xml:space="preserve">living </w:t>
      </w:r>
      <w:r w:rsidRPr="00526CF6">
        <w:rPr>
          <w:i w:val="0"/>
        </w:rPr>
        <w:t xml:space="preserve">individuals </w:t>
      </w:r>
      <w:r w:rsidR="00D61D52" w:rsidRPr="00526CF6">
        <w:rPr>
          <w:i w:val="0"/>
        </w:rPr>
        <w:t xml:space="preserve">(1) </w:t>
      </w:r>
      <w:r w:rsidRPr="00526CF6">
        <w:rPr>
          <w:i w:val="0"/>
        </w:rPr>
        <w:t xml:space="preserve">where the data </w:t>
      </w:r>
      <w:proofErr w:type="gramStart"/>
      <w:r w:rsidRPr="00526CF6">
        <w:rPr>
          <w:i w:val="0"/>
        </w:rPr>
        <w:t>have been retrieved</w:t>
      </w:r>
      <w:proofErr w:type="gramEnd"/>
      <w:r w:rsidRPr="00526CF6">
        <w:rPr>
          <w:i w:val="0"/>
        </w:rPr>
        <w:t xml:space="preserve"> </w:t>
      </w:r>
      <w:r w:rsidR="002C36C5" w:rsidRPr="00526CF6">
        <w:rPr>
          <w:i w:val="0"/>
        </w:rPr>
        <w:t xml:space="preserve">by the investigator </w:t>
      </w:r>
      <w:r w:rsidRPr="00C57AE1">
        <w:rPr>
          <w:i w:val="0"/>
        </w:rPr>
        <w:t>from public</w:t>
      </w:r>
      <w:r w:rsidR="002C36C5" w:rsidRPr="00C57AE1">
        <w:rPr>
          <w:i w:val="0"/>
        </w:rPr>
        <w:t>, non-restricted</w:t>
      </w:r>
      <w:r w:rsidRPr="00526CF6">
        <w:rPr>
          <w:i w:val="0"/>
        </w:rPr>
        <w:t xml:space="preserve"> data sets or </w:t>
      </w:r>
      <w:r w:rsidR="00D61D52" w:rsidRPr="00526CF6">
        <w:rPr>
          <w:i w:val="0"/>
        </w:rPr>
        <w:t xml:space="preserve">(2) </w:t>
      </w:r>
      <w:r w:rsidRPr="00526CF6">
        <w:rPr>
          <w:i w:val="0"/>
        </w:rPr>
        <w:t>where the private data have been provided to the investigator without any accompanying information by which the investigator could identify the individuals</w:t>
      </w:r>
      <w:r w:rsidR="00D61D52" w:rsidRPr="00526CF6">
        <w:rPr>
          <w:i w:val="0"/>
        </w:rPr>
        <w:t>.</w:t>
      </w:r>
      <w:r w:rsidR="00D61D52" w:rsidRPr="00526CF6">
        <w:rPr>
          <w:i w:val="0"/>
        </w:rPr>
        <w:br/>
      </w:r>
      <w:r w:rsidR="00D61D52" w:rsidRPr="00FC7F00">
        <w:rPr>
          <w:i w:val="0"/>
        </w:rPr>
        <w:br/>
        <w:t xml:space="preserve">Note that “de-identified data” </w:t>
      </w:r>
      <w:r w:rsidR="00D23459" w:rsidRPr="00FC7F00">
        <w:rPr>
          <w:i w:val="0"/>
        </w:rPr>
        <w:t xml:space="preserve">according to HIPAA </w:t>
      </w:r>
      <w:r w:rsidR="00D61D52" w:rsidRPr="00FC7F00">
        <w:rPr>
          <w:i w:val="0"/>
        </w:rPr>
        <w:t>may be identifiable according to the DHHS definition of “Human Subjects” above. Please consult “WORKSHEET: Human Research Determination</w:t>
      </w:r>
      <w:r w:rsidR="00801E91" w:rsidRPr="00FC7F00">
        <w:rPr>
          <w:i w:val="0"/>
        </w:rPr>
        <w:t xml:space="preserve"> (HRP-310)</w:t>
      </w:r>
      <w:r w:rsidR="00D61D52" w:rsidRPr="00FC7F00">
        <w:rPr>
          <w:i w:val="0"/>
        </w:rPr>
        <w:t>” for clarification and contact the IRB Office with any questions regarding research with data.</w:t>
      </w:r>
    </w:p>
    <w:p w14:paraId="3798AC89" w14:textId="77777777" w:rsidR="0026485B" w:rsidRPr="00FC7F00" w:rsidRDefault="0026485B">
      <w:pPr>
        <w:pStyle w:val="BlockText"/>
        <w:numPr>
          <w:ilvl w:val="1"/>
          <w:numId w:val="16"/>
        </w:numPr>
        <w:ind w:left="1260" w:hanging="540"/>
        <w:rPr>
          <w:i w:val="0"/>
        </w:rPr>
      </w:pPr>
      <w:r w:rsidRPr="00526CF6">
        <w:rPr>
          <w:b/>
          <w:i w:val="0"/>
        </w:rPr>
        <w:t>Research Using Health Information from Deceased Individuals</w:t>
      </w:r>
      <w:r w:rsidRPr="00526CF6">
        <w:rPr>
          <w:i w:val="0"/>
        </w:rPr>
        <w:t>: This activity is limited to analyzing data (identifiable or not) about deceased individuals.</w:t>
      </w:r>
    </w:p>
    <w:p w14:paraId="534AF170" w14:textId="2B57F456" w:rsidR="0054075B" w:rsidRDefault="0026485B">
      <w:pPr>
        <w:pStyle w:val="BlockText"/>
        <w:ind w:left="1260"/>
        <w:rPr>
          <w:b/>
          <w:i w:val="0"/>
        </w:rPr>
      </w:pPr>
      <w:r w:rsidRPr="00FC7F00">
        <w:t>Note that deceased individuals cannot be Human Subjects according to DHHS, but they may be Human Subjects according to FDA. Please review the definitions above for clarification. Note also that HIPAA or other state or local laws may still apply to this activity. Please consult the entity from which you received or accessed the information contained in the report for further guidance.</w:t>
      </w:r>
    </w:p>
    <w:p w14:paraId="189D285A" w14:textId="70DDB887" w:rsidR="00526CF6" w:rsidRPr="00FC7F00" w:rsidRDefault="0054075B" w:rsidP="00FC7F00">
      <w:pPr>
        <w:pStyle w:val="BlockText"/>
        <w:ind w:left="1260" w:hanging="540"/>
      </w:pPr>
      <w:r>
        <w:rPr>
          <w:i w:val="0"/>
        </w:rPr>
        <w:t xml:space="preserve">2.8    </w:t>
      </w:r>
      <w:r w:rsidR="00526CF6" w:rsidRPr="00FC7F00">
        <w:rPr>
          <w:b/>
          <w:i w:val="0"/>
        </w:rPr>
        <w:t xml:space="preserve">Instrument Development:  </w:t>
      </w:r>
      <w:r w:rsidR="00526CF6" w:rsidRPr="00FC7F00">
        <w:rPr>
          <w:i w:val="0"/>
        </w:rPr>
        <w:t xml:space="preserve">This </w:t>
      </w:r>
      <w:r w:rsidR="000D3A9B">
        <w:rPr>
          <w:i w:val="0"/>
        </w:rPr>
        <w:t>activity involves</w:t>
      </w:r>
      <w:r w:rsidR="00526CF6" w:rsidRPr="00FC7F00">
        <w:rPr>
          <w:i w:val="0"/>
        </w:rPr>
        <w:t xml:space="preserve"> </w:t>
      </w:r>
      <w:r w:rsidR="000D3A9B">
        <w:rPr>
          <w:i w:val="0"/>
        </w:rPr>
        <w:t>projects where the</w:t>
      </w:r>
      <w:r>
        <w:rPr>
          <w:i w:val="0"/>
        </w:rPr>
        <w:t xml:space="preserve"> </w:t>
      </w:r>
      <w:r w:rsidR="000D3A9B" w:rsidRPr="000D3A9B">
        <w:rPr>
          <w:i w:val="0"/>
        </w:rPr>
        <w:t>focus is on the development and construction of a data collection tool</w:t>
      </w:r>
      <w:r w:rsidR="000D3A9B">
        <w:rPr>
          <w:i w:val="0"/>
        </w:rPr>
        <w:t>.</w:t>
      </w:r>
      <w:r w:rsidR="000D3A9B" w:rsidRPr="000D3A9B">
        <w:rPr>
          <w:i w:val="0"/>
        </w:rPr>
        <w:t xml:space="preserve"> </w:t>
      </w:r>
      <w:r w:rsidR="000D3A9B">
        <w:rPr>
          <w:i w:val="0"/>
        </w:rPr>
        <w:t>The research team may</w:t>
      </w:r>
      <w:r w:rsidR="000D3A9B" w:rsidRPr="000D3A9B">
        <w:rPr>
          <w:i w:val="0"/>
        </w:rPr>
        <w:t xml:space="preserve"> interact with </w:t>
      </w:r>
      <w:r w:rsidR="000D3A9B">
        <w:rPr>
          <w:i w:val="0"/>
        </w:rPr>
        <w:t>people</w:t>
      </w:r>
      <w:r w:rsidR="000D3A9B" w:rsidRPr="000D3A9B">
        <w:rPr>
          <w:i w:val="0"/>
        </w:rPr>
        <w:t xml:space="preserve"> in order to obtain feedback on the types of items or questions that </w:t>
      </w:r>
      <w:proofErr w:type="gramStart"/>
      <w:r w:rsidR="000D3A9B" w:rsidRPr="000D3A9B">
        <w:rPr>
          <w:i w:val="0"/>
        </w:rPr>
        <w:t>could be used</w:t>
      </w:r>
      <w:proofErr w:type="gramEnd"/>
      <w:r w:rsidR="000D3A9B" w:rsidRPr="000D3A9B">
        <w:rPr>
          <w:i w:val="0"/>
        </w:rPr>
        <w:t xml:space="preserve"> to develop an instrument</w:t>
      </w:r>
      <w:r w:rsidR="000D3A9B">
        <w:rPr>
          <w:i w:val="0"/>
        </w:rPr>
        <w:t xml:space="preserve"> but the focus in on the instrument, not on</w:t>
      </w:r>
      <w:r w:rsidR="000D3A9B" w:rsidRPr="000D3A9B">
        <w:rPr>
          <w:i w:val="0"/>
        </w:rPr>
        <w:t xml:space="preserve"> the people who are providing the feedback on the </w:t>
      </w:r>
      <w:r w:rsidR="000D3A9B">
        <w:rPr>
          <w:i w:val="0"/>
        </w:rPr>
        <w:t xml:space="preserve">instrument </w:t>
      </w:r>
      <w:r w:rsidR="000D3A9B" w:rsidRPr="000D3A9B">
        <w:rPr>
          <w:i w:val="0"/>
        </w:rPr>
        <w:t>being developed.</w:t>
      </w:r>
      <w:r>
        <w:rPr>
          <w:i w:val="0"/>
        </w:rPr>
        <w:t xml:space="preserve"> P</w:t>
      </w:r>
      <w:r w:rsidR="00526CF6" w:rsidRPr="00FC7F00">
        <w:rPr>
          <w:i w:val="0"/>
        </w:rPr>
        <w:t xml:space="preserve">rojects where </w:t>
      </w:r>
      <w:r>
        <w:rPr>
          <w:i w:val="0"/>
        </w:rPr>
        <w:t>t</w:t>
      </w:r>
      <w:r w:rsidR="00526CF6" w:rsidRPr="00FC7F00">
        <w:rPr>
          <w:i w:val="0"/>
        </w:rPr>
        <w:t>he instrument development process will apply to many aspects of reliability and validity testing of the instrument</w:t>
      </w:r>
      <w:r>
        <w:rPr>
          <w:i w:val="0"/>
        </w:rPr>
        <w:t xml:space="preserve"> are typically not human research. However, </w:t>
      </w:r>
      <w:r w:rsidR="00526CF6" w:rsidRPr="00FC7F00">
        <w:rPr>
          <w:i w:val="0"/>
        </w:rPr>
        <w:t xml:space="preserve">it is possible that once the process gets to the level of testing discriminant, concurrent and / or predictive validity, the project may need to </w:t>
      </w:r>
      <w:proofErr w:type="gramStart"/>
      <w:r w:rsidR="00526CF6" w:rsidRPr="00FC7F00">
        <w:rPr>
          <w:i w:val="0"/>
        </w:rPr>
        <w:t>be reclassified</w:t>
      </w:r>
      <w:proofErr w:type="gramEnd"/>
      <w:r w:rsidR="00526CF6" w:rsidRPr="00FC7F00">
        <w:rPr>
          <w:i w:val="0"/>
        </w:rPr>
        <w:t xml:space="preserve"> as human research.</w:t>
      </w:r>
    </w:p>
    <w:p w14:paraId="6021C68E" w14:textId="77777777" w:rsidR="00526CF6" w:rsidRPr="00FC7F00" w:rsidRDefault="00526CF6" w:rsidP="00526CF6">
      <w:pPr>
        <w:ind w:left="1260"/>
        <w:rPr>
          <w:rFonts w:ascii="Times New Roman" w:hAnsi="Times New Roman"/>
        </w:rPr>
      </w:pPr>
    </w:p>
    <w:p w14:paraId="2EEA0E6E" w14:textId="77777777" w:rsidR="00FB47B5" w:rsidRPr="00526CF6" w:rsidRDefault="00FB47B5">
      <w:pPr>
        <w:autoSpaceDE/>
        <w:autoSpaceDN/>
        <w:adjustRightInd/>
        <w:rPr>
          <w:rFonts w:ascii="Times New Roman" w:hAnsi="Times New Roman"/>
          <w:b/>
          <w:sz w:val="28"/>
          <w:szCs w:val="28"/>
        </w:rPr>
      </w:pPr>
    </w:p>
    <w:p w14:paraId="64385B64" w14:textId="77777777" w:rsidR="0011551B" w:rsidRPr="00526CF6" w:rsidRDefault="002C36C5" w:rsidP="00811473">
      <w:pPr>
        <w:pStyle w:val="Heading1"/>
        <w:rPr>
          <w:bCs/>
        </w:rPr>
      </w:pPr>
      <w:bookmarkStart w:id="3" w:name="_Toc403077389"/>
      <w:r w:rsidRPr="00526CF6">
        <w:lastRenderedPageBreak/>
        <w:t>Description of Activity</w:t>
      </w:r>
      <w:bookmarkEnd w:id="3"/>
    </w:p>
    <w:p w14:paraId="0D3FDD30" w14:textId="3A062BD7" w:rsidR="006914EE" w:rsidRDefault="002C36C5" w:rsidP="00C57AE1">
      <w:pPr>
        <w:pStyle w:val="BlockText"/>
        <w:numPr>
          <w:ilvl w:val="1"/>
          <w:numId w:val="16"/>
        </w:numPr>
        <w:ind w:left="1260" w:hanging="540"/>
        <w:rPr>
          <w:i w:val="0"/>
        </w:rPr>
      </w:pPr>
      <w:proofErr w:type="gramStart"/>
      <w:r w:rsidRPr="006914EE">
        <w:rPr>
          <w:i w:val="0"/>
        </w:rPr>
        <w:t xml:space="preserve">If, after reviewing the information above, (1) </w:t>
      </w:r>
      <w:r w:rsidR="0093527D" w:rsidRPr="006914EE">
        <w:rPr>
          <w:i w:val="0"/>
        </w:rPr>
        <w:t xml:space="preserve">you </w:t>
      </w:r>
      <w:r w:rsidRPr="006914EE">
        <w:rPr>
          <w:i w:val="0"/>
        </w:rPr>
        <w:t xml:space="preserve">are unclear as to whether your activity is Human Research </w:t>
      </w:r>
      <w:r w:rsidR="0093527D" w:rsidRPr="00FC7F00">
        <w:rPr>
          <w:i w:val="0"/>
        </w:rPr>
        <w:t>and would like for the IRB Office to make a determination for you</w:t>
      </w:r>
      <w:r w:rsidR="006914EE">
        <w:rPr>
          <w:i w:val="0"/>
        </w:rPr>
        <w:t>;</w:t>
      </w:r>
      <w:r w:rsidR="0093527D" w:rsidRPr="00FC7F00">
        <w:rPr>
          <w:i w:val="0"/>
        </w:rPr>
        <w:t xml:space="preserve"> </w:t>
      </w:r>
      <w:r w:rsidRPr="00FC7F00">
        <w:rPr>
          <w:i w:val="0"/>
        </w:rPr>
        <w:t xml:space="preserve">or (2) </w:t>
      </w:r>
      <w:r w:rsidR="0093527D" w:rsidRPr="00FC7F00">
        <w:rPr>
          <w:i w:val="0"/>
        </w:rPr>
        <w:t xml:space="preserve">you believe that your activity is not Human Research </w:t>
      </w:r>
      <w:r w:rsidR="006914EE">
        <w:rPr>
          <w:i w:val="0"/>
        </w:rPr>
        <w:t>and</w:t>
      </w:r>
      <w:r w:rsidR="006914EE" w:rsidRPr="00FC7F00">
        <w:rPr>
          <w:i w:val="0"/>
        </w:rPr>
        <w:t xml:space="preserve"> </w:t>
      </w:r>
      <w:r w:rsidRPr="00FC7F00">
        <w:rPr>
          <w:i w:val="0"/>
        </w:rPr>
        <w:t xml:space="preserve">would like for the IRB Office to provide </w:t>
      </w:r>
      <w:r w:rsidR="0093527D" w:rsidRPr="00FC7F00">
        <w:rPr>
          <w:i w:val="0"/>
        </w:rPr>
        <w:t>documentation that it agrees with your assessment</w:t>
      </w:r>
      <w:r w:rsidRPr="00FC7F00">
        <w:rPr>
          <w:i w:val="0"/>
        </w:rPr>
        <w:t>, then please</w:t>
      </w:r>
      <w:r w:rsidR="0093527D" w:rsidRPr="00FC7F00">
        <w:rPr>
          <w:i w:val="0"/>
        </w:rPr>
        <w:t xml:space="preserve"> complete the information below.</w:t>
      </w:r>
      <w:proofErr w:type="gramEnd"/>
      <w:r w:rsidRPr="00FC7F00">
        <w:rPr>
          <w:i w:val="0"/>
        </w:rPr>
        <w:t xml:space="preserve"> </w:t>
      </w:r>
    </w:p>
    <w:p w14:paraId="466DF3C7" w14:textId="77777777" w:rsidR="00AD03CE" w:rsidRPr="00FC7F00" w:rsidRDefault="003C4100" w:rsidP="00C57AE1">
      <w:pPr>
        <w:pStyle w:val="BlockText"/>
        <w:numPr>
          <w:ilvl w:val="1"/>
          <w:numId w:val="16"/>
        </w:numPr>
        <w:ind w:left="1260" w:hanging="540"/>
        <w:rPr>
          <w:i w:val="0"/>
        </w:rPr>
      </w:pPr>
      <w:r w:rsidRPr="006914EE">
        <w:rPr>
          <w:b/>
          <w:i w:val="0"/>
        </w:rPr>
        <w:t>Purpose</w:t>
      </w:r>
      <w:r w:rsidRPr="006914EE">
        <w:rPr>
          <w:i w:val="0"/>
        </w:rPr>
        <w:br/>
      </w:r>
      <w:proofErr w:type="gramStart"/>
      <w:r w:rsidRPr="00FC7F00">
        <w:rPr>
          <w:i w:val="0"/>
        </w:rPr>
        <w:t>Briefly</w:t>
      </w:r>
      <w:proofErr w:type="gramEnd"/>
      <w:r w:rsidRPr="00FC7F00">
        <w:rPr>
          <w:i w:val="0"/>
        </w:rPr>
        <w:t xml:space="preserve"> d</w:t>
      </w:r>
      <w:r w:rsidR="0011551B" w:rsidRPr="00FC7F00">
        <w:rPr>
          <w:i w:val="0"/>
        </w:rPr>
        <w:t xml:space="preserve">escribe the </w:t>
      </w:r>
      <w:r w:rsidRPr="00FC7F00">
        <w:rPr>
          <w:i w:val="0"/>
        </w:rPr>
        <w:t>purpose, specific aims, or objectives of the study</w:t>
      </w:r>
      <w:r w:rsidR="0011551B" w:rsidRPr="00FC7F00">
        <w:rPr>
          <w:i w:val="0"/>
        </w:rPr>
        <w:t>.</w:t>
      </w:r>
    </w:p>
    <w:p w14:paraId="032DE234" w14:textId="7E5DB64E" w:rsidR="00EE620E" w:rsidRPr="00FC7F00" w:rsidRDefault="003C4100" w:rsidP="00EE620E">
      <w:pPr>
        <w:pStyle w:val="BlockText"/>
        <w:numPr>
          <w:ilvl w:val="1"/>
          <w:numId w:val="16"/>
        </w:numPr>
        <w:ind w:left="1260" w:hanging="540"/>
        <w:rPr>
          <w:i w:val="0"/>
        </w:rPr>
      </w:pPr>
      <w:r w:rsidRPr="00526CF6">
        <w:rPr>
          <w:b/>
          <w:i w:val="0"/>
        </w:rPr>
        <w:t>Procedures</w:t>
      </w:r>
      <w:r w:rsidRPr="00FC7F00">
        <w:rPr>
          <w:b/>
          <w:i w:val="0"/>
        </w:rPr>
        <w:br/>
      </w:r>
      <w:proofErr w:type="gramStart"/>
      <w:r w:rsidRPr="00FC7F00">
        <w:rPr>
          <w:i w:val="0"/>
        </w:rPr>
        <w:t>Briefly</w:t>
      </w:r>
      <w:proofErr w:type="gramEnd"/>
      <w:r w:rsidRPr="00FC7F00">
        <w:rPr>
          <w:i w:val="0"/>
        </w:rPr>
        <w:t xml:space="preserve"> describe the procedures used to obtain information from the individuals with whom you will interact or intervene for this activity, including communication or interpersonal contact with individuals and physical procedures, if any</w:t>
      </w:r>
      <w:r w:rsidR="0011551B" w:rsidRPr="00FC7F00">
        <w:rPr>
          <w:i w:val="0"/>
        </w:rPr>
        <w:t>.</w:t>
      </w:r>
      <w:r w:rsidR="00EE620E" w:rsidRPr="00FC7F00">
        <w:rPr>
          <w:i w:val="0"/>
        </w:rPr>
        <w:t xml:space="preserve"> If you will be </w:t>
      </w:r>
      <w:r w:rsidR="00C57AE1" w:rsidRPr="00C57AE1">
        <w:rPr>
          <w:i w:val="0"/>
        </w:rPr>
        <w:t xml:space="preserve">asking survey questions or </w:t>
      </w:r>
      <w:r w:rsidR="00EE620E" w:rsidRPr="00FC7F00">
        <w:rPr>
          <w:i w:val="0"/>
        </w:rPr>
        <w:t xml:space="preserve">interviewing </w:t>
      </w:r>
      <w:r w:rsidR="000D3A9B">
        <w:rPr>
          <w:i w:val="0"/>
        </w:rPr>
        <w:t>people</w:t>
      </w:r>
      <w:r w:rsidR="00C57AE1" w:rsidRPr="00C57AE1">
        <w:rPr>
          <w:i w:val="0"/>
        </w:rPr>
        <w:t xml:space="preserve">, </w:t>
      </w:r>
      <w:r w:rsidR="00EE620E" w:rsidRPr="00FC7F00">
        <w:rPr>
          <w:i w:val="0"/>
        </w:rPr>
        <w:t xml:space="preserve">include the questions you </w:t>
      </w:r>
      <w:r w:rsidR="00C57AE1">
        <w:rPr>
          <w:i w:val="0"/>
        </w:rPr>
        <w:t>plan to ask.</w:t>
      </w:r>
      <w:r w:rsidR="00EE620E" w:rsidRPr="00FC7F00">
        <w:rPr>
          <w:i w:val="0"/>
        </w:rPr>
        <w:t xml:space="preserve"> </w:t>
      </w:r>
    </w:p>
    <w:p w14:paraId="124B8E41" w14:textId="77777777" w:rsidR="003C4100" w:rsidRPr="00FC7F00" w:rsidRDefault="003C4100" w:rsidP="005C6E9A">
      <w:pPr>
        <w:pStyle w:val="BlockText"/>
        <w:numPr>
          <w:ilvl w:val="1"/>
          <w:numId w:val="16"/>
        </w:numPr>
        <w:ind w:left="1260" w:hanging="540"/>
        <w:rPr>
          <w:i w:val="0"/>
        </w:rPr>
      </w:pPr>
      <w:r w:rsidRPr="00526CF6">
        <w:rPr>
          <w:b/>
          <w:i w:val="0"/>
        </w:rPr>
        <w:t>Data and/or specimens</w:t>
      </w:r>
      <w:r w:rsidRPr="00526CF6">
        <w:rPr>
          <w:b/>
          <w:i w:val="0"/>
        </w:rPr>
        <w:br/>
      </w:r>
      <w:proofErr w:type="gramStart"/>
      <w:r w:rsidRPr="00FC7F00">
        <w:rPr>
          <w:i w:val="0"/>
        </w:rPr>
        <w:t>Describe</w:t>
      </w:r>
      <w:proofErr w:type="gramEnd"/>
      <w:r w:rsidRPr="00FC7F00">
        <w:rPr>
          <w:i w:val="0"/>
        </w:rPr>
        <w:t xml:space="preserve"> the data and/or specimens that you will gather about individuals, including names of datasets you will access and links to data sources.</w:t>
      </w:r>
    </w:p>
    <w:p w14:paraId="779D1147" w14:textId="77777777" w:rsidR="00685D8C" w:rsidRPr="00FC7F00" w:rsidRDefault="00685D8C" w:rsidP="00E41FF3">
      <w:pPr>
        <w:pStyle w:val="BlockText"/>
        <w:numPr>
          <w:ilvl w:val="2"/>
          <w:numId w:val="16"/>
        </w:numPr>
        <w:ind w:left="1620" w:hanging="360"/>
        <w:rPr>
          <w:i w:val="0"/>
        </w:rPr>
      </w:pPr>
      <w:r w:rsidRPr="00526CF6">
        <w:rPr>
          <w:b/>
          <w:i w:val="0"/>
        </w:rPr>
        <w:t>Data and/or Specimen Collection and Analysis</w:t>
      </w:r>
      <w:r w:rsidRPr="00526CF6">
        <w:rPr>
          <w:i w:val="0"/>
        </w:rPr>
        <w:br/>
      </w:r>
      <w:proofErr w:type="gramStart"/>
      <w:r w:rsidRPr="00FC7F00">
        <w:rPr>
          <w:i w:val="0"/>
        </w:rPr>
        <w:t>Describe</w:t>
      </w:r>
      <w:proofErr w:type="gramEnd"/>
      <w:r w:rsidRPr="00FC7F00">
        <w:rPr>
          <w:i w:val="0"/>
        </w:rPr>
        <w:t xml:space="preserve"> the data and/or specimens you will collect</w:t>
      </w:r>
      <w:r w:rsidR="008C734A" w:rsidRPr="00FC7F00">
        <w:rPr>
          <w:i w:val="0"/>
        </w:rPr>
        <w:t xml:space="preserve"> and how they will be analyzed.</w:t>
      </w:r>
    </w:p>
    <w:p w14:paraId="5FACD471" w14:textId="77777777" w:rsidR="008C734A" w:rsidRPr="00FC7F00" w:rsidRDefault="00685D8C" w:rsidP="00E41FF3">
      <w:pPr>
        <w:pStyle w:val="BlockText"/>
        <w:numPr>
          <w:ilvl w:val="2"/>
          <w:numId w:val="16"/>
        </w:numPr>
        <w:ind w:left="1620" w:hanging="360"/>
        <w:rPr>
          <w:i w:val="0"/>
        </w:rPr>
      </w:pPr>
      <w:r w:rsidRPr="00526CF6">
        <w:rPr>
          <w:b/>
          <w:i w:val="0"/>
        </w:rPr>
        <w:t>Data and/or Specimen Collection Method</w:t>
      </w:r>
      <w:r w:rsidRPr="00526CF6">
        <w:rPr>
          <w:b/>
          <w:i w:val="0"/>
        </w:rPr>
        <w:br/>
      </w:r>
      <w:proofErr w:type="gramStart"/>
      <w:r w:rsidRPr="00FC7F00">
        <w:rPr>
          <w:i w:val="0"/>
        </w:rPr>
        <w:t>Describe</w:t>
      </w:r>
      <w:proofErr w:type="gramEnd"/>
      <w:r w:rsidRPr="00FC7F00">
        <w:rPr>
          <w:i w:val="0"/>
        </w:rPr>
        <w:t xml:space="preserve"> how you wi</w:t>
      </w:r>
      <w:r w:rsidR="008C734A" w:rsidRPr="00FC7F00">
        <w:rPr>
          <w:i w:val="0"/>
        </w:rPr>
        <w:t>ll obtain the data or specimens. (Are you obtaining them from another researcher? Are you pulling data from directly from a medical record? Are you pulling leftover samples from a lab?)</w:t>
      </w:r>
    </w:p>
    <w:p w14:paraId="045ED270" w14:textId="77777777" w:rsidR="00416A41" w:rsidRPr="00C57AE1" w:rsidRDefault="008C734A" w:rsidP="00C57AE1">
      <w:pPr>
        <w:pStyle w:val="BlockText"/>
        <w:numPr>
          <w:ilvl w:val="2"/>
          <w:numId w:val="16"/>
        </w:numPr>
        <w:ind w:left="1620" w:hanging="360"/>
        <w:rPr>
          <w:i w:val="0"/>
        </w:rPr>
      </w:pPr>
      <w:proofErr w:type="gramStart"/>
      <w:r w:rsidRPr="00C57AE1">
        <w:rPr>
          <w:b/>
          <w:i w:val="0"/>
        </w:rPr>
        <w:t>Identifiability of Data or Specimens</w:t>
      </w:r>
      <w:r w:rsidRPr="00C57AE1">
        <w:rPr>
          <w:i w:val="0"/>
        </w:rPr>
        <w:br/>
      </w:r>
      <w:r w:rsidRPr="00FC7F00">
        <w:rPr>
          <w:i w:val="0"/>
        </w:rPr>
        <w:t xml:space="preserve">Indicate whether the data or specimens you collect for this activity </w:t>
      </w:r>
      <w:r w:rsidR="00F246C0" w:rsidRPr="00FC7F00">
        <w:rPr>
          <w:i w:val="0"/>
        </w:rPr>
        <w:t>can be directly linked to individuals, (e.g., the dataset includes names), indirectly linked through a code (e.g., the dataset includes a code and you have the key to the code), or not linked at all to individuals (e.g., the dataset includes a code, but no one but the person giving you the data or specimens has the key to the code).</w:t>
      </w:r>
      <w:proofErr w:type="gramEnd"/>
      <w:r w:rsidR="00C57AE1" w:rsidRPr="00C57AE1" w:rsidDel="00C57AE1">
        <w:rPr>
          <w:i w:val="0"/>
        </w:rPr>
        <w:t xml:space="preserve"> </w:t>
      </w:r>
    </w:p>
    <w:sectPr w:rsidR="00416A41" w:rsidRPr="00C57AE1">
      <w:headerReference w:type="default" r:id="rId16"/>
      <w:footerReference w:type="default" r:id="rId17"/>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27924C" w15:done="0"/>
  <w15:commentEx w15:paraId="1C242A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36BDD" w14:textId="77777777" w:rsidR="00100603" w:rsidRDefault="00100603" w:rsidP="007C0AA4">
      <w:r>
        <w:separator/>
      </w:r>
    </w:p>
  </w:endnote>
  <w:endnote w:type="continuationSeparator" w:id="0">
    <w:p w14:paraId="7B0039D8" w14:textId="77777777" w:rsidR="00100603" w:rsidRDefault="00100603"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B9F9B" w14:textId="5D4F1C2A" w:rsidR="002F4B22" w:rsidRPr="00C766F8" w:rsidRDefault="002F4B22" w:rsidP="000E3478">
    <w:pPr>
      <w:pStyle w:val="Footer"/>
      <w:rPr>
        <w:lang w:val="en-US"/>
      </w:rPr>
    </w:pPr>
    <w:r>
      <w:tab/>
    </w:r>
    <w:r>
      <w:t xml:space="preserve">Page </w:t>
    </w:r>
    <w:r>
      <w:rPr>
        <w:rStyle w:val="PageNumber"/>
      </w:rPr>
      <w:fldChar w:fldCharType="begin"/>
    </w:r>
    <w:r>
      <w:rPr>
        <w:rStyle w:val="PageNumber"/>
      </w:rPr>
      <w:instrText xml:space="preserve"> PAGE </w:instrText>
    </w:r>
    <w:r>
      <w:rPr>
        <w:rStyle w:val="PageNumber"/>
      </w:rPr>
      <w:fldChar w:fldCharType="separate"/>
    </w:r>
    <w:r w:rsidR="00FC7F00">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C7F00">
      <w:rPr>
        <w:rStyle w:val="PageNumber"/>
        <w:noProof/>
      </w:rPr>
      <w:t>6</w:t>
    </w:r>
    <w:r>
      <w:rPr>
        <w:rStyle w:val="PageNumber"/>
      </w:rPr>
      <w:fldChar w:fldCharType="end"/>
    </w:r>
    <w:r w:rsidRPr="00EE6AD4">
      <w:rPr>
        <w:rStyle w:val="PageNumber"/>
        <w:rFonts w:ascii="Times New Roman" w:hAnsi="Times New Roman"/>
        <w:sz w:val="16"/>
        <w:szCs w:val="16"/>
      </w:rPr>
      <w:tab/>
      <w:t>Revis</w:t>
    </w:r>
    <w:r>
      <w:rPr>
        <w:rStyle w:val="PageNumber"/>
        <w:rFonts w:ascii="Times New Roman" w:hAnsi="Times New Roman"/>
        <w:sz w:val="16"/>
        <w:szCs w:val="16"/>
      </w:rPr>
      <w:t>ed</w:t>
    </w:r>
    <w:r w:rsidR="00FA68F5">
      <w:rPr>
        <w:rStyle w:val="PageNumber"/>
        <w:rFonts w:ascii="Times New Roman" w:hAnsi="Times New Roman"/>
        <w:sz w:val="16"/>
        <w:szCs w:val="16"/>
        <w:lang w:val="en-US"/>
      </w:rPr>
      <w:t xml:space="preserve"> Template</w:t>
    </w:r>
    <w:r w:rsidRPr="00EE6AD4">
      <w:rPr>
        <w:rStyle w:val="PageNumber"/>
        <w:rFonts w:ascii="Times New Roman" w:hAnsi="Times New Roman"/>
        <w:sz w:val="16"/>
        <w:szCs w:val="16"/>
      </w:rPr>
      <w:t xml:space="preserve">: </w:t>
    </w:r>
    <w:r w:rsidR="00FC7F00">
      <w:rPr>
        <w:rStyle w:val="PageNumber"/>
        <w:rFonts w:ascii="Times New Roman" w:hAnsi="Times New Roman"/>
        <w:sz w:val="16"/>
        <w:szCs w:val="16"/>
        <w:lang w:val="en-US"/>
      </w:rPr>
      <w:t>August</w:t>
    </w:r>
    <w:r w:rsidR="006914EE">
      <w:rPr>
        <w:rStyle w:val="PageNumber"/>
        <w:rFonts w:ascii="Times New Roman" w:hAnsi="Times New Roman"/>
        <w:sz w:val="16"/>
        <w:szCs w:val="16"/>
        <w:lang w:val="en-US"/>
      </w:rPr>
      <w:t xml:space="preserve"> 1, 2015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47DF9" w14:textId="77777777" w:rsidR="00100603" w:rsidRDefault="00100603" w:rsidP="007C0AA4">
      <w:r>
        <w:separator/>
      </w:r>
    </w:p>
  </w:footnote>
  <w:footnote w:type="continuationSeparator" w:id="0">
    <w:p w14:paraId="3FE6A6A1" w14:textId="77777777" w:rsidR="00100603" w:rsidRDefault="00100603" w:rsidP="007C0A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D1315" w14:textId="77777777" w:rsidR="002F4B22" w:rsidRDefault="002F4B22" w:rsidP="00647502">
    <w:pPr>
      <w:pStyle w:val="Header"/>
    </w:pPr>
    <w:r>
      <w:t>PROTOCOL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5365B7"/>
    <w:multiLevelType w:val="hybridMultilevel"/>
    <w:tmpl w:val="DA905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E97482E"/>
    <w:multiLevelType w:val="hybridMultilevel"/>
    <w:tmpl w:val="BE32F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0">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056ADA"/>
    <w:multiLevelType w:val="hybridMultilevel"/>
    <w:tmpl w:val="1C0446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5449E6"/>
    <w:multiLevelType w:val="hybridMultilevel"/>
    <w:tmpl w:val="B7E2E6B6"/>
    <w:lvl w:ilvl="0" w:tplc="AC781F42">
      <w:start w:val="1"/>
      <w:numFmt w:val="upperRoman"/>
      <w:lvlText w:val="%1."/>
      <w:lvlJc w:val="left"/>
      <w:pPr>
        <w:tabs>
          <w:tab w:val="num" w:pos="720"/>
        </w:tabs>
        <w:ind w:left="720" w:hanging="720"/>
      </w:pPr>
      <w:rPr>
        <w:rFonts w:ascii="Arial" w:hAnsi="Arial" w:hint="default"/>
        <w:sz w:val="28"/>
      </w:rPr>
    </w:lvl>
    <w:lvl w:ilvl="1" w:tplc="EA045BFA">
      <w:start w:val="1"/>
      <w:numFmt w:val="upperLetter"/>
      <w:lvlText w:val="%2."/>
      <w:lvlJc w:val="left"/>
      <w:pPr>
        <w:tabs>
          <w:tab w:val="num" w:pos="360"/>
        </w:tabs>
        <w:ind w:left="360" w:hanging="360"/>
      </w:pPr>
      <w:rPr>
        <w:rFonts w:hint="default"/>
        <w:b w:val="0"/>
        <w:sz w:val="28"/>
      </w:rPr>
    </w:lvl>
    <w:lvl w:ilvl="2" w:tplc="0409001B">
      <w:start w:val="1"/>
      <w:numFmt w:val="lowerRoman"/>
      <w:lvlText w:val="%3."/>
      <w:lvlJc w:val="right"/>
      <w:pPr>
        <w:tabs>
          <w:tab w:val="num" w:pos="1080"/>
        </w:tabs>
        <w:ind w:left="1080" w:hanging="180"/>
      </w:pPr>
    </w:lvl>
    <w:lvl w:ilvl="3" w:tplc="8C507868">
      <w:start w:val="1"/>
      <w:numFmt w:val="lowerLetter"/>
      <w:lvlText w:val="%4."/>
      <w:lvlJc w:val="left"/>
      <w:pPr>
        <w:ind w:left="1800" w:hanging="360"/>
      </w:pPr>
      <w:rPr>
        <w:rFonts w:ascii="Calibri" w:eastAsia="Times New Roman" w:hAnsi="Calibri" w:cs="Calibri"/>
      </w:rPr>
    </w:lvl>
    <w:lvl w:ilvl="4" w:tplc="04090019">
      <w:start w:val="1"/>
      <w:numFmt w:val="lowerLetter"/>
      <w:lvlText w:val="%5."/>
      <w:lvlJc w:val="left"/>
      <w:pPr>
        <w:tabs>
          <w:tab w:val="num" w:pos="2520"/>
        </w:tabs>
        <w:ind w:left="2520" w:hanging="360"/>
      </w:pPr>
    </w:lvl>
    <w:lvl w:ilvl="5" w:tplc="61F21100">
      <w:start w:val="1"/>
      <w:numFmt w:val="decimal"/>
      <w:lvlText w:val="%6."/>
      <w:lvlJc w:val="left"/>
      <w:pPr>
        <w:ind w:left="3420" w:hanging="360"/>
      </w:pPr>
      <w:rPr>
        <w:rFonts w:hint="default"/>
      </w:r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2">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EB315C6"/>
    <w:multiLevelType w:val="hybridMultilevel"/>
    <w:tmpl w:val="0868B710"/>
    <w:lvl w:ilvl="0" w:tplc="E4B0B16A">
      <w:start w:val="1"/>
      <w:numFmt w:val="decimal"/>
      <w:lvlText w:val="1.%1"/>
      <w:lvlJc w:val="left"/>
      <w:pPr>
        <w:ind w:left="1440" w:hanging="360"/>
      </w:pPr>
      <w:rPr>
        <w:rFonts w:ascii="Times New Roman" w:hAnsi="Times New Roman" w:hint="default"/>
        <w:b w:val="0"/>
        <w:i/>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EFC1A1C"/>
    <w:multiLevelType w:val="hybridMultilevel"/>
    <w:tmpl w:val="9FFABE5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79894E85"/>
    <w:multiLevelType w:val="hybridMultilevel"/>
    <w:tmpl w:val="D892E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2"/>
  </w:num>
  <w:num w:numId="3">
    <w:abstractNumId w:val="1"/>
  </w:num>
  <w:num w:numId="4">
    <w:abstractNumId w:val="0"/>
  </w:num>
  <w:num w:numId="5">
    <w:abstractNumId w:val="7"/>
  </w:num>
  <w:num w:numId="6">
    <w:abstractNumId w:val="19"/>
  </w:num>
  <w:num w:numId="7">
    <w:abstractNumId w:val="9"/>
  </w:num>
  <w:num w:numId="8">
    <w:abstractNumId w:val="15"/>
  </w:num>
  <w:num w:numId="9">
    <w:abstractNumId w:val="18"/>
  </w:num>
  <w:num w:numId="10">
    <w:abstractNumId w:val="11"/>
  </w:num>
  <w:num w:numId="11">
    <w:abstractNumId w:val="3"/>
  </w:num>
  <w:num w:numId="12">
    <w:abstractNumId w:val="12"/>
  </w:num>
  <w:num w:numId="13">
    <w:abstractNumId w:val="14"/>
  </w:num>
  <w:num w:numId="14">
    <w:abstractNumId w:val="26"/>
  </w:num>
  <w:num w:numId="15">
    <w:abstractNumId w:val="30"/>
  </w:num>
  <w:num w:numId="16">
    <w:abstractNumId w:val="27"/>
  </w:num>
  <w:num w:numId="17">
    <w:abstractNumId w:val="17"/>
  </w:num>
  <w:num w:numId="18">
    <w:abstractNumId w:val="10"/>
  </w:num>
  <w:num w:numId="19">
    <w:abstractNumId w:val="16"/>
  </w:num>
  <w:num w:numId="20">
    <w:abstractNumId w:val="13"/>
  </w:num>
  <w:num w:numId="21">
    <w:abstractNumId w:val="6"/>
  </w:num>
  <w:num w:numId="22">
    <w:abstractNumId w:val="22"/>
  </w:num>
  <w:num w:numId="23">
    <w:abstractNumId w:val="23"/>
  </w:num>
  <w:num w:numId="24">
    <w:abstractNumId w:val="5"/>
  </w:num>
  <w:num w:numId="25">
    <w:abstractNumId w:val="25"/>
  </w:num>
  <w:num w:numId="26">
    <w:abstractNumId w:val="8"/>
  </w:num>
  <w:num w:numId="27">
    <w:abstractNumId w:val="4"/>
  </w:num>
  <w:num w:numId="28">
    <w:abstractNumId w:val="20"/>
  </w:num>
  <w:num w:numId="29">
    <w:abstractNumId w:val="24"/>
  </w:num>
  <w:num w:numId="30">
    <w:abstractNumId w:val="28"/>
  </w:num>
  <w:num w:numId="31">
    <w:abstractNumId w:val="21"/>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bra Gibson Tice">
    <w15:presenceInfo w15:providerId="AD" w15:userId="S-1-5-21-216754080-2978588013-1213437430-1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F022755E-7263-41B7-9B23-8E738C1B9A25}"/>
    <w:docVar w:name="dgnword-eventsink" w:val="186254352"/>
  </w:docVars>
  <w:rsids>
    <w:rsidRoot w:val="007C0AA4"/>
    <w:rsid w:val="000008E7"/>
    <w:rsid w:val="000176CD"/>
    <w:rsid w:val="00021416"/>
    <w:rsid w:val="000305D7"/>
    <w:rsid w:val="00033F6D"/>
    <w:rsid w:val="00034B6D"/>
    <w:rsid w:val="00043EC2"/>
    <w:rsid w:val="00053DC2"/>
    <w:rsid w:val="00053E55"/>
    <w:rsid w:val="000623B7"/>
    <w:rsid w:val="000651A8"/>
    <w:rsid w:val="000678E0"/>
    <w:rsid w:val="000705CF"/>
    <w:rsid w:val="00080915"/>
    <w:rsid w:val="0008389B"/>
    <w:rsid w:val="000937AB"/>
    <w:rsid w:val="00093D0C"/>
    <w:rsid w:val="00095B99"/>
    <w:rsid w:val="000A0D2E"/>
    <w:rsid w:val="000A3196"/>
    <w:rsid w:val="000B5743"/>
    <w:rsid w:val="000C0B9D"/>
    <w:rsid w:val="000D3591"/>
    <w:rsid w:val="000D3A9B"/>
    <w:rsid w:val="000D3F01"/>
    <w:rsid w:val="000D5A03"/>
    <w:rsid w:val="000E1FF1"/>
    <w:rsid w:val="000E3478"/>
    <w:rsid w:val="000E6F07"/>
    <w:rsid w:val="000F7148"/>
    <w:rsid w:val="00100603"/>
    <w:rsid w:val="0011070A"/>
    <w:rsid w:val="001107C4"/>
    <w:rsid w:val="00112FF7"/>
    <w:rsid w:val="0011551B"/>
    <w:rsid w:val="00124545"/>
    <w:rsid w:val="001351F7"/>
    <w:rsid w:val="00144D74"/>
    <w:rsid w:val="00146A7C"/>
    <w:rsid w:val="00155AFC"/>
    <w:rsid w:val="00161E74"/>
    <w:rsid w:val="00170049"/>
    <w:rsid w:val="00186FE5"/>
    <w:rsid w:val="00193A08"/>
    <w:rsid w:val="00194D67"/>
    <w:rsid w:val="001A0ED4"/>
    <w:rsid w:val="001A1156"/>
    <w:rsid w:val="001B56EF"/>
    <w:rsid w:val="001B678E"/>
    <w:rsid w:val="001B6D07"/>
    <w:rsid w:val="001C15EC"/>
    <w:rsid w:val="001C5D9B"/>
    <w:rsid w:val="001C7854"/>
    <w:rsid w:val="001D03B5"/>
    <w:rsid w:val="001E2287"/>
    <w:rsid w:val="001E29F0"/>
    <w:rsid w:val="001E7891"/>
    <w:rsid w:val="001F0140"/>
    <w:rsid w:val="001F42CB"/>
    <w:rsid w:val="0020066F"/>
    <w:rsid w:val="00217B63"/>
    <w:rsid w:val="002273CB"/>
    <w:rsid w:val="00246B3A"/>
    <w:rsid w:val="00250D20"/>
    <w:rsid w:val="00257537"/>
    <w:rsid w:val="002575CD"/>
    <w:rsid w:val="002607F3"/>
    <w:rsid w:val="00262C07"/>
    <w:rsid w:val="0026485B"/>
    <w:rsid w:val="0026513D"/>
    <w:rsid w:val="002679DD"/>
    <w:rsid w:val="00282878"/>
    <w:rsid w:val="002847E3"/>
    <w:rsid w:val="002A08FD"/>
    <w:rsid w:val="002A78FB"/>
    <w:rsid w:val="002B1D4E"/>
    <w:rsid w:val="002B3F8D"/>
    <w:rsid w:val="002C36C5"/>
    <w:rsid w:val="002C3792"/>
    <w:rsid w:val="002F0F2D"/>
    <w:rsid w:val="002F4B22"/>
    <w:rsid w:val="002F75AE"/>
    <w:rsid w:val="00304BC6"/>
    <w:rsid w:val="0032245B"/>
    <w:rsid w:val="0032353B"/>
    <w:rsid w:val="00334106"/>
    <w:rsid w:val="0034056D"/>
    <w:rsid w:val="00351FAB"/>
    <w:rsid w:val="003603DC"/>
    <w:rsid w:val="00362C8E"/>
    <w:rsid w:val="00371D8D"/>
    <w:rsid w:val="00393FAF"/>
    <w:rsid w:val="00397991"/>
    <w:rsid w:val="003A1B95"/>
    <w:rsid w:val="003A5160"/>
    <w:rsid w:val="003B0698"/>
    <w:rsid w:val="003B485B"/>
    <w:rsid w:val="003C3F10"/>
    <w:rsid w:val="003C4100"/>
    <w:rsid w:val="003C7115"/>
    <w:rsid w:val="003D1016"/>
    <w:rsid w:val="003D6E02"/>
    <w:rsid w:val="003E76C9"/>
    <w:rsid w:val="003F1AC6"/>
    <w:rsid w:val="004029DF"/>
    <w:rsid w:val="004040C6"/>
    <w:rsid w:val="00406E29"/>
    <w:rsid w:val="004110A0"/>
    <w:rsid w:val="00416A41"/>
    <w:rsid w:val="00422FB1"/>
    <w:rsid w:val="00431A92"/>
    <w:rsid w:val="0043279F"/>
    <w:rsid w:val="00440B1C"/>
    <w:rsid w:val="0044690C"/>
    <w:rsid w:val="00463A0F"/>
    <w:rsid w:val="00467FE0"/>
    <w:rsid w:val="00486AA0"/>
    <w:rsid w:val="00490BEB"/>
    <w:rsid w:val="00492D91"/>
    <w:rsid w:val="004A59AB"/>
    <w:rsid w:val="004C3F3E"/>
    <w:rsid w:val="004C783B"/>
    <w:rsid w:val="004C791F"/>
    <w:rsid w:val="004D28DA"/>
    <w:rsid w:val="004D2C49"/>
    <w:rsid w:val="004E65B9"/>
    <w:rsid w:val="004F127A"/>
    <w:rsid w:val="004F2BAF"/>
    <w:rsid w:val="004F2C74"/>
    <w:rsid w:val="005000AF"/>
    <w:rsid w:val="00507E44"/>
    <w:rsid w:val="00513EB6"/>
    <w:rsid w:val="00522E61"/>
    <w:rsid w:val="00526A73"/>
    <w:rsid w:val="00526CF6"/>
    <w:rsid w:val="00532C8C"/>
    <w:rsid w:val="00533901"/>
    <w:rsid w:val="005404EF"/>
    <w:rsid w:val="0054057D"/>
    <w:rsid w:val="0054075B"/>
    <w:rsid w:val="00550D01"/>
    <w:rsid w:val="0055384E"/>
    <w:rsid w:val="00554E94"/>
    <w:rsid w:val="005716E4"/>
    <w:rsid w:val="00573BAF"/>
    <w:rsid w:val="005740E4"/>
    <w:rsid w:val="00590A69"/>
    <w:rsid w:val="00594D81"/>
    <w:rsid w:val="00597831"/>
    <w:rsid w:val="005A06C9"/>
    <w:rsid w:val="005A5B75"/>
    <w:rsid w:val="005C2666"/>
    <w:rsid w:val="005C616A"/>
    <w:rsid w:val="005C6E9A"/>
    <w:rsid w:val="005C7DFD"/>
    <w:rsid w:val="005D2B4B"/>
    <w:rsid w:val="005D6639"/>
    <w:rsid w:val="005D7ADF"/>
    <w:rsid w:val="005E19A0"/>
    <w:rsid w:val="005E1F7C"/>
    <w:rsid w:val="005E1F8E"/>
    <w:rsid w:val="005F1D0E"/>
    <w:rsid w:val="005F6C5E"/>
    <w:rsid w:val="006007BD"/>
    <w:rsid w:val="0062269A"/>
    <w:rsid w:val="00627303"/>
    <w:rsid w:val="00630667"/>
    <w:rsid w:val="00630E45"/>
    <w:rsid w:val="00631E6C"/>
    <w:rsid w:val="0064063A"/>
    <w:rsid w:val="00646DEB"/>
    <w:rsid w:val="00647502"/>
    <w:rsid w:val="00652C8B"/>
    <w:rsid w:val="00656F15"/>
    <w:rsid w:val="00675BAE"/>
    <w:rsid w:val="006772EE"/>
    <w:rsid w:val="00685D8C"/>
    <w:rsid w:val="006914EE"/>
    <w:rsid w:val="00691CCC"/>
    <w:rsid w:val="006A0519"/>
    <w:rsid w:val="006A7B8B"/>
    <w:rsid w:val="006B08BE"/>
    <w:rsid w:val="006B1BDD"/>
    <w:rsid w:val="006B348B"/>
    <w:rsid w:val="006C5E96"/>
    <w:rsid w:val="006D284E"/>
    <w:rsid w:val="006E60CE"/>
    <w:rsid w:val="00702B45"/>
    <w:rsid w:val="00705DDD"/>
    <w:rsid w:val="007067C9"/>
    <w:rsid w:val="00706D33"/>
    <w:rsid w:val="00717AF1"/>
    <w:rsid w:val="00744885"/>
    <w:rsid w:val="00751352"/>
    <w:rsid w:val="00751BF3"/>
    <w:rsid w:val="007754FA"/>
    <w:rsid w:val="007864B2"/>
    <w:rsid w:val="007909C3"/>
    <w:rsid w:val="00792B83"/>
    <w:rsid w:val="00797723"/>
    <w:rsid w:val="007A1785"/>
    <w:rsid w:val="007A24A2"/>
    <w:rsid w:val="007A4BF3"/>
    <w:rsid w:val="007B508F"/>
    <w:rsid w:val="007C0AA4"/>
    <w:rsid w:val="007C4F23"/>
    <w:rsid w:val="007C5509"/>
    <w:rsid w:val="007C5B2A"/>
    <w:rsid w:val="007D64C3"/>
    <w:rsid w:val="007F3807"/>
    <w:rsid w:val="007F411D"/>
    <w:rsid w:val="00801E91"/>
    <w:rsid w:val="00811473"/>
    <w:rsid w:val="00814788"/>
    <w:rsid w:val="00825FAD"/>
    <w:rsid w:val="00834A5D"/>
    <w:rsid w:val="008458D3"/>
    <w:rsid w:val="0085079A"/>
    <w:rsid w:val="00877A28"/>
    <w:rsid w:val="0088163E"/>
    <w:rsid w:val="00882B32"/>
    <w:rsid w:val="008835DF"/>
    <w:rsid w:val="00892AD2"/>
    <w:rsid w:val="008A2A5B"/>
    <w:rsid w:val="008A3B86"/>
    <w:rsid w:val="008B69F7"/>
    <w:rsid w:val="008C5C71"/>
    <w:rsid w:val="008C6F3B"/>
    <w:rsid w:val="008C734A"/>
    <w:rsid w:val="008D3665"/>
    <w:rsid w:val="008D6ADE"/>
    <w:rsid w:val="008D7AA0"/>
    <w:rsid w:val="008E38A9"/>
    <w:rsid w:val="008E577F"/>
    <w:rsid w:val="008F33BA"/>
    <w:rsid w:val="008F6401"/>
    <w:rsid w:val="009046FC"/>
    <w:rsid w:val="00921E93"/>
    <w:rsid w:val="00922DC2"/>
    <w:rsid w:val="00926918"/>
    <w:rsid w:val="00931414"/>
    <w:rsid w:val="00933FEE"/>
    <w:rsid w:val="0093527D"/>
    <w:rsid w:val="009373E7"/>
    <w:rsid w:val="00947F2F"/>
    <w:rsid w:val="0095675E"/>
    <w:rsid w:val="00957EA4"/>
    <w:rsid w:val="00965EE8"/>
    <w:rsid w:val="009668D0"/>
    <w:rsid w:val="00997964"/>
    <w:rsid w:val="009A2408"/>
    <w:rsid w:val="009A6FFB"/>
    <w:rsid w:val="009B16A2"/>
    <w:rsid w:val="009B4D64"/>
    <w:rsid w:val="009C2208"/>
    <w:rsid w:val="009C3E9F"/>
    <w:rsid w:val="009C559D"/>
    <w:rsid w:val="009C650D"/>
    <w:rsid w:val="009C74B0"/>
    <w:rsid w:val="009D0BDB"/>
    <w:rsid w:val="009D0CF9"/>
    <w:rsid w:val="009E0ADE"/>
    <w:rsid w:val="009E6504"/>
    <w:rsid w:val="009F0F8B"/>
    <w:rsid w:val="00A01D71"/>
    <w:rsid w:val="00A0209C"/>
    <w:rsid w:val="00A102C8"/>
    <w:rsid w:val="00A11779"/>
    <w:rsid w:val="00A14320"/>
    <w:rsid w:val="00A14A12"/>
    <w:rsid w:val="00A203E7"/>
    <w:rsid w:val="00A23DAC"/>
    <w:rsid w:val="00A42FB8"/>
    <w:rsid w:val="00A4351F"/>
    <w:rsid w:val="00A51025"/>
    <w:rsid w:val="00A5242D"/>
    <w:rsid w:val="00A57602"/>
    <w:rsid w:val="00A63E4C"/>
    <w:rsid w:val="00A63EF9"/>
    <w:rsid w:val="00A66062"/>
    <w:rsid w:val="00A72848"/>
    <w:rsid w:val="00A8226D"/>
    <w:rsid w:val="00A92272"/>
    <w:rsid w:val="00A933D0"/>
    <w:rsid w:val="00A969E1"/>
    <w:rsid w:val="00A9787E"/>
    <w:rsid w:val="00AA2384"/>
    <w:rsid w:val="00AA5C9F"/>
    <w:rsid w:val="00AB2776"/>
    <w:rsid w:val="00AB2CE5"/>
    <w:rsid w:val="00AD03CE"/>
    <w:rsid w:val="00AD2044"/>
    <w:rsid w:val="00AE3058"/>
    <w:rsid w:val="00AE5827"/>
    <w:rsid w:val="00AE7926"/>
    <w:rsid w:val="00AF4E56"/>
    <w:rsid w:val="00AF67C7"/>
    <w:rsid w:val="00B03693"/>
    <w:rsid w:val="00B10D05"/>
    <w:rsid w:val="00B23693"/>
    <w:rsid w:val="00B2556D"/>
    <w:rsid w:val="00B2636D"/>
    <w:rsid w:val="00B42158"/>
    <w:rsid w:val="00B4239F"/>
    <w:rsid w:val="00B57B69"/>
    <w:rsid w:val="00B65ECA"/>
    <w:rsid w:val="00B71B8F"/>
    <w:rsid w:val="00B72257"/>
    <w:rsid w:val="00B7531C"/>
    <w:rsid w:val="00B85F69"/>
    <w:rsid w:val="00B96607"/>
    <w:rsid w:val="00BA3224"/>
    <w:rsid w:val="00BA669D"/>
    <w:rsid w:val="00BA7B12"/>
    <w:rsid w:val="00BB2C26"/>
    <w:rsid w:val="00BD1366"/>
    <w:rsid w:val="00BD44EF"/>
    <w:rsid w:val="00BF0045"/>
    <w:rsid w:val="00BF1D11"/>
    <w:rsid w:val="00BF5A42"/>
    <w:rsid w:val="00C00E89"/>
    <w:rsid w:val="00C246B8"/>
    <w:rsid w:val="00C25F68"/>
    <w:rsid w:val="00C32632"/>
    <w:rsid w:val="00C3310A"/>
    <w:rsid w:val="00C406EA"/>
    <w:rsid w:val="00C55802"/>
    <w:rsid w:val="00C57243"/>
    <w:rsid w:val="00C57AE1"/>
    <w:rsid w:val="00C719E4"/>
    <w:rsid w:val="00C763C7"/>
    <w:rsid w:val="00C766F8"/>
    <w:rsid w:val="00C92723"/>
    <w:rsid w:val="00CA0CB1"/>
    <w:rsid w:val="00CA1C21"/>
    <w:rsid w:val="00CA4112"/>
    <w:rsid w:val="00CD3698"/>
    <w:rsid w:val="00CD6881"/>
    <w:rsid w:val="00CD7F08"/>
    <w:rsid w:val="00CE4037"/>
    <w:rsid w:val="00CF56B7"/>
    <w:rsid w:val="00CF774A"/>
    <w:rsid w:val="00D028E1"/>
    <w:rsid w:val="00D14278"/>
    <w:rsid w:val="00D2299F"/>
    <w:rsid w:val="00D23459"/>
    <w:rsid w:val="00D25F31"/>
    <w:rsid w:val="00D305B9"/>
    <w:rsid w:val="00D40D23"/>
    <w:rsid w:val="00D46D6A"/>
    <w:rsid w:val="00D47D5A"/>
    <w:rsid w:val="00D50E0C"/>
    <w:rsid w:val="00D557AD"/>
    <w:rsid w:val="00D61D52"/>
    <w:rsid w:val="00D70764"/>
    <w:rsid w:val="00D810BA"/>
    <w:rsid w:val="00D84A6C"/>
    <w:rsid w:val="00D91903"/>
    <w:rsid w:val="00D94D6B"/>
    <w:rsid w:val="00D95507"/>
    <w:rsid w:val="00D97247"/>
    <w:rsid w:val="00DA005F"/>
    <w:rsid w:val="00DA2F5F"/>
    <w:rsid w:val="00DB47D1"/>
    <w:rsid w:val="00DC23E3"/>
    <w:rsid w:val="00DD035F"/>
    <w:rsid w:val="00DD5D1F"/>
    <w:rsid w:val="00DE1731"/>
    <w:rsid w:val="00DE529E"/>
    <w:rsid w:val="00DF3CDD"/>
    <w:rsid w:val="00DF3D3D"/>
    <w:rsid w:val="00E05367"/>
    <w:rsid w:val="00E16050"/>
    <w:rsid w:val="00E205A2"/>
    <w:rsid w:val="00E23C37"/>
    <w:rsid w:val="00E25AC4"/>
    <w:rsid w:val="00E2733F"/>
    <w:rsid w:val="00E32CCC"/>
    <w:rsid w:val="00E37DE4"/>
    <w:rsid w:val="00E41FF3"/>
    <w:rsid w:val="00E52214"/>
    <w:rsid w:val="00E577F4"/>
    <w:rsid w:val="00E64921"/>
    <w:rsid w:val="00E66054"/>
    <w:rsid w:val="00E73464"/>
    <w:rsid w:val="00EA2720"/>
    <w:rsid w:val="00EA3F78"/>
    <w:rsid w:val="00EA478F"/>
    <w:rsid w:val="00EA71BB"/>
    <w:rsid w:val="00EA7A20"/>
    <w:rsid w:val="00EB01B8"/>
    <w:rsid w:val="00EB6306"/>
    <w:rsid w:val="00EC0039"/>
    <w:rsid w:val="00EC1ECB"/>
    <w:rsid w:val="00ED5E95"/>
    <w:rsid w:val="00EE620E"/>
    <w:rsid w:val="00EE651D"/>
    <w:rsid w:val="00EE6AD4"/>
    <w:rsid w:val="00EF6FA0"/>
    <w:rsid w:val="00F06268"/>
    <w:rsid w:val="00F14A9E"/>
    <w:rsid w:val="00F20768"/>
    <w:rsid w:val="00F23D6C"/>
    <w:rsid w:val="00F246C0"/>
    <w:rsid w:val="00F26F71"/>
    <w:rsid w:val="00F317BA"/>
    <w:rsid w:val="00F44097"/>
    <w:rsid w:val="00F5525C"/>
    <w:rsid w:val="00F56C1D"/>
    <w:rsid w:val="00F63842"/>
    <w:rsid w:val="00F902F4"/>
    <w:rsid w:val="00F91F71"/>
    <w:rsid w:val="00F93A0E"/>
    <w:rsid w:val="00F96782"/>
    <w:rsid w:val="00FA08B5"/>
    <w:rsid w:val="00FA5370"/>
    <w:rsid w:val="00FA68F5"/>
    <w:rsid w:val="00FB1A7D"/>
    <w:rsid w:val="00FB1C3A"/>
    <w:rsid w:val="00FB1D74"/>
    <w:rsid w:val="00FB438E"/>
    <w:rsid w:val="00FB47B5"/>
    <w:rsid w:val="00FB65CC"/>
    <w:rsid w:val="00FC0477"/>
    <w:rsid w:val="00FC306F"/>
    <w:rsid w:val="00FC47CD"/>
    <w:rsid w:val="00FC7F00"/>
    <w:rsid w:val="00FD1B1B"/>
    <w:rsid w:val="00FE2286"/>
    <w:rsid w:val="00FE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01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16"/>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semiHidden/>
    <w:rsid w:val="009D0BDB"/>
    <w:rPr>
      <w:sz w:val="16"/>
      <w:szCs w:val="16"/>
    </w:rPr>
  </w:style>
  <w:style w:type="paragraph" w:styleId="CommentText">
    <w:name w:val="annotation text"/>
    <w:basedOn w:val="Normal"/>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6"/>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baec5a81-e4d6-4674-97f3-e9220f0136c1">
    <w:name w:val="baec5a81-e4d6-4674-97f3-e9220f0136c1"/>
    <w:basedOn w:val="DefaultParagraphFont"/>
    <w:rsid w:val="002F4B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16"/>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semiHidden/>
    <w:rsid w:val="009D0BDB"/>
    <w:rPr>
      <w:sz w:val="16"/>
      <w:szCs w:val="16"/>
    </w:rPr>
  </w:style>
  <w:style w:type="paragraph" w:styleId="CommentText">
    <w:name w:val="annotation text"/>
    <w:basedOn w:val="Normal"/>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6"/>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baec5a81-e4d6-4674-97f3-e9220f0136c1">
    <w:name w:val="baec5a81-e4d6-4674-97f3-e9220f0136c1"/>
    <w:basedOn w:val="DefaultParagraphFont"/>
    <w:rsid w:val="002F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irb@northwestern.edu"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20irb@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3.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5.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6.xml><?xml version="1.0" encoding="utf-8"?>
<ds:datastoreItem xmlns:ds="http://schemas.openxmlformats.org/officeDocument/2006/customXml" ds:itemID="{18CC2C20-F33E-437F-92A7-EB2C4CC7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RP-503 - TEMPLATE PROTOCOL</vt:lpstr>
    </vt:vector>
  </TitlesOfParts>
  <Manager>Stuart Horowitz, PhD, MBA, CHRC</Manager>
  <Company>Huron Consulting Group, Inc.</Company>
  <LinksUpToDate>false</LinksUpToDate>
  <CharactersWithSpaces>11062</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RP-503 - TEMPLATE PROTOCOL</dc:title>
  <dc:subject>Huron HRPP ToolKit</dc:subject>
  <dc:creator>Jeffrey A. Cooper, MD, MMM</dc:creator>
  <cp:keywords>Huron, HRPP, SOP</cp:keywords>
  <dc:description>©2009-2012 Huron Consulting Services, LLC. Use and distribution subject to End User License Agreement at http://www.huronconsultinggroup.com/SOP</dc:description>
  <cp:lastModifiedBy>Kathleen E. Murphy</cp:lastModifiedBy>
  <cp:revision>2</cp:revision>
  <cp:lastPrinted>2010-09-10T14:56:00Z</cp:lastPrinted>
  <dcterms:created xsi:type="dcterms:W3CDTF">2015-08-03T12:40:00Z</dcterms:created>
  <dcterms:modified xsi:type="dcterms:W3CDTF">2015-08-03T12:40:00Z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4fdc2762-ae2c-465c-9680-68fd68ba06f0</vt:lpwstr>
  </property>
  <property fmtid="{D5CDD505-2E9C-101B-9397-08002B2CF9AE}" pid="4" name="_dlc_DocIdUrl">
    <vt:lpwstr>https://omega.huronconsultinggroup.com/hec/hels/meth/lsas/hrpp/_layouts/DocIdRedir.aspx?ID=ZZ3N2KNH64PS-1493-287, ZZ3N2KNH64PS-1493-287</vt:lpwstr>
  </property>
</Properties>
</file>