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F47" w:rsidRPr="009E771B" w:rsidRDefault="00390F47" w:rsidP="00390F47">
      <w:pPr>
        <w:spacing w:before="120"/>
        <w:ind w:right="720"/>
        <w:rPr>
          <w:rFonts w:ascii="Calibri" w:hAnsi="Calibri" w:cs="Calibri"/>
          <w:color w:val="000000"/>
          <w:sz w:val="22"/>
          <w:szCs w:val="22"/>
          <w:u w:val="single"/>
        </w:rPr>
      </w:pPr>
      <w:bookmarkStart w:id="0" w:name="_GoBack"/>
      <w:bookmarkEnd w:id="0"/>
    </w:p>
    <w:p w:rsidR="00390F47" w:rsidRPr="009E771B" w:rsidRDefault="00390F47" w:rsidP="00390F47">
      <w:pPr>
        <w:spacing w:before="120"/>
        <w:ind w:right="720"/>
        <w:rPr>
          <w:rFonts w:ascii="Calibri" w:hAnsi="Calibri" w:cs="Calibri"/>
          <w:b/>
          <w:color w:val="000000"/>
        </w:rPr>
      </w:pPr>
      <w:r w:rsidRPr="009E771B">
        <w:rPr>
          <w:rFonts w:ascii="Calibri" w:hAnsi="Calibri" w:cs="Calibri"/>
          <w:b/>
          <w:color w:val="000000"/>
        </w:rPr>
        <w:t>Summar</w:t>
      </w:r>
      <w:r w:rsidR="00390395">
        <w:rPr>
          <w:rFonts w:ascii="Calibri" w:hAnsi="Calibri" w:cs="Calibri"/>
          <w:b/>
          <w:color w:val="000000"/>
        </w:rPr>
        <w:t>ies</w:t>
      </w:r>
      <w:r w:rsidRPr="009E771B">
        <w:rPr>
          <w:rFonts w:ascii="Calibri" w:hAnsi="Calibri" w:cs="Calibri"/>
          <w:b/>
          <w:color w:val="000000"/>
        </w:rPr>
        <w:t xml:space="preserve"> of publically-</w:t>
      </w:r>
      <w:r w:rsidR="00B12F1A">
        <w:rPr>
          <w:rFonts w:ascii="Calibri" w:hAnsi="Calibri" w:cs="Calibri"/>
          <w:b/>
          <w:color w:val="000000"/>
        </w:rPr>
        <w:t>available</w:t>
      </w:r>
      <w:r w:rsidRPr="009E771B">
        <w:rPr>
          <w:rFonts w:ascii="Calibri" w:hAnsi="Calibri" w:cs="Calibri"/>
          <w:b/>
          <w:color w:val="000000"/>
        </w:rPr>
        <w:t xml:space="preserve"> postsecondary education data</w:t>
      </w:r>
    </w:p>
    <w:p w:rsidR="00390F47" w:rsidRPr="009E771B" w:rsidRDefault="00390F47" w:rsidP="00390F47">
      <w:pPr>
        <w:spacing w:before="120"/>
        <w:ind w:right="720"/>
        <w:rPr>
          <w:rFonts w:ascii="Calibri" w:hAnsi="Calibri" w:cs="Calibri"/>
          <w:b/>
          <w:color w:val="000000"/>
        </w:rPr>
      </w:pPr>
    </w:p>
    <w:p w:rsidR="00390F47" w:rsidRPr="009E771B" w:rsidRDefault="00390F47" w:rsidP="00390395">
      <w:pPr>
        <w:pStyle w:val="NormalWeb"/>
        <w:numPr>
          <w:ilvl w:val="0"/>
          <w:numId w:val="2"/>
        </w:numPr>
        <w:spacing w:before="120" w:beforeAutospacing="0" w:after="240" w:afterAutospacing="0"/>
        <w:ind w:right="720"/>
        <w:rPr>
          <w:rFonts w:ascii="Calibri" w:hAnsi="Calibri" w:cs="Calibri"/>
          <w:sz w:val="22"/>
          <w:szCs w:val="22"/>
        </w:rPr>
      </w:pPr>
      <w:r w:rsidRPr="009E771B">
        <w:rPr>
          <w:rFonts w:ascii="Calibri" w:eastAsia="Times New Roman" w:hAnsi="Calibri" w:cs="Calibri"/>
          <w:color w:val="000000"/>
          <w:sz w:val="22"/>
          <w:szCs w:val="22"/>
          <w:u w:val="single"/>
        </w:rPr>
        <w:t>Beginning Postsecondary Students Longitudinal Study (BPS)</w:t>
      </w:r>
      <w:r w:rsidRPr="009E771B">
        <w:rPr>
          <w:rFonts w:ascii="Calibri" w:eastAsia="Times New Roman" w:hAnsi="Calibri" w:cs="Calibri"/>
          <w:color w:val="000000"/>
          <w:sz w:val="22"/>
          <w:szCs w:val="22"/>
        </w:rPr>
        <w:t>: 2003-04 college freshmen with follow-up information on enrollment and degree attainment collected in 2006 and 2009; 1995-96 college freshmen with follow-up information collected in 1998 and 2001.</w:t>
      </w:r>
    </w:p>
    <w:p w:rsidR="00390F47" w:rsidRPr="009E771B" w:rsidRDefault="00390F47" w:rsidP="00390395">
      <w:pPr>
        <w:pStyle w:val="NormalWeb"/>
        <w:numPr>
          <w:ilvl w:val="0"/>
          <w:numId w:val="2"/>
        </w:numPr>
        <w:spacing w:before="120" w:beforeAutospacing="0" w:after="240" w:afterAutospacing="0"/>
        <w:ind w:right="720"/>
        <w:rPr>
          <w:rFonts w:ascii="Calibri" w:hAnsi="Calibri" w:cs="Calibri"/>
          <w:sz w:val="22"/>
          <w:szCs w:val="22"/>
        </w:rPr>
      </w:pPr>
      <w:r w:rsidRPr="009E771B">
        <w:rPr>
          <w:rFonts w:ascii="Calibri" w:eastAsia="Times New Roman" w:hAnsi="Calibri" w:cs="Calibri"/>
          <w:color w:val="000000"/>
          <w:sz w:val="22"/>
          <w:szCs w:val="22"/>
          <w:u w:val="single"/>
        </w:rPr>
        <w:t>Educational Longitudinal Study of 2002 (ELS)</w:t>
      </w:r>
      <w:r w:rsidRPr="009E771B">
        <w:rPr>
          <w:rFonts w:ascii="Calibri" w:eastAsia="Times New Roman" w:hAnsi="Calibri" w:cs="Calibri"/>
          <w:color w:val="000000"/>
          <w:sz w:val="22"/>
          <w:szCs w:val="22"/>
        </w:rPr>
        <w:t>: Nationally representative sample of 10</w:t>
      </w:r>
      <w:r w:rsidRPr="009E771B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 xml:space="preserve">th </w:t>
      </w:r>
      <w:r w:rsidRPr="009E771B">
        <w:rPr>
          <w:rFonts w:ascii="Calibri" w:eastAsia="Times New Roman" w:hAnsi="Calibri" w:cs="Calibri"/>
          <w:color w:val="000000"/>
          <w:sz w:val="22"/>
          <w:szCs w:val="22"/>
        </w:rPr>
        <w:t>grade students, collecting data from these students and their</w:t>
      </w:r>
      <w:r w:rsidRPr="009E771B">
        <w:rPr>
          <w:rFonts w:ascii="Calibri" w:hAnsi="Calibri" w:cs="Calibri"/>
          <w:sz w:val="22"/>
          <w:szCs w:val="22"/>
        </w:rPr>
        <w:t xml:space="preserve"> parents, teachers, librarians, and schools</w:t>
      </w:r>
      <w:r w:rsidRPr="009E771B">
        <w:rPr>
          <w:rFonts w:ascii="Calibri" w:eastAsia="Times New Roman" w:hAnsi="Calibri" w:cs="Calibri"/>
          <w:color w:val="000000"/>
          <w:sz w:val="22"/>
          <w:szCs w:val="22"/>
        </w:rPr>
        <w:t xml:space="preserve">. </w:t>
      </w:r>
      <w:r>
        <w:rPr>
          <w:rFonts w:ascii="Calibri" w:eastAsia="Times New Roman" w:hAnsi="Calibri" w:cs="Calibri"/>
          <w:color w:val="000000"/>
          <w:sz w:val="22"/>
          <w:szCs w:val="22"/>
        </w:rPr>
        <w:t>I</w:t>
      </w:r>
      <w:r w:rsidRPr="00390F47">
        <w:rPr>
          <w:rFonts w:ascii="Calibri" w:eastAsia="Times New Roman" w:hAnsi="Calibri" w:cs="Calibri"/>
          <w:color w:val="000000"/>
          <w:sz w:val="22"/>
          <w:szCs w:val="22"/>
        </w:rPr>
        <w:t>nformation collected 2004 and 2006 among enrolled college students and individuals who entered the work force.</w:t>
      </w:r>
    </w:p>
    <w:p w:rsidR="00390F47" w:rsidRPr="009E771B" w:rsidRDefault="00390F47" w:rsidP="00390395">
      <w:pPr>
        <w:pStyle w:val="NormalWeb"/>
        <w:numPr>
          <w:ilvl w:val="0"/>
          <w:numId w:val="2"/>
        </w:numPr>
        <w:spacing w:before="120" w:beforeAutospacing="0" w:after="240" w:afterAutospacing="0"/>
        <w:ind w:right="720"/>
        <w:rPr>
          <w:rFonts w:ascii="Calibri" w:hAnsi="Calibri" w:cs="Calibri"/>
          <w:sz w:val="22"/>
          <w:szCs w:val="22"/>
        </w:rPr>
      </w:pPr>
      <w:r w:rsidRPr="009E771B">
        <w:rPr>
          <w:rFonts w:ascii="Calibri" w:hAnsi="Calibri" w:cs="Calibri"/>
          <w:sz w:val="22"/>
          <w:szCs w:val="22"/>
          <w:u w:val="single"/>
        </w:rPr>
        <w:t>High School and Beyond (HS&amp;B)</w:t>
      </w:r>
      <w:r w:rsidRPr="009E771B">
        <w:rPr>
          <w:rFonts w:ascii="Calibri" w:hAnsi="Calibri" w:cs="Calibri"/>
          <w:sz w:val="22"/>
          <w:szCs w:val="22"/>
        </w:rPr>
        <w:t>: 10</w:t>
      </w:r>
      <w:r w:rsidRPr="009E771B">
        <w:rPr>
          <w:rFonts w:ascii="Calibri" w:hAnsi="Calibri" w:cs="Calibri"/>
          <w:sz w:val="22"/>
          <w:szCs w:val="22"/>
          <w:vertAlign w:val="superscript"/>
        </w:rPr>
        <w:t>th</w:t>
      </w:r>
      <w:r w:rsidRPr="009E771B">
        <w:rPr>
          <w:rFonts w:ascii="Calibri" w:hAnsi="Calibri" w:cs="Calibri"/>
          <w:sz w:val="22"/>
          <w:szCs w:val="22"/>
        </w:rPr>
        <w:t xml:space="preserve"> and 12</w:t>
      </w:r>
      <w:r w:rsidRPr="009E771B">
        <w:rPr>
          <w:rFonts w:ascii="Calibri" w:hAnsi="Calibri" w:cs="Calibri"/>
          <w:sz w:val="22"/>
          <w:szCs w:val="22"/>
          <w:vertAlign w:val="superscript"/>
        </w:rPr>
        <w:t>th</w:t>
      </w:r>
      <w:r w:rsidRPr="009E771B">
        <w:rPr>
          <w:rFonts w:ascii="Calibri" w:hAnsi="Calibri" w:cs="Calibri"/>
          <w:sz w:val="22"/>
          <w:szCs w:val="22"/>
        </w:rPr>
        <w:t xml:space="preserve"> grade students in 1980; information collected every two years through 1986, 1992 among sophomores cohort, and 1996 among senior cohort.</w:t>
      </w:r>
    </w:p>
    <w:p w:rsidR="00390395" w:rsidRDefault="00390F47" w:rsidP="00390395">
      <w:pPr>
        <w:pStyle w:val="NormalWeb"/>
        <w:numPr>
          <w:ilvl w:val="0"/>
          <w:numId w:val="2"/>
        </w:numPr>
        <w:spacing w:before="120" w:beforeAutospacing="0" w:after="240" w:afterAutospacing="0"/>
        <w:ind w:right="720"/>
        <w:rPr>
          <w:rFonts w:ascii="Calibri" w:hAnsi="Calibri" w:cs="Calibri"/>
          <w:sz w:val="22"/>
          <w:szCs w:val="22"/>
        </w:rPr>
      </w:pPr>
      <w:r w:rsidRPr="00390395">
        <w:rPr>
          <w:rFonts w:ascii="Calibri" w:hAnsi="Calibri" w:cs="Calibri"/>
          <w:sz w:val="22"/>
          <w:szCs w:val="22"/>
          <w:u w:val="single"/>
        </w:rPr>
        <w:t>National Education Longitudinal Study of 1988 (NELS)</w:t>
      </w:r>
      <w:r w:rsidRPr="00390395">
        <w:rPr>
          <w:rFonts w:ascii="Calibri" w:hAnsi="Calibri" w:cs="Calibri"/>
          <w:sz w:val="22"/>
          <w:szCs w:val="22"/>
        </w:rPr>
        <w:t xml:space="preserve">: 1988 eighth graders; information collected on postsecondary enrollment status </w:t>
      </w:r>
      <w:r w:rsidR="00390395">
        <w:rPr>
          <w:rFonts w:ascii="Calibri" w:hAnsi="Calibri" w:cs="Calibri"/>
          <w:sz w:val="22"/>
          <w:szCs w:val="22"/>
        </w:rPr>
        <w:t xml:space="preserve">in </w:t>
      </w:r>
      <w:r w:rsidR="00390395" w:rsidRPr="00390F47">
        <w:rPr>
          <w:rFonts w:ascii="Calibri" w:hAnsi="Calibri" w:cs="Calibri"/>
          <w:sz w:val="22"/>
          <w:szCs w:val="22"/>
        </w:rPr>
        <w:t>1994</w:t>
      </w:r>
      <w:r w:rsidR="00390395">
        <w:rPr>
          <w:rFonts w:ascii="Calibri" w:hAnsi="Calibri" w:cs="Calibri"/>
          <w:sz w:val="22"/>
          <w:szCs w:val="22"/>
        </w:rPr>
        <w:t xml:space="preserve"> and</w:t>
      </w:r>
      <w:r w:rsidR="00390395" w:rsidRPr="009E771B">
        <w:rPr>
          <w:rFonts w:ascii="Calibri" w:hAnsi="Calibri" w:cs="Calibri"/>
          <w:sz w:val="22"/>
          <w:szCs w:val="22"/>
        </w:rPr>
        <w:t xml:space="preserve"> 2000</w:t>
      </w:r>
      <w:r w:rsidR="00390395">
        <w:rPr>
          <w:rFonts w:ascii="Calibri" w:hAnsi="Calibri" w:cs="Calibri"/>
          <w:sz w:val="22"/>
          <w:szCs w:val="22"/>
        </w:rPr>
        <w:t>.</w:t>
      </w:r>
    </w:p>
    <w:p w:rsidR="009E771B" w:rsidRDefault="009E771B" w:rsidP="009D5B79">
      <w:pPr>
        <w:widowControl w:val="0"/>
        <w:autoSpaceDE w:val="0"/>
        <w:autoSpaceDN w:val="0"/>
        <w:adjustRightInd w:val="0"/>
        <w:rPr>
          <w:rFonts w:ascii="Garamond" w:hAnsi="Garamond" w:cs="AGaramond-Regular"/>
          <w:lang w:bidi="en-US"/>
        </w:rPr>
      </w:pPr>
    </w:p>
    <w:p w:rsidR="009E771B" w:rsidRDefault="009E771B" w:rsidP="009D5B79">
      <w:pPr>
        <w:widowControl w:val="0"/>
        <w:autoSpaceDE w:val="0"/>
        <w:autoSpaceDN w:val="0"/>
        <w:adjustRightInd w:val="0"/>
        <w:rPr>
          <w:rFonts w:ascii="Garamond" w:hAnsi="Garamond" w:cs="AGaramond-Regular"/>
          <w:lang w:bidi="en-US"/>
        </w:rPr>
      </w:pPr>
    </w:p>
    <w:p w:rsidR="009E771B" w:rsidRDefault="009E771B" w:rsidP="009D5B79">
      <w:pPr>
        <w:widowControl w:val="0"/>
        <w:autoSpaceDE w:val="0"/>
        <w:autoSpaceDN w:val="0"/>
        <w:adjustRightInd w:val="0"/>
        <w:rPr>
          <w:rFonts w:ascii="Garamond" w:hAnsi="Garamond" w:cs="AGaramond-Regular"/>
          <w:lang w:bidi="en-US"/>
        </w:rPr>
      </w:pPr>
    </w:p>
    <w:p w:rsidR="009E771B" w:rsidRPr="009E771B" w:rsidRDefault="009E771B" w:rsidP="009D5B79">
      <w:pPr>
        <w:widowControl w:val="0"/>
        <w:autoSpaceDE w:val="0"/>
        <w:autoSpaceDN w:val="0"/>
        <w:adjustRightInd w:val="0"/>
        <w:rPr>
          <w:rFonts w:ascii="Calibri" w:hAnsi="Calibri" w:cs="Calibri"/>
          <w:lang w:bidi="en-US"/>
        </w:rPr>
      </w:pPr>
      <w:r w:rsidRPr="009E771B">
        <w:rPr>
          <w:rFonts w:ascii="Calibri" w:hAnsi="Calibri" w:cs="Calibri"/>
          <w:lang w:bidi="en-US"/>
        </w:rPr>
        <w:t>For questions or follow-up comments, please don’t hesitate to contact me at:</w:t>
      </w:r>
    </w:p>
    <w:p w:rsidR="009E771B" w:rsidRDefault="009E771B" w:rsidP="009E771B"/>
    <w:p w:rsidR="009E771B" w:rsidRDefault="009E771B" w:rsidP="009E771B"/>
    <w:p w:rsidR="009E771B" w:rsidRPr="009E771B" w:rsidRDefault="009E771B" w:rsidP="009E771B">
      <w:pPr>
        <w:spacing w:line="240" w:lineRule="atLeast"/>
        <w:rPr>
          <w:noProof/>
          <w:color w:val="4F4133"/>
          <w:sz w:val="16"/>
          <w:szCs w:val="16"/>
        </w:rPr>
      </w:pPr>
      <w:r w:rsidRPr="009E771B">
        <w:rPr>
          <w:rFonts w:ascii="Arial" w:hAnsi="Arial" w:cs="Arial"/>
          <w:b/>
          <w:bCs/>
          <w:noProof/>
          <w:color w:val="F79646"/>
          <w:sz w:val="16"/>
          <w:szCs w:val="16"/>
        </w:rPr>
        <w:t>Gregory C. Wolniak, Ph.D.</w:t>
      </w:r>
      <w:r w:rsidRPr="009E771B">
        <w:rPr>
          <w:rFonts w:ascii="Arial" w:hAnsi="Arial" w:cs="Arial"/>
          <w:b/>
          <w:bCs/>
          <w:noProof/>
          <w:color w:val="FB8A22"/>
          <w:sz w:val="16"/>
          <w:szCs w:val="16"/>
        </w:rPr>
        <w:t> </w:t>
      </w:r>
      <w:r w:rsidRPr="009E771B">
        <w:rPr>
          <w:rFonts w:ascii="Arial" w:hAnsi="Arial" w:cs="Arial"/>
          <w:noProof/>
          <w:color w:val="5F5E5F"/>
          <w:sz w:val="16"/>
          <w:szCs w:val="16"/>
        </w:rPr>
        <w:t xml:space="preserve">| </w:t>
      </w:r>
      <w:r w:rsidRPr="009E771B">
        <w:rPr>
          <w:rFonts w:ascii="Arial" w:hAnsi="Arial" w:cs="Arial"/>
          <w:b/>
          <w:bCs/>
          <w:noProof/>
          <w:color w:val="F79646"/>
          <w:sz w:val="16"/>
          <w:szCs w:val="16"/>
        </w:rPr>
        <w:t xml:space="preserve">Education and </w:t>
      </w:r>
      <w:r w:rsidRPr="00557545">
        <w:rPr>
          <w:rFonts w:ascii="Arial Bold" w:hAnsi="Arial Bold" w:cs="Arial"/>
          <w:b/>
          <w:bCs/>
          <w:noProof/>
          <w:color w:val="F79646"/>
          <w:sz w:val="16"/>
          <w:szCs w:val="16"/>
        </w:rPr>
        <w:t>Child</w:t>
      </w:r>
      <w:r w:rsidRPr="009E771B">
        <w:rPr>
          <w:rFonts w:ascii="Arial" w:hAnsi="Arial" w:cs="Arial"/>
          <w:b/>
          <w:bCs/>
          <w:noProof/>
          <w:color w:val="F79646"/>
          <w:sz w:val="16"/>
          <w:szCs w:val="16"/>
        </w:rPr>
        <w:t xml:space="preserve"> Development</w:t>
      </w:r>
    </w:p>
    <w:p w:rsidR="009E771B" w:rsidRPr="009E771B" w:rsidRDefault="009E771B" w:rsidP="009E771B">
      <w:pPr>
        <w:spacing w:line="240" w:lineRule="atLeast"/>
        <w:rPr>
          <w:rFonts w:ascii="Arial" w:hAnsi="Arial" w:cs="Arial"/>
          <w:noProof/>
          <w:color w:val="5F5E5F"/>
          <w:sz w:val="16"/>
          <w:szCs w:val="16"/>
        </w:rPr>
      </w:pPr>
      <w:r w:rsidRPr="009E771B">
        <w:rPr>
          <w:rFonts w:ascii="Arial" w:hAnsi="Arial" w:cs="Arial"/>
          <w:noProof/>
          <w:color w:val="4B4533"/>
          <w:sz w:val="16"/>
          <w:szCs w:val="16"/>
        </w:rPr>
        <w:t>NORC at the University of Chicago</w:t>
      </w:r>
      <w:r w:rsidRPr="009E771B">
        <w:rPr>
          <w:rFonts w:ascii="Arial" w:hAnsi="Arial" w:cs="Arial"/>
          <w:b/>
          <w:bCs/>
          <w:noProof/>
          <w:color w:val="FB8A22"/>
          <w:sz w:val="16"/>
          <w:szCs w:val="16"/>
        </w:rPr>
        <w:t> </w:t>
      </w:r>
    </w:p>
    <w:p w:rsidR="009E771B" w:rsidRPr="009E771B" w:rsidRDefault="009E771B" w:rsidP="009E771B">
      <w:pPr>
        <w:spacing w:line="240" w:lineRule="atLeast"/>
        <w:rPr>
          <w:rFonts w:ascii="Arial" w:hAnsi="Arial" w:cs="Arial"/>
          <w:noProof/>
          <w:color w:val="4B4533"/>
          <w:sz w:val="16"/>
          <w:szCs w:val="16"/>
        </w:rPr>
      </w:pPr>
      <w:r w:rsidRPr="009E771B">
        <w:rPr>
          <w:rFonts w:ascii="Arial" w:hAnsi="Arial" w:cs="Arial"/>
          <w:noProof/>
          <w:color w:val="4B4533"/>
          <w:sz w:val="16"/>
          <w:szCs w:val="16"/>
        </w:rPr>
        <w:t>55 East Monroe Street, 30th Floor, Chicago IL 60603</w:t>
      </w:r>
      <w:r w:rsidRPr="009E771B">
        <w:rPr>
          <w:rFonts w:ascii="Arial" w:hAnsi="Arial" w:cs="Arial"/>
          <w:noProof/>
          <w:color w:val="FE7321"/>
          <w:sz w:val="16"/>
          <w:szCs w:val="16"/>
        </w:rPr>
        <w:t> </w:t>
      </w:r>
    </w:p>
    <w:p w:rsidR="009E771B" w:rsidRPr="009E771B" w:rsidRDefault="009E771B" w:rsidP="009E771B">
      <w:pPr>
        <w:spacing w:line="240" w:lineRule="atLeast"/>
        <w:rPr>
          <w:rFonts w:ascii="Arial" w:hAnsi="Arial" w:cs="Arial"/>
          <w:noProof/>
          <w:color w:val="4B4533"/>
          <w:sz w:val="16"/>
          <w:szCs w:val="16"/>
        </w:rPr>
      </w:pPr>
      <w:hyperlink r:id="rId11" w:history="1">
        <w:r w:rsidRPr="009E771B">
          <w:rPr>
            <w:rStyle w:val="Hyperlink"/>
            <w:rFonts w:ascii="Arial" w:hAnsi="Arial" w:cs="Arial"/>
            <w:noProof/>
            <w:color w:val="F79646"/>
            <w:sz w:val="16"/>
            <w:szCs w:val="16"/>
          </w:rPr>
          <w:t>wolniak-gregory@norc.org</w:t>
        </w:r>
      </w:hyperlink>
      <w:r w:rsidRPr="009E771B">
        <w:rPr>
          <w:rFonts w:ascii="Arial" w:hAnsi="Arial" w:cs="Arial"/>
          <w:noProof/>
          <w:color w:val="4F4133"/>
          <w:sz w:val="16"/>
          <w:szCs w:val="16"/>
        </w:rPr>
        <w:t xml:space="preserve"> </w:t>
      </w:r>
      <w:r w:rsidRPr="009E771B">
        <w:rPr>
          <w:rFonts w:ascii="Arial" w:hAnsi="Arial" w:cs="Arial"/>
          <w:noProof/>
          <w:color w:val="5F5E5F"/>
          <w:sz w:val="16"/>
          <w:szCs w:val="16"/>
        </w:rPr>
        <w:t>| </w:t>
      </w:r>
      <w:r w:rsidRPr="009E771B">
        <w:rPr>
          <w:rFonts w:ascii="Arial" w:hAnsi="Arial" w:cs="Arial"/>
          <w:noProof/>
          <w:color w:val="4B4533"/>
          <w:sz w:val="16"/>
          <w:szCs w:val="16"/>
        </w:rPr>
        <w:t xml:space="preserve">office (312) 759-2356 </w:t>
      </w:r>
      <w:r w:rsidRPr="009E771B">
        <w:rPr>
          <w:rFonts w:ascii="Arial" w:hAnsi="Arial" w:cs="Arial"/>
          <w:noProof/>
          <w:color w:val="5F5E5F"/>
          <w:sz w:val="16"/>
          <w:szCs w:val="16"/>
        </w:rPr>
        <w:t>| </w:t>
      </w:r>
      <w:r w:rsidRPr="009E771B">
        <w:rPr>
          <w:rFonts w:ascii="Arial" w:hAnsi="Arial" w:cs="Arial"/>
          <w:noProof/>
          <w:color w:val="4B4533"/>
          <w:sz w:val="16"/>
          <w:szCs w:val="16"/>
        </w:rPr>
        <w:t>mobile (847) 302-7574</w:t>
      </w:r>
    </w:p>
    <w:p w:rsidR="009D5B79" w:rsidRDefault="00390F47" w:rsidP="009D5B79">
      <w:pPr>
        <w:widowControl w:val="0"/>
        <w:autoSpaceDE w:val="0"/>
        <w:autoSpaceDN w:val="0"/>
        <w:adjustRightInd w:val="0"/>
        <w:rPr>
          <w:rFonts w:ascii="Garamond" w:hAnsi="Garamond" w:cs="AGaramond-Regular"/>
          <w:lang w:bidi="en-US"/>
        </w:rPr>
      </w:pPr>
      <w:r>
        <w:rPr>
          <w:rFonts w:ascii="Garamond" w:hAnsi="Garamond" w:cs="AGaramond-Regular"/>
          <w:lang w:bidi="en-US"/>
        </w:rPr>
        <w:br w:type="page"/>
      </w:r>
    </w:p>
    <w:tbl>
      <w:tblPr>
        <w:tblW w:w="9648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628"/>
        <w:gridCol w:w="2091"/>
        <w:gridCol w:w="1261"/>
        <w:gridCol w:w="2387"/>
        <w:gridCol w:w="1281"/>
      </w:tblGrid>
      <w:tr w:rsidR="00B12F1A" w:rsidRPr="003453F6" w:rsidTr="009E771B">
        <w:tc>
          <w:tcPr>
            <w:tcW w:w="9648" w:type="dxa"/>
            <w:gridSpan w:val="5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707C48" w:rsidRPr="009E771B" w:rsidRDefault="009E771B" w:rsidP="004C3340">
            <w:pPr>
              <w:rPr>
                <w:rFonts w:ascii="Arial Narrow" w:eastAsia="Calibri" w:hAnsi="Arial Narrow" w:cs="Arial"/>
                <w:color w:val="000000"/>
                <w:sz w:val="20"/>
                <w:szCs w:val="20"/>
              </w:rPr>
            </w:pPr>
            <w:r w:rsidRPr="009E771B">
              <w:rPr>
                <w:rFonts w:ascii="Arial Narrow" w:eastAsia="Calibri" w:hAnsi="Arial Narrow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Table </w:t>
            </w:r>
            <w:r w:rsidR="00707C48" w:rsidRPr="009E771B">
              <w:rPr>
                <w:rFonts w:ascii="Arial Narrow" w:eastAsia="Calibri" w:hAnsi="Arial Narrow" w:cs="Arial"/>
                <w:b/>
                <w:bCs/>
                <w:color w:val="000000"/>
                <w:sz w:val="20"/>
                <w:szCs w:val="20"/>
              </w:rPr>
              <w:t>1.</w:t>
            </w:r>
            <w:r w:rsidR="00707C48" w:rsidRPr="009E771B">
              <w:rPr>
                <w:rFonts w:ascii="Arial Narrow" w:eastAsia="Calibri" w:hAnsi="Arial Narrow" w:cs="Arial"/>
                <w:color w:val="000000"/>
                <w:sz w:val="20"/>
                <w:szCs w:val="20"/>
              </w:rPr>
              <w:t xml:space="preserve">  </w:t>
            </w:r>
            <w:r w:rsidR="00707C48" w:rsidRPr="009E771B">
              <w:rPr>
                <w:rFonts w:ascii="Arial Narrow" w:eastAsia="Calibri" w:hAnsi="Arial Narrow" w:cs="Arial"/>
                <w:color w:val="000000"/>
                <w:sz w:val="18"/>
                <w:szCs w:val="18"/>
              </w:rPr>
              <w:t>Longitudinal Data Sources</w:t>
            </w:r>
          </w:p>
        </w:tc>
      </w:tr>
      <w:tr w:rsidR="00B12F1A" w:rsidRPr="003453F6" w:rsidTr="009E771B">
        <w:trPr>
          <w:trHeight w:val="285"/>
        </w:trPr>
        <w:tc>
          <w:tcPr>
            <w:tcW w:w="2628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vAlign w:val="bottom"/>
          </w:tcPr>
          <w:p w:rsidR="00707C48" w:rsidRPr="009E771B" w:rsidRDefault="00707C48" w:rsidP="001A3078">
            <w:pPr>
              <w:rPr>
                <w:rFonts w:ascii="Arial Narrow" w:eastAsia="Calibri" w:hAnsi="Arial Narrow"/>
                <w:b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b/>
                <w:sz w:val="18"/>
                <w:szCs w:val="18"/>
              </w:rPr>
              <w:t>Longitudinal Data Source</w:t>
            </w:r>
          </w:p>
        </w:tc>
        <w:tc>
          <w:tcPr>
            <w:tcW w:w="2091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vAlign w:val="bottom"/>
          </w:tcPr>
          <w:p w:rsidR="00707C48" w:rsidRPr="009E771B" w:rsidRDefault="00707C48" w:rsidP="001A3078">
            <w:pPr>
              <w:rPr>
                <w:rFonts w:ascii="Arial Narrow" w:eastAsia="Calibri" w:hAnsi="Arial Narrow"/>
                <w:b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b/>
                <w:sz w:val="18"/>
                <w:szCs w:val="18"/>
              </w:rPr>
              <w:t>Base student level</w:t>
            </w:r>
          </w:p>
        </w:tc>
        <w:tc>
          <w:tcPr>
            <w:tcW w:w="1261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vAlign w:val="bottom"/>
          </w:tcPr>
          <w:p w:rsidR="00707C48" w:rsidRPr="009E771B" w:rsidRDefault="00707C48" w:rsidP="001A3078">
            <w:pPr>
              <w:rPr>
                <w:rFonts w:ascii="Arial Narrow" w:eastAsia="Calibri" w:hAnsi="Arial Narrow"/>
                <w:b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b/>
                <w:sz w:val="18"/>
                <w:szCs w:val="18"/>
              </w:rPr>
              <w:t>Base year(s)</w:t>
            </w:r>
          </w:p>
        </w:tc>
        <w:tc>
          <w:tcPr>
            <w:tcW w:w="2387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vAlign w:val="bottom"/>
          </w:tcPr>
          <w:p w:rsidR="00707C48" w:rsidRPr="009E771B" w:rsidRDefault="00707C48" w:rsidP="001A3078">
            <w:pPr>
              <w:rPr>
                <w:rFonts w:ascii="Arial Narrow" w:eastAsia="Calibri" w:hAnsi="Arial Narrow"/>
                <w:b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b/>
                <w:sz w:val="18"/>
                <w:szCs w:val="18"/>
              </w:rPr>
              <w:t>Follow-up year(s)</w:t>
            </w:r>
          </w:p>
        </w:tc>
        <w:tc>
          <w:tcPr>
            <w:tcW w:w="1281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vAlign w:val="bottom"/>
          </w:tcPr>
          <w:p w:rsidR="00707C48" w:rsidRPr="009E771B" w:rsidRDefault="00707C48" w:rsidP="001A3078">
            <w:pPr>
              <w:rPr>
                <w:rFonts w:ascii="Arial Narrow" w:eastAsia="Calibri" w:hAnsi="Arial Narrow"/>
                <w:b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b/>
                <w:sz w:val="18"/>
                <w:szCs w:val="18"/>
              </w:rPr>
              <w:t>Sample size</w:t>
            </w:r>
          </w:p>
        </w:tc>
      </w:tr>
      <w:tr w:rsidR="00B12F1A" w:rsidRPr="003453F6" w:rsidTr="009E771B">
        <w:tc>
          <w:tcPr>
            <w:tcW w:w="2628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Baccalaureate and Beyond Longitudinal Study (B&amp;B)</w:t>
            </w:r>
          </w:p>
        </w:tc>
        <w:tc>
          <w:tcPr>
            <w:tcW w:w="2091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Receiving a bachelor’s degree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1992–1993</w:t>
            </w:r>
          </w:p>
        </w:tc>
        <w:tc>
          <w:tcPr>
            <w:tcW w:w="2387" w:type="dxa"/>
            <w:tcBorders>
              <w:top w:val="single" w:sz="4" w:space="0" w:color="auto"/>
            </w:tcBorders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1994, 1997, 2003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≈ 11,000</w:t>
            </w:r>
          </w:p>
        </w:tc>
      </w:tr>
      <w:tr w:rsidR="00B12F1A" w:rsidRPr="003453F6" w:rsidTr="009E771B">
        <w:tc>
          <w:tcPr>
            <w:tcW w:w="2628" w:type="dxa"/>
            <w:vMerge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2091" w:type="dxa"/>
            <w:vMerge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126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1999–2000</w:t>
            </w:r>
          </w:p>
        </w:tc>
        <w:tc>
          <w:tcPr>
            <w:tcW w:w="2387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2001</w:t>
            </w:r>
          </w:p>
        </w:tc>
        <w:tc>
          <w:tcPr>
            <w:tcW w:w="128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≈ 10,000</w:t>
            </w:r>
          </w:p>
        </w:tc>
      </w:tr>
      <w:tr w:rsidR="00B12F1A" w:rsidRPr="003453F6" w:rsidTr="009E771B">
        <w:trPr>
          <w:trHeight w:val="162"/>
        </w:trPr>
        <w:tc>
          <w:tcPr>
            <w:tcW w:w="2628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209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126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2387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</w:tr>
      <w:tr w:rsidR="00B12F1A" w:rsidRPr="003453F6" w:rsidTr="009E771B">
        <w:tc>
          <w:tcPr>
            <w:tcW w:w="2628" w:type="dxa"/>
            <w:vMerge w:val="restart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Beginning Postsecondary Students Longitudinal Study (BPS)</w:t>
            </w:r>
          </w:p>
        </w:tc>
        <w:tc>
          <w:tcPr>
            <w:tcW w:w="2091" w:type="dxa"/>
            <w:vMerge w:val="restart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First-time postsecondary enrollment</w:t>
            </w:r>
          </w:p>
        </w:tc>
        <w:tc>
          <w:tcPr>
            <w:tcW w:w="126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1989–1990</w:t>
            </w:r>
          </w:p>
        </w:tc>
        <w:tc>
          <w:tcPr>
            <w:tcW w:w="2387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1992, 1994</w:t>
            </w:r>
          </w:p>
        </w:tc>
        <w:tc>
          <w:tcPr>
            <w:tcW w:w="128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≈ 8,000</w:t>
            </w:r>
          </w:p>
        </w:tc>
      </w:tr>
      <w:tr w:rsidR="00B12F1A" w:rsidRPr="003453F6" w:rsidTr="009E771B">
        <w:tc>
          <w:tcPr>
            <w:tcW w:w="2628" w:type="dxa"/>
            <w:vMerge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2091" w:type="dxa"/>
            <w:vMerge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126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1995–1996</w:t>
            </w:r>
          </w:p>
        </w:tc>
        <w:tc>
          <w:tcPr>
            <w:tcW w:w="2387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1998, 2001</w:t>
            </w:r>
          </w:p>
        </w:tc>
        <w:tc>
          <w:tcPr>
            <w:tcW w:w="128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≈ 12,000</w:t>
            </w:r>
          </w:p>
        </w:tc>
      </w:tr>
      <w:tr w:rsidR="00B12F1A" w:rsidRPr="003453F6" w:rsidTr="009E771B">
        <w:tc>
          <w:tcPr>
            <w:tcW w:w="2628" w:type="dxa"/>
            <w:vMerge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2091" w:type="dxa"/>
            <w:vMerge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126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2003–2004</w:t>
            </w:r>
          </w:p>
        </w:tc>
        <w:tc>
          <w:tcPr>
            <w:tcW w:w="2387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2006, 2009</w:t>
            </w:r>
          </w:p>
        </w:tc>
        <w:tc>
          <w:tcPr>
            <w:tcW w:w="128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≈ 19,000</w:t>
            </w:r>
          </w:p>
        </w:tc>
      </w:tr>
      <w:tr w:rsidR="00B12F1A" w:rsidRPr="003453F6" w:rsidTr="009E771B">
        <w:tc>
          <w:tcPr>
            <w:tcW w:w="2628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209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126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2387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</w:tr>
      <w:tr w:rsidR="00B12F1A" w:rsidRPr="003453F6" w:rsidTr="009E771B">
        <w:tc>
          <w:tcPr>
            <w:tcW w:w="2628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Educational Longitudinal Study of 2002 (ELS)</w:t>
            </w:r>
          </w:p>
        </w:tc>
        <w:tc>
          <w:tcPr>
            <w:tcW w:w="209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Tenth grade</w:t>
            </w:r>
          </w:p>
        </w:tc>
        <w:tc>
          <w:tcPr>
            <w:tcW w:w="126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2001–2002</w:t>
            </w:r>
          </w:p>
        </w:tc>
        <w:tc>
          <w:tcPr>
            <w:tcW w:w="2387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2004, 2006</w:t>
            </w:r>
          </w:p>
        </w:tc>
        <w:tc>
          <w:tcPr>
            <w:tcW w:w="128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≈ 15,000</w:t>
            </w:r>
          </w:p>
        </w:tc>
      </w:tr>
      <w:tr w:rsidR="00B12F1A" w:rsidRPr="003453F6" w:rsidTr="009E771B">
        <w:tc>
          <w:tcPr>
            <w:tcW w:w="2628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209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126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2387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</w:tr>
      <w:tr w:rsidR="00B12F1A" w:rsidRPr="003453F6" w:rsidTr="009E771B">
        <w:tc>
          <w:tcPr>
            <w:tcW w:w="2628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High School and Beyond (HS&amp;B)</w:t>
            </w:r>
          </w:p>
        </w:tc>
        <w:tc>
          <w:tcPr>
            <w:tcW w:w="209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Tenth grade</w:t>
            </w:r>
          </w:p>
        </w:tc>
        <w:tc>
          <w:tcPr>
            <w:tcW w:w="126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1980</w:t>
            </w:r>
          </w:p>
        </w:tc>
        <w:tc>
          <w:tcPr>
            <w:tcW w:w="2387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1982, 1984, 1986, 1992</w:t>
            </w:r>
          </w:p>
        </w:tc>
        <w:tc>
          <w:tcPr>
            <w:tcW w:w="128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≈ 30,000</w:t>
            </w:r>
          </w:p>
        </w:tc>
      </w:tr>
      <w:tr w:rsidR="00B12F1A" w:rsidRPr="003453F6" w:rsidTr="009E771B">
        <w:tc>
          <w:tcPr>
            <w:tcW w:w="2628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209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Twelfth grade</w:t>
            </w:r>
          </w:p>
        </w:tc>
        <w:tc>
          <w:tcPr>
            <w:tcW w:w="126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1980</w:t>
            </w:r>
          </w:p>
        </w:tc>
        <w:tc>
          <w:tcPr>
            <w:tcW w:w="2387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1982, 1984, 1986, 1996</w:t>
            </w:r>
          </w:p>
        </w:tc>
        <w:tc>
          <w:tcPr>
            <w:tcW w:w="1281" w:type="dxa"/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≈ 28,000</w:t>
            </w:r>
          </w:p>
        </w:tc>
      </w:tr>
      <w:tr w:rsidR="00B12F1A" w:rsidRPr="003453F6" w:rsidTr="009E771B">
        <w:trPr>
          <w:trHeight w:val="558"/>
        </w:trPr>
        <w:tc>
          <w:tcPr>
            <w:tcW w:w="2628" w:type="dxa"/>
            <w:tcBorders>
              <w:bottom w:val="single" w:sz="12" w:space="0" w:color="auto"/>
            </w:tcBorders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National Education Longitudinal Study of 1988 (NELS)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Eighth grade</w:t>
            </w:r>
          </w:p>
        </w:tc>
        <w:tc>
          <w:tcPr>
            <w:tcW w:w="1261" w:type="dxa"/>
            <w:tcBorders>
              <w:bottom w:val="single" w:sz="12" w:space="0" w:color="auto"/>
            </w:tcBorders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1988</w:t>
            </w:r>
          </w:p>
        </w:tc>
        <w:tc>
          <w:tcPr>
            <w:tcW w:w="2387" w:type="dxa"/>
            <w:tcBorders>
              <w:bottom w:val="single" w:sz="12" w:space="0" w:color="auto"/>
            </w:tcBorders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1990, 1992, 1994, 2000</w:t>
            </w:r>
          </w:p>
        </w:tc>
        <w:tc>
          <w:tcPr>
            <w:tcW w:w="1281" w:type="dxa"/>
            <w:tcBorders>
              <w:bottom w:val="single" w:sz="12" w:space="0" w:color="auto"/>
            </w:tcBorders>
            <w:shd w:val="clear" w:color="auto" w:fill="FFFFFF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≈ 25,000</w:t>
            </w:r>
          </w:p>
        </w:tc>
      </w:tr>
    </w:tbl>
    <w:p w:rsidR="00707C48" w:rsidRDefault="00707C48" w:rsidP="00707C48"/>
    <w:p w:rsidR="009E771B" w:rsidRDefault="009E771B" w:rsidP="00707C48"/>
    <w:p w:rsidR="009E771B" w:rsidRPr="003453F6" w:rsidRDefault="009E771B" w:rsidP="00707C48"/>
    <w:p w:rsidR="00707C48" w:rsidRDefault="00707C48" w:rsidP="00707C48">
      <w:pPr>
        <w:spacing w:after="200" w:line="276" w:lineRule="auto"/>
      </w:pPr>
    </w:p>
    <w:tbl>
      <w:tblPr>
        <w:tblW w:w="9648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628"/>
        <w:gridCol w:w="3420"/>
        <w:gridCol w:w="2340"/>
        <w:gridCol w:w="1260"/>
      </w:tblGrid>
      <w:tr w:rsidR="00B12F1A" w:rsidRPr="003453F6" w:rsidTr="009E771B">
        <w:tc>
          <w:tcPr>
            <w:tcW w:w="9648" w:type="dxa"/>
            <w:gridSpan w:val="4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707C48" w:rsidRPr="009E771B" w:rsidRDefault="009E771B" w:rsidP="004C3340">
            <w:pPr>
              <w:rPr>
                <w:rFonts w:ascii="Arial Narrow" w:eastAsia="Calibri" w:hAnsi="Arial Narrow" w:cs="Arial"/>
                <w:color w:val="000000"/>
                <w:sz w:val="20"/>
                <w:szCs w:val="20"/>
              </w:rPr>
            </w:pPr>
            <w:r w:rsidRPr="009E771B">
              <w:rPr>
                <w:rFonts w:ascii="Arial Narrow" w:eastAsia="Calibri" w:hAnsi="Arial Narrow" w:cs="Arial"/>
                <w:b/>
                <w:bCs/>
                <w:color w:val="000000"/>
                <w:sz w:val="20"/>
                <w:szCs w:val="20"/>
              </w:rPr>
              <w:t xml:space="preserve">Table </w:t>
            </w:r>
            <w:r w:rsidR="00707C48" w:rsidRPr="009E771B">
              <w:rPr>
                <w:rFonts w:ascii="Arial Narrow" w:eastAsia="Calibri" w:hAnsi="Arial Narrow" w:cs="Arial"/>
                <w:b/>
                <w:bCs/>
                <w:color w:val="000000"/>
                <w:sz w:val="20"/>
                <w:szCs w:val="20"/>
              </w:rPr>
              <w:t>2.</w:t>
            </w:r>
            <w:r w:rsidR="00707C48" w:rsidRPr="009E771B">
              <w:rPr>
                <w:rFonts w:ascii="Arial Narrow" w:eastAsia="Calibri" w:hAnsi="Arial Narrow" w:cs="Arial"/>
                <w:color w:val="000000"/>
                <w:sz w:val="20"/>
                <w:szCs w:val="20"/>
              </w:rPr>
              <w:t xml:space="preserve">  </w:t>
            </w:r>
            <w:r w:rsidR="00707C48" w:rsidRPr="009E771B">
              <w:rPr>
                <w:rFonts w:ascii="Arial Narrow" w:eastAsia="Calibri" w:hAnsi="Arial Narrow" w:cs="Arial"/>
                <w:color w:val="000000"/>
                <w:sz w:val="18"/>
                <w:szCs w:val="18"/>
              </w:rPr>
              <w:t>Cross-sectional Data Sources</w:t>
            </w:r>
          </w:p>
        </w:tc>
      </w:tr>
      <w:tr w:rsidR="00B12F1A" w:rsidRPr="003453F6" w:rsidTr="009E771B">
        <w:trPr>
          <w:trHeight w:val="312"/>
        </w:trPr>
        <w:tc>
          <w:tcPr>
            <w:tcW w:w="2628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vAlign w:val="bottom"/>
          </w:tcPr>
          <w:p w:rsidR="00707C48" w:rsidRPr="009E771B" w:rsidRDefault="00707C48" w:rsidP="00707C48">
            <w:pPr>
              <w:rPr>
                <w:rFonts w:ascii="Arial Narrow" w:eastAsia="Calibri" w:hAnsi="Arial Narrow"/>
                <w:b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b/>
                <w:sz w:val="18"/>
                <w:szCs w:val="18"/>
              </w:rPr>
              <w:t>Cross-sectional Data Source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vAlign w:val="bottom"/>
          </w:tcPr>
          <w:p w:rsidR="00707C48" w:rsidRPr="009E771B" w:rsidRDefault="00707C48" w:rsidP="00707C48">
            <w:pPr>
              <w:rPr>
                <w:rFonts w:ascii="Arial Narrow" w:eastAsia="Calibri" w:hAnsi="Arial Narrow"/>
                <w:b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b/>
                <w:sz w:val="18"/>
                <w:szCs w:val="18"/>
              </w:rPr>
              <w:t>Population surveyed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vAlign w:val="bottom"/>
          </w:tcPr>
          <w:p w:rsidR="00707C48" w:rsidRPr="009E771B" w:rsidRDefault="00707C48" w:rsidP="00707C48">
            <w:pPr>
              <w:rPr>
                <w:rFonts w:ascii="Arial Narrow" w:eastAsia="Calibri" w:hAnsi="Arial Narrow"/>
                <w:b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b/>
                <w:sz w:val="18"/>
                <w:szCs w:val="18"/>
              </w:rPr>
              <w:t>Reporting level of data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vAlign w:val="bottom"/>
          </w:tcPr>
          <w:p w:rsidR="00707C48" w:rsidRPr="009E771B" w:rsidRDefault="00707C48" w:rsidP="00707C48">
            <w:pPr>
              <w:rPr>
                <w:rFonts w:ascii="Arial Narrow" w:eastAsia="Calibri" w:hAnsi="Arial Narrow"/>
                <w:b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b/>
                <w:sz w:val="18"/>
                <w:szCs w:val="18"/>
              </w:rPr>
              <w:t>Data available</w:t>
            </w:r>
          </w:p>
        </w:tc>
      </w:tr>
      <w:tr w:rsidR="00B12F1A" w:rsidRPr="003453F6" w:rsidTr="009E771B">
        <w:trPr>
          <w:trHeight w:val="665"/>
        </w:trPr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American Community Survey (ACS)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All Census geographic regions with populations of 65,000 or more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Individual/student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Annually since 2005</w:t>
            </w:r>
          </w:p>
        </w:tc>
      </w:tr>
      <w:tr w:rsidR="00B12F1A" w:rsidRPr="003453F6" w:rsidTr="009E771B">
        <w:trPr>
          <w:trHeight w:val="207"/>
        </w:trPr>
        <w:tc>
          <w:tcPr>
            <w:tcW w:w="2628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</w:tr>
      <w:tr w:rsidR="00B12F1A" w:rsidRPr="003453F6" w:rsidTr="009E771B">
        <w:tc>
          <w:tcPr>
            <w:tcW w:w="2628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ED</w:t>
            </w:r>
            <w:r w:rsidRPr="009E771B">
              <w:rPr>
                <w:rFonts w:ascii="Arial Narrow" w:eastAsia="Calibri" w:hAnsi="Arial Narrow"/>
                <w:i/>
                <w:sz w:val="18"/>
                <w:szCs w:val="18"/>
              </w:rPr>
              <w:t>Facts</w:t>
            </w:r>
          </w:p>
        </w:tc>
        <w:tc>
          <w:tcPr>
            <w:tcW w:w="342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All K–12 state education agencies</w:t>
            </w:r>
          </w:p>
        </w:tc>
        <w:tc>
          <w:tcPr>
            <w:tcW w:w="234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School, district, and state</w:t>
            </w:r>
          </w:p>
        </w:tc>
        <w:tc>
          <w:tcPr>
            <w:tcW w:w="126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Annually since 2004-05</w:t>
            </w:r>
          </w:p>
        </w:tc>
      </w:tr>
      <w:tr w:rsidR="00B12F1A" w:rsidRPr="003453F6" w:rsidTr="009E771B">
        <w:trPr>
          <w:trHeight w:val="153"/>
        </w:trPr>
        <w:tc>
          <w:tcPr>
            <w:tcW w:w="2628" w:type="dxa"/>
            <w:shd w:val="clear" w:color="auto" w:fill="auto"/>
          </w:tcPr>
          <w:p w:rsidR="00707C48" w:rsidRPr="009E771B" w:rsidRDefault="00707C48" w:rsidP="001A3078">
            <w:pPr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</w:tr>
      <w:tr w:rsidR="00B12F1A" w:rsidRPr="003453F6" w:rsidTr="009E771B">
        <w:trPr>
          <w:trHeight w:val="882"/>
        </w:trPr>
        <w:tc>
          <w:tcPr>
            <w:tcW w:w="2628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Integrated Postsecondary Education Data System (IPEDS)</w:t>
            </w:r>
          </w:p>
        </w:tc>
        <w:tc>
          <w:tcPr>
            <w:tcW w:w="342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All postsecondary education providers that participate in the federal student financial aid programs</w:t>
            </w:r>
          </w:p>
        </w:tc>
        <w:tc>
          <w:tcPr>
            <w:tcW w:w="234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Postsecondary education provider</w:t>
            </w:r>
          </w:p>
        </w:tc>
        <w:tc>
          <w:tcPr>
            <w:tcW w:w="126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Annually since 1986</w:t>
            </w:r>
          </w:p>
        </w:tc>
      </w:tr>
      <w:tr w:rsidR="00B12F1A" w:rsidRPr="003453F6" w:rsidTr="009E771B">
        <w:trPr>
          <w:trHeight w:val="66"/>
        </w:trPr>
        <w:tc>
          <w:tcPr>
            <w:tcW w:w="2628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</w:p>
        </w:tc>
      </w:tr>
      <w:tr w:rsidR="00B12F1A" w:rsidRPr="003453F6" w:rsidTr="009E771B">
        <w:tc>
          <w:tcPr>
            <w:tcW w:w="2628" w:type="dxa"/>
            <w:tcBorders>
              <w:bottom w:val="single" w:sz="12" w:space="0" w:color="auto"/>
            </w:tcBorders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National Postsecondary Student Aid Study (NPSAS)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Nationally representative sample of all students in postsecondary education (≈ 109,000 students in 2004 year of data)</w:t>
            </w:r>
          </w:p>
        </w:tc>
        <w:tc>
          <w:tcPr>
            <w:tcW w:w="2340" w:type="dxa"/>
            <w:tcBorders>
              <w:bottom w:val="single" w:sz="12" w:space="0" w:color="auto"/>
            </w:tcBorders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Individual/student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auto"/>
          </w:tcPr>
          <w:p w:rsidR="00707C48" w:rsidRPr="009E771B" w:rsidRDefault="00707C48" w:rsidP="009E771B">
            <w:pPr>
              <w:spacing w:before="120"/>
              <w:rPr>
                <w:rFonts w:ascii="Arial Narrow" w:eastAsia="Calibri" w:hAnsi="Arial Narrow"/>
                <w:sz w:val="18"/>
                <w:szCs w:val="18"/>
              </w:rPr>
            </w:pPr>
            <w:r w:rsidRPr="009E771B">
              <w:rPr>
                <w:rFonts w:ascii="Arial Narrow" w:eastAsia="Calibri" w:hAnsi="Arial Narrow"/>
                <w:sz w:val="18"/>
                <w:szCs w:val="18"/>
              </w:rPr>
              <w:t>1987, 1990, 1993, 1996, 2000, 2004</w:t>
            </w:r>
          </w:p>
        </w:tc>
      </w:tr>
    </w:tbl>
    <w:p w:rsidR="00707C48" w:rsidRPr="003453F6" w:rsidRDefault="00707C48" w:rsidP="00707C48"/>
    <w:p w:rsidR="00707C48" w:rsidRDefault="00707C48" w:rsidP="00707C48">
      <w:pPr>
        <w:spacing w:after="200" w:line="276" w:lineRule="auto"/>
        <w:sectPr w:rsidR="00707C48" w:rsidSect="009E771B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2250" w:right="720" w:bottom="1800" w:left="1440" w:header="720" w:footer="720" w:gutter="0"/>
          <w:cols w:space="720"/>
          <w:titlePg/>
          <w:docGrid w:linePitch="326"/>
        </w:sectPr>
      </w:pPr>
    </w:p>
    <w:tbl>
      <w:tblPr>
        <w:tblW w:w="9632" w:type="dxa"/>
        <w:tblInd w:w="-252" w:type="dxa"/>
        <w:tblLook w:val="04A0" w:firstRow="1" w:lastRow="0" w:firstColumn="1" w:lastColumn="0" w:noHBand="0" w:noVBand="1"/>
      </w:tblPr>
      <w:tblGrid>
        <w:gridCol w:w="3378"/>
        <w:gridCol w:w="721"/>
        <w:gridCol w:w="693"/>
        <w:gridCol w:w="693"/>
        <w:gridCol w:w="807"/>
        <w:gridCol w:w="540"/>
        <w:gridCol w:w="635"/>
        <w:gridCol w:w="720"/>
        <w:gridCol w:w="720"/>
        <w:gridCol w:w="725"/>
      </w:tblGrid>
      <w:tr w:rsidR="00707C48" w:rsidRPr="003453F6" w:rsidTr="00707C48">
        <w:trPr>
          <w:trHeight w:val="304"/>
        </w:trPr>
        <w:tc>
          <w:tcPr>
            <w:tcW w:w="9632" w:type="dxa"/>
            <w:gridSpan w:val="10"/>
            <w:tcBorders>
              <w:bottom w:val="single" w:sz="12" w:space="0" w:color="auto"/>
            </w:tcBorders>
            <w:vAlign w:val="bottom"/>
            <w:hideMark/>
          </w:tcPr>
          <w:p w:rsidR="00707C48" w:rsidRPr="003453F6" w:rsidRDefault="009E771B" w:rsidP="004C3340">
            <w:pPr>
              <w:rPr>
                <w:rFonts w:ascii="Arial Narrow" w:hAnsi="Arial Narrow"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Table </w:t>
            </w:r>
            <w:r w:rsidR="00707C48" w:rsidRPr="003453F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3.</w:t>
            </w:r>
            <w:r w:rsidR="00707C48" w:rsidRPr="003453F6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 </w:t>
            </w:r>
            <w:r w:rsidR="00707C48" w:rsidRPr="003453F6">
              <w:rPr>
                <w:rFonts w:ascii="Arial Narrow" w:hAnsi="Arial Narrow"/>
                <w:bCs/>
                <w:color w:val="000000"/>
                <w:sz w:val="18"/>
                <w:szCs w:val="18"/>
              </w:rPr>
              <w:t>Population Distinctions and Outcome Measures</w:t>
            </w:r>
          </w:p>
        </w:tc>
      </w:tr>
      <w:tr w:rsidR="00707C48" w:rsidRPr="003453F6" w:rsidTr="00707C48">
        <w:trPr>
          <w:trHeight w:val="300"/>
        </w:trPr>
        <w:tc>
          <w:tcPr>
            <w:tcW w:w="3378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vAlign w:val="bottom"/>
            <w:hideMark/>
          </w:tcPr>
          <w:p w:rsidR="00707C48" w:rsidRPr="003453F6" w:rsidRDefault="00707C48" w:rsidP="001A3078">
            <w:pPr>
              <w:spacing w:before="120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Data source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b/>
                <w:color w:val="000000"/>
                <w:sz w:val="18"/>
                <w:szCs w:val="18"/>
              </w:rPr>
              <w:t>ACS</w:t>
            </w:r>
          </w:p>
        </w:tc>
        <w:tc>
          <w:tcPr>
            <w:tcW w:w="693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b/>
                <w:color w:val="000000"/>
                <w:sz w:val="18"/>
                <w:szCs w:val="18"/>
              </w:rPr>
              <w:t>B&amp;B</w:t>
            </w:r>
          </w:p>
        </w:tc>
        <w:tc>
          <w:tcPr>
            <w:tcW w:w="693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b/>
                <w:color w:val="000000"/>
                <w:sz w:val="18"/>
                <w:szCs w:val="18"/>
              </w:rPr>
              <w:t>BPS</w:t>
            </w:r>
          </w:p>
        </w:tc>
        <w:tc>
          <w:tcPr>
            <w:tcW w:w="807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b/>
                <w:color w:val="000000"/>
                <w:sz w:val="18"/>
                <w:szCs w:val="18"/>
              </w:rPr>
              <w:t>ED</w:t>
            </w:r>
            <w:r w:rsidRPr="003453F6">
              <w:rPr>
                <w:rFonts w:ascii="Arial Narrow" w:hAnsi="Arial Narrow"/>
                <w:b/>
                <w:i/>
                <w:iCs/>
                <w:color w:val="000000"/>
                <w:sz w:val="18"/>
                <w:szCs w:val="18"/>
              </w:rPr>
              <w:t>Facts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b/>
                <w:color w:val="000000"/>
                <w:sz w:val="18"/>
                <w:szCs w:val="18"/>
              </w:rPr>
              <w:t>ELS</w:t>
            </w:r>
          </w:p>
        </w:tc>
        <w:tc>
          <w:tcPr>
            <w:tcW w:w="635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b/>
                <w:color w:val="000000"/>
                <w:sz w:val="18"/>
                <w:szCs w:val="18"/>
              </w:rPr>
              <w:t>HS&amp;B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b/>
                <w:color w:val="000000"/>
                <w:sz w:val="18"/>
                <w:szCs w:val="18"/>
              </w:rPr>
              <w:t>IPEDS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b/>
                <w:color w:val="000000"/>
                <w:sz w:val="18"/>
                <w:szCs w:val="18"/>
              </w:rPr>
              <w:t>NELS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b/>
                <w:color w:val="000000"/>
                <w:sz w:val="18"/>
                <w:szCs w:val="18"/>
              </w:rPr>
              <w:t>NPSAS</w:t>
            </w:r>
          </w:p>
        </w:tc>
      </w:tr>
      <w:tr w:rsidR="00707C48" w:rsidRPr="003453F6" w:rsidTr="00707C48">
        <w:trPr>
          <w:trHeight w:val="300"/>
        </w:trPr>
        <w:tc>
          <w:tcPr>
            <w:tcW w:w="3378" w:type="dxa"/>
            <w:tcBorders>
              <w:top w:val="single" w:sz="4" w:space="0" w:color="auto"/>
            </w:tcBorders>
            <w:vAlign w:val="bottom"/>
            <w:hideMark/>
          </w:tcPr>
          <w:p w:rsidR="00707C48" w:rsidRPr="003453F6" w:rsidRDefault="00707C48" w:rsidP="001A3078">
            <w:pPr>
              <w:spacing w:before="120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</w:tr>
      <w:tr w:rsidR="00707C48" w:rsidRPr="003453F6" w:rsidTr="00707C48">
        <w:trPr>
          <w:trHeight w:val="300"/>
        </w:trPr>
        <w:tc>
          <w:tcPr>
            <w:tcW w:w="3378" w:type="dxa"/>
            <w:vAlign w:val="bottom"/>
            <w:hideMark/>
          </w:tcPr>
          <w:p w:rsidR="00707C48" w:rsidRPr="003453F6" w:rsidRDefault="00707C48" w:rsidP="001A3078">
            <w:pPr>
              <w:spacing w:before="120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Population Distinctions</w:t>
            </w:r>
          </w:p>
        </w:tc>
        <w:tc>
          <w:tcPr>
            <w:tcW w:w="721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07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3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</w:tr>
      <w:tr w:rsidR="00707C48" w:rsidRPr="003453F6" w:rsidTr="00707C48">
        <w:trPr>
          <w:trHeight w:val="300"/>
        </w:trPr>
        <w:tc>
          <w:tcPr>
            <w:tcW w:w="3378" w:type="dxa"/>
            <w:vAlign w:val="bottom"/>
            <w:hideMark/>
          </w:tcPr>
          <w:p w:rsidR="00707C48" w:rsidRPr="003453F6" w:rsidRDefault="00707C48" w:rsidP="001A3078">
            <w:pPr>
              <w:spacing w:before="120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Low-income students</w:t>
            </w:r>
          </w:p>
        </w:tc>
        <w:tc>
          <w:tcPr>
            <w:tcW w:w="721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807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54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63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</w:tr>
      <w:tr w:rsidR="00707C48" w:rsidRPr="003453F6" w:rsidTr="00707C48">
        <w:trPr>
          <w:trHeight w:val="300"/>
        </w:trPr>
        <w:tc>
          <w:tcPr>
            <w:tcW w:w="3378" w:type="dxa"/>
            <w:vAlign w:val="bottom"/>
            <w:hideMark/>
          </w:tcPr>
          <w:p w:rsidR="00707C48" w:rsidRPr="003453F6" w:rsidRDefault="00707C48" w:rsidP="001A3078">
            <w:pPr>
              <w:spacing w:before="120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First-generation college students</w:t>
            </w:r>
          </w:p>
        </w:tc>
        <w:tc>
          <w:tcPr>
            <w:tcW w:w="721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807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63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</w:tr>
      <w:tr w:rsidR="00707C48" w:rsidRPr="003453F6" w:rsidTr="00707C48">
        <w:trPr>
          <w:trHeight w:val="300"/>
        </w:trPr>
        <w:tc>
          <w:tcPr>
            <w:tcW w:w="3378" w:type="dxa"/>
            <w:vAlign w:val="bottom"/>
            <w:hideMark/>
          </w:tcPr>
          <w:p w:rsidR="00707C48" w:rsidRPr="003453F6" w:rsidRDefault="00707C48" w:rsidP="001A3078">
            <w:pPr>
              <w:spacing w:before="120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Students with disabilities</w:t>
            </w:r>
          </w:p>
        </w:tc>
        <w:tc>
          <w:tcPr>
            <w:tcW w:w="721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807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54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63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</w:tr>
      <w:tr w:rsidR="00707C48" w:rsidRPr="003453F6" w:rsidTr="00707C48">
        <w:trPr>
          <w:trHeight w:val="300"/>
        </w:trPr>
        <w:tc>
          <w:tcPr>
            <w:tcW w:w="3378" w:type="dxa"/>
            <w:vAlign w:val="bottom"/>
            <w:hideMark/>
          </w:tcPr>
          <w:p w:rsidR="00707C48" w:rsidRPr="003453F6" w:rsidRDefault="00707C48" w:rsidP="001A3078">
            <w:pPr>
              <w:spacing w:before="120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1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07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3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</w:tr>
      <w:tr w:rsidR="00707C48" w:rsidRPr="003453F6" w:rsidTr="00707C48">
        <w:trPr>
          <w:trHeight w:val="300"/>
        </w:trPr>
        <w:tc>
          <w:tcPr>
            <w:tcW w:w="3378" w:type="dxa"/>
            <w:vAlign w:val="bottom"/>
            <w:hideMark/>
          </w:tcPr>
          <w:p w:rsidR="00707C48" w:rsidRPr="003453F6" w:rsidRDefault="00707C48" w:rsidP="001A3078">
            <w:pPr>
              <w:spacing w:before="120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Outcome Measures</w:t>
            </w:r>
          </w:p>
        </w:tc>
        <w:tc>
          <w:tcPr>
            <w:tcW w:w="721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07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3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</w:tr>
      <w:tr w:rsidR="00707C48" w:rsidRPr="003453F6" w:rsidTr="00707C48">
        <w:trPr>
          <w:trHeight w:val="300"/>
        </w:trPr>
        <w:tc>
          <w:tcPr>
            <w:tcW w:w="3378" w:type="dxa"/>
            <w:vAlign w:val="bottom"/>
            <w:hideMark/>
          </w:tcPr>
          <w:p w:rsidR="00707C48" w:rsidRPr="003453F6" w:rsidRDefault="00707C48" w:rsidP="001A3078">
            <w:pPr>
              <w:spacing w:before="120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Retention of students in postsecondary education</w:t>
            </w:r>
          </w:p>
        </w:tc>
        <w:tc>
          <w:tcPr>
            <w:tcW w:w="721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807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63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</w:tr>
      <w:tr w:rsidR="00707C48" w:rsidRPr="003453F6" w:rsidTr="00707C48">
        <w:trPr>
          <w:trHeight w:val="300"/>
        </w:trPr>
        <w:tc>
          <w:tcPr>
            <w:tcW w:w="3378" w:type="dxa"/>
            <w:vAlign w:val="bottom"/>
            <w:hideMark/>
          </w:tcPr>
          <w:p w:rsidR="00707C48" w:rsidRPr="003453F6" w:rsidRDefault="00707C48" w:rsidP="001A3078">
            <w:pPr>
              <w:spacing w:before="120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At IHEs offering a baccalaureate degree, students’ completion of degree programs</w:t>
            </w:r>
          </w:p>
        </w:tc>
        <w:tc>
          <w:tcPr>
            <w:tcW w:w="721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807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3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</w:tr>
      <w:tr w:rsidR="00707C48" w:rsidRPr="003453F6" w:rsidTr="00707C48">
        <w:trPr>
          <w:trHeight w:val="300"/>
        </w:trPr>
        <w:tc>
          <w:tcPr>
            <w:tcW w:w="3378" w:type="dxa"/>
            <w:vAlign w:val="bottom"/>
            <w:hideMark/>
          </w:tcPr>
          <w:p w:rsidR="00707C48" w:rsidRPr="003453F6" w:rsidRDefault="00707C48" w:rsidP="001A3078">
            <w:pPr>
              <w:spacing w:before="120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At IHEs not offering a baccalaureate, students’ completion of degrees or certificates</w:t>
            </w:r>
          </w:p>
        </w:tc>
        <w:tc>
          <w:tcPr>
            <w:tcW w:w="721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807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3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</w:tr>
      <w:tr w:rsidR="00707C48" w:rsidRPr="003453F6" w:rsidTr="00707C48">
        <w:trPr>
          <w:trHeight w:val="600"/>
        </w:trPr>
        <w:tc>
          <w:tcPr>
            <w:tcW w:w="3378" w:type="dxa"/>
            <w:vAlign w:val="bottom"/>
            <w:hideMark/>
          </w:tcPr>
          <w:p w:rsidR="00707C48" w:rsidRPr="003453F6" w:rsidRDefault="00707C48" w:rsidP="001A3078">
            <w:pPr>
              <w:spacing w:before="120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At IHEs not offering a baccalaureate, extent to which students transfer to IHEs offering baccalaureate degrees</w:t>
            </w:r>
          </w:p>
        </w:tc>
        <w:tc>
          <w:tcPr>
            <w:tcW w:w="721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807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63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453F6">
              <w:rPr>
                <w:rFonts w:ascii="Arial Narrow" w:hAnsi="Arial Narrow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5" w:type="dxa"/>
            <w:noWrap/>
            <w:vAlign w:val="center"/>
            <w:hideMark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</w:tr>
      <w:tr w:rsidR="00707C48" w:rsidRPr="003453F6" w:rsidTr="00707C48">
        <w:trPr>
          <w:trHeight w:val="600"/>
        </w:trPr>
        <w:tc>
          <w:tcPr>
            <w:tcW w:w="3378" w:type="dxa"/>
            <w:tcBorders>
              <w:bottom w:val="single" w:sz="12" w:space="0" w:color="auto"/>
            </w:tcBorders>
            <w:vAlign w:val="bottom"/>
          </w:tcPr>
          <w:p w:rsidR="00707C48" w:rsidRPr="003453F6" w:rsidRDefault="00707C48" w:rsidP="001A3078">
            <w:pPr>
              <w:spacing w:before="120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Service to students remaining in good academic standing that the projects were funded to serve.</w:t>
            </w:r>
          </w:p>
        </w:tc>
        <w:tc>
          <w:tcPr>
            <w:tcW w:w="721" w:type="dxa"/>
            <w:tcBorders>
              <w:bottom w:val="single" w:sz="12" w:space="0" w:color="auto"/>
            </w:tcBorders>
            <w:noWrap/>
            <w:vAlign w:val="center"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tcBorders>
              <w:bottom w:val="single" w:sz="12" w:space="0" w:color="auto"/>
            </w:tcBorders>
            <w:noWrap/>
            <w:vAlign w:val="center"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93" w:type="dxa"/>
            <w:tcBorders>
              <w:bottom w:val="single" w:sz="12" w:space="0" w:color="auto"/>
            </w:tcBorders>
            <w:noWrap/>
            <w:vAlign w:val="center"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07" w:type="dxa"/>
            <w:tcBorders>
              <w:bottom w:val="single" w:sz="12" w:space="0" w:color="auto"/>
            </w:tcBorders>
            <w:noWrap/>
            <w:vAlign w:val="center"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bottom w:val="single" w:sz="12" w:space="0" w:color="auto"/>
            </w:tcBorders>
            <w:noWrap/>
            <w:vAlign w:val="center"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  <w:noWrap/>
            <w:vAlign w:val="center"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noWrap/>
            <w:vAlign w:val="center"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noWrap/>
            <w:vAlign w:val="center"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bottom w:val="single" w:sz="12" w:space="0" w:color="auto"/>
            </w:tcBorders>
            <w:noWrap/>
            <w:vAlign w:val="center"/>
          </w:tcPr>
          <w:p w:rsidR="00707C48" w:rsidRPr="003453F6" w:rsidRDefault="00707C48" w:rsidP="001A3078">
            <w:pPr>
              <w:spacing w:before="120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</w:tr>
    </w:tbl>
    <w:p w:rsidR="00707C48" w:rsidRPr="003453F6" w:rsidRDefault="00707C48" w:rsidP="00707C48"/>
    <w:p w:rsidR="00707C48" w:rsidRDefault="00707C48" w:rsidP="00707C48">
      <w:pPr>
        <w:spacing w:after="200" w:line="276" w:lineRule="auto"/>
        <w:rPr>
          <w:highlight w:val="yellow"/>
        </w:rPr>
      </w:pPr>
    </w:p>
    <w:p w:rsidR="00707C48" w:rsidRDefault="00707C48" w:rsidP="00707C48"/>
    <w:p w:rsidR="009D5B79" w:rsidRDefault="009D5B79" w:rsidP="009D5B79">
      <w:pPr>
        <w:widowControl w:val="0"/>
        <w:autoSpaceDE w:val="0"/>
        <w:autoSpaceDN w:val="0"/>
        <w:adjustRightInd w:val="0"/>
        <w:rPr>
          <w:rFonts w:ascii="Garamond" w:hAnsi="Garamond" w:cs="AGaramond-Regular"/>
          <w:lang w:bidi="en-US"/>
        </w:rPr>
      </w:pPr>
    </w:p>
    <w:sectPr w:rsidR="009D5B79" w:rsidSect="009E771B">
      <w:pgSz w:w="12240" w:h="15840"/>
      <w:pgMar w:top="1800" w:right="72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F03" w:rsidRDefault="00077F03">
      <w:r>
        <w:separator/>
      </w:r>
    </w:p>
  </w:endnote>
  <w:endnote w:type="continuationSeparator" w:id="0">
    <w:p w:rsidR="00077F03" w:rsidRDefault="0007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Garamond-Regular">
    <w:altName w:val="AGaramond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71B" w:rsidRDefault="00A033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3638550</wp:posOffset>
              </wp:positionH>
              <wp:positionV relativeFrom="page">
                <wp:posOffset>9285605</wp:posOffset>
              </wp:positionV>
              <wp:extent cx="565785" cy="191770"/>
              <wp:effectExtent l="0" t="0" r="0" b="0"/>
              <wp:wrapNone/>
              <wp:docPr id="1" name="Rectangle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771B" w:rsidRPr="00557545" w:rsidRDefault="009E771B" w:rsidP="009E771B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F79646"/>
                            </w:rPr>
                          </w:pPr>
                          <w:r w:rsidRPr="00557545">
                            <w:rPr>
                              <w:color w:val="F79646"/>
                            </w:rPr>
                            <w:fldChar w:fldCharType="begin"/>
                          </w:r>
                          <w:r w:rsidRPr="00557545">
                            <w:rPr>
                              <w:color w:val="F79646"/>
                            </w:rPr>
                            <w:instrText xml:space="preserve"> PAGE   \* MERGEFORMAT </w:instrText>
                          </w:r>
                          <w:r w:rsidRPr="00557545">
                            <w:rPr>
                              <w:color w:val="F79646"/>
                            </w:rPr>
                            <w:fldChar w:fldCharType="separate"/>
                          </w:r>
                          <w:r w:rsidR="00A033C2">
                            <w:rPr>
                              <w:noProof/>
                              <w:color w:val="F79646"/>
                            </w:rPr>
                            <w:t>3</w:t>
                          </w:r>
                          <w:r w:rsidRPr="00557545">
                            <w:rPr>
                              <w:noProof/>
                              <w:color w:val="F7964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650" o:spid="_x0000_s1026" style="position:absolute;margin-left:286.5pt;margin-top:731.15pt;width:44.55pt;height:15.1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" filled="f" fillcolor="#c0504d" stroked="f" strokecolor="#5c83b4" strokeweight="2.25pt">
              <v:textbox inset=",0,,0">
                <w:txbxContent>
                  <w:p w:rsidR="009E771B" w:rsidRPr="00557545" w:rsidRDefault="009E771B" w:rsidP="009E771B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F79646"/>
                      </w:rPr>
                    </w:pPr>
                    <w:r w:rsidRPr="00557545">
                      <w:rPr>
                        <w:color w:val="F79646"/>
                      </w:rPr>
                      <w:fldChar w:fldCharType="begin"/>
                    </w:r>
                    <w:r w:rsidRPr="00557545">
                      <w:rPr>
                        <w:color w:val="F79646"/>
                      </w:rPr>
                      <w:instrText xml:space="preserve"> PAGE   \* MERGEFORMAT </w:instrText>
                    </w:r>
                    <w:r w:rsidRPr="00557545">
                      <w:rPr>
                        <w:color w:val="F79646"/>
                      </w:rPr>
                      <w:fldChar w:fldCharType="separate"/>
                    </w:r>
                    <w:r w:rsidR="00A033C2">
                      <w:rPr>
                        <w:noProof/>
                        <w:color w:val="F79646"/>
                      </w:rPr>
                      <w:t>3</w:t>
                    </w:r>
                    <w:r w:rsidRPr="00557545">
                      <w:rPr>
                        <w:noProof/>
                        <w:color w:val="F79646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71B" w:rsidRDefault="00A033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3637280</wp:posOffset>
              </wp:positionH>
              <wp:positionV relativeFrom="page">
                <wp:posOffset>9322435</wp:posOffset>
              </wp:positionV>
              <wp:extent cx="565785" cy="191770"/>
              <wp:effectExtent l="0" t="0" r="0" b="0"/>
              <wp:wrapNone/>
              <wp:docPr id="650" name="Rectangle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771B" w:rsidRPr="00557545" w:rsidRDefault="009E771B" w:rsidP="009E771B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F79646"/>
                            </w:rPr>
                          </w:pPr>
                          <w:r w:rsidRPr="00557545">
                            <w:rPr>
                              <w:color w:val="F79646"/>
                            </w:rPr>
                            <w:fldChar w:fldCharType="begin"/>
                          </w:r>
                          <w:r w:rsidRPr="00557545">
                            <w:rPr>
                              <w:color w:val="F79646"/>
                            </w:rPr>
                            <w:instrText xml:space="preserve"> PAGE   \* MERGEFORMAT </w:instrText>
                          </w:r>
                          <w:r w:rsidRPr="00557545">
                            <w:rPr>
                              <w:color w:val="F79646"/>
                            </w:rPr>
                            <w:fldChar w:fldCharType="separate"/>
                          </w:r>
                          <w:r w:rsidR="00A033C2">
                            <w:rPr>
                              <w:noProof/>
                              <w:color w:val="F79646"/>
                            </w:rPr>
                            <w:t>1</w:t>
                          </w:r>
                          <w:r w:rsidRPr="00557545">
                            <w:rPr>
                              <w:noProof/>
                              <w:color w:val="F7964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_x0000_s1027" style="position:absolute;margin-left:286.4pt;margin-top:734.05pt;width:44.55pt;height:15.1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" filled="f" fillcolor="#c0504d" stroked="f" strokecolor="#5c83b4" strokeweight="2.25pt">
              <v:textbox inset=",0,,0">
                <w:txbxContent>
                  <w:p w:rsidR="009E771B" w:rsidRPr="00557545" w:rsidRDefault="009E771B" w:rsidP="009E771B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F79646"/>
                      </w:rPr>
                    </w:pPr>
                    <w:r w:rsidRPr="00557545">
                      <w:rPr>
                        <w:color w:val="F79646"/>
                      </w:rPr>
                      <w:fldChar w:fldCharType="begin"/>
                    </w:r>
                    <w:r w:rsidRPr="00557545">
                      <w:rPr>
                        <w:color w:val="F79646"/>
                      </w:rPr>
                      <w:instrText xml:space="preserve"> PAGE   \* MERGEFORMAT </w:instrText>
                    </w:r>
                    <w:r w:rsidRPr="00557545">
                      <w:rPr>
                        <w:color w:val="F79646"/>
                      </w:rPr>
                      <w:fldChar w:fldCharType="separate"/>
                    </w:r>
                    <w:r w:rsidR="00A033C2">
                      <w:rPr>
                        <w:noProof/>
                        <w:color w:val="F79646"/>
                      </w:rPr>
                      <w:t>1</w:t>
                    </w:r>
                    <w:r w:rsidRPr="00557545">
                      <w:rPr>
                        <w:noProof/>
                        <w:color w:val="F79646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F03" w:rsidRDefault="00077F03">
      <w:r>
        <w:separator/>
      </w:r>
    </w:p>
  </w:footnote>
  <w:footnote w:type="continuationSeparator" w:id="0">
    <w:p w:rsidR="00077F03" w:rsidRDefault="00077F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F1" w:rsidRDefault="00FA1AF1" w:rsidP="00FA1AF1">
    <w:pPr>
      <w:pStyle w:val="Header"/>
      <w:tabs>
        <w:tab w:val="clear" w:pos="4320"/>
        <w:tab w:val="clear" w:pos="864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C48" w:rsidRDefault="00A033C2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-267970</wp:posOffset>
          </wp:positionH>
          <wp:positionV relativeFrom="paragraph">
            <wp:posOffset>125730</wp:posOffset>
          </wp:positionV>
          <wp:extent cx="6866890" cy="1024890"/>
          <wp:effectExtent l="0" t="0" r="0" b="0"/>
          <wp:wrapTight wrapText="bothSides">
            <wp:wrapPolygon edited="0">
              <wp:start x="0" y="0"/>
              <wp:lineTo x="0" y="20877"/>
              <wp:lineTo x="21492" y="20877"/>
              <wp:lineTo x="21492" y="0"/>
              <wp:lineTo x="0" y="0"/>
            </wp:wrapPolygon>
          </wp:wrapTight>
          <wp:docPr id="8" name="Picture 8" descr="NORC_letterheadimport_downt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ORC_letterheadimport_downt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6890" cy="1024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CDC2F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7F1081"/>
    <w:multiLevelType w:val="hybridMultilevel"/>
    <w:tmpl w:val="FE44FB44"/>
    <w:lvl w:ilvl="0" w:tplc="ED00D3DC">
      <w:start w:val="1"/>
      <w:numFmt w:val="bullet"/>
      <w:lvlText w:val=""/>
      <w:lvlJc w:val="left"/>
      <w:pPr>
        <w:tabs>
          <w:tab w:val="num" w:pos="389"/>
        </w:tabs>
        <w:ind w:left="576" w:hanging="288"/>
      </w:pPr>
      <w:rPr>
        <w:rFonts w:ascii="Symbol" w:hAnsi="Symbol" w:hint="default"/>
        <w:color w:val="E36C0A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">
    <w:nsid w:val="508B3A1A"/>
    <w:multiLevelType w:val="hybridMultilevel"/>
    <w:tmpl w:val="775E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8B"/>
    <w:rsid w:val="00077F03"/>
    <w:rsid w:val="00135E58"/>
    <w:rsid w:val="001A3078"/>
    <w:rsid w:val="00390395"/>
    <w:rsid w:val="00390F47"/>
    <w:rsid w:val="003D1BDC"/>
    <w:rsid w:val="004C3340"/>
    <w:rsid w:val="004C3A8B"/>
    <w:rsid w:val="00505701"/>
    <w:rsid w:val="00557545"/>
    <w:rsid w:val="00691575"/>
    <w:rsid w:val="00707C48"/>
    <w:rsid w:val="009D5B79"/>
    <w:rsid w:val="009E771B"/>
    <w:rsid w:val="00A033C2"/>
    <w:rsid w:val="00B12F1A"/>
    <w:rsid w:val="00EE18C5"/>
    <w:rsid w:val="00F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4434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8C34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34F0"/>
    <w:pPr>
      <w:tabs>
        <w:tab w:val="center" w:pos="4320"/>
        <w:tab w:val="right" w:pos="8640"/>
      </w:tabs>
    </w:pPr>
  </w:style>
  <w:style w:type="paragraph" w:customStyle="1" w:styleId="NORCTextNoIndent">
    <w:name w:val="NORC Text No Indent"/>
    <w:link w:val="NORCTextNoIndentChar"/>
    <w:rsid w:val="00135E58"/>
    <w:pPr>
      <w:spacing w:after="180"/>
    </w:pPr>
    <w:rPr>
      <w:rFonts w:ascii="Garamond" w:hAnsi="Garamond"/>
      <w:sz w:val="24"/>
      <w:szCs w:val="24"/>
    </w:rPr>
  </w:style>
  <w:style w:type="character" w:customStyle="1" w:styleId="NORCTextNoIndentChar">
    <w:name w:val="NORC Text No Indent Char"/>
    <w:link w:val="NORCTextNoIndent"/>
    <w:rsid w:val="00135E58"/>
    <w:rPr>
      <w:rFonts w:ascii="Garamond" w:hAnsi="Garamond"/>
      <w:sz w:val="24"/>
      <w:szCs w:val="24"/>
    </w:rPr>
  </w:style>
  <w:style w:type="paragraph" w:customStyle="1" w:styleId="NORCHeading1">
    <w:name w:val="NORC Heading 1"/>
    <w:rsid w:val="00135E58"/>
    <w:pPr>
      <w:keepNext/>
      <w:pBdr>
        <w:top w:val="single" w:sz="18" w:space="1" w:color="auto"/>
        <w:bottom w:val="single" w:sz="4" w:space="1" w:color="auto"/>
      </w:pBdr>
      <w:spacing w:after="120"/>
    </w:pPr>
    <w:rPr>
      <w:rFonts w:ascii="Arial" w:hAnsi="Arial" w:cs="Arial"/>
      <w:b/>
      <w:bCs/>
      <w:color w:val="000000"/>
      <w:kern w:val="32"/>
      <w:sz w:val="28"/>
      <w:szCs w:val="32"/>
    </w:rPr>
  </w:style>
  <w:style w:type="paragraph" w:customStyle="1" w:styleId="NORCHeading3">
    <w:name w:val="NORC Heading 3"/>
    <w:link w:val="NORCHeading3Char"/>
    <w:rsid w:val="00135E58"/>
    <w:pPr>
      <w:keepNext/>
      <w:spacing w:before="320" w:after="60"/>
    </w:pPr>
    <w:rPr>
      <w:rFonts w:ascii="Arial Bold" w:hAnsi="Arial Bold" w:cs="Arial"/>
      <w:b/>
      <w:bCs/>
      <w:sz w:val="24"/>
      <w:szCs w:val="23"/>
    </w:rPr>
  </w:style>
  <w:style w:type="character" w:customStyle="1" w:styleId="NORCHeading3Char">
    <w:name w:val="NORC Heading 3 Char"/>
    <w:link w:val="NORCHeading3"/>
    <w:rsid w:val="00135E58"/>
    <w:rPr>
      <w:rFonts w:ascii="Arial Bold" w:hAnsi="Arial Bold" w:cs="Arial"/>
      <w:b/>
      <w:bCs/>
      <w:sz w:val="24"/>
      <w:szCs w:val="23"/>
    </w:rPr>
  </w:style>
  <w:style w:type="table" w:styleId="TableGrid">
    <w:name w:val="Table Grid"/>
    <w:basedOn w:val="TableNormal"/>
    <w:uiPriority w:val="59"/>
    <w:rsid w:val="00707C4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90F47"/>
    <w:pPr>
      <w:spacing w:before="100" w:beforeAutospacing="1" w:after="100" w:afterAutospacing="1"/>
    </w:pPr>
    <w:rPr>
      <w:rFonts w:ascii="Arial Unicode MS" w:eastAsia="Arial Unicode MS" w:cs="Arial Unicode MS"/>
    </w:rPr>
  </w:style>
  <w:style w:type="character" w:styleId="Hyperlink">
    <w:name w:val="Hyperlink"/>
    <w:uiPriority w:val="99"/>
    <w:semiHidden/>
    <w:unhideWhenUsed/>
    <w:rsid w:val="009E771B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9E771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4434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8C34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34F0"/>
    <w:pPr>
      <w:tabs>
        <w:tab w:val="center" w:pos="4320"/>
        <w:tab w:val="right" w:pos="8640"/>
      </w:tabs>
    </w:pPr>
  </w:style>
  <w:style w:type="paragraph" w:customStyle="1" w:styleId="NORCTextNoIndent">
    <w:name w:val="NORC Text No Indent"/>
    <w:link w:val="NORCTextNoIndentChar"/>
    <w:rsid w:val="00135E58"/>
    <w:pPr>
      <w:spacing w:after="180"/>
    </w:pPr>
    <w:rPr>
      <w:rFonts w:ascii="Garamond" w:hAnsi="Garamond"/>
      <w:sz w:val="24"/>
      <w:szCs w:val="24"/>
    </w:rPr>
  </w:style>
  <w:style w:type="character" w:customStyle="1" w:styleId="NORCTextNoIndentChar">
    <w:name w:val="NORC Text No Indent Char"/>
    <w:link w:val="NORCTextNoIndent"/>
    <w:rsid w:val="00135E58"/>
    <w:rPr>
      <w:rFonts w:ascii="Garamond" w:hAnsi="Garamond"/>
      <w:sz w:val="24"/>
      <w:szCs w:val="24"/>
    </w:rPr>
  </w:style>
  <w:style w:type="paragraph" w:customStyle="1" w:styleId="NORCHeading1">
    <w:name w:val="NORC Heading 1"/>
    <w:rsid w:val="00135E58"/>
    <w:pPr>
      <w:keepNext/>
      <w:pBdr>
        <w:top w:val="single" w:sz="18" w:space="1" w:color="auto"/>
        <w:bottom w:val="single" w:sz="4" w:space="1" w:color="auto"/>
      </w:pBdr>
      <w:spacing w:after="120"/>
    </w:pPr>
    <w:rPr>
      <w:rFonts w:ascii="Arial" w:hAnsi="Arial" w:cs="Arial"/>
      <w:b/>
      <w:bCs/>
      <w:color w:val="000000"/>
      <w:kern w:val="32"/>
      <w:sz w:val="28"/>
      <w:szCs w:val="32"/>
    </w:rPr>
  </w:style>
  <w:style w:type="paragraph" w:customStyle="1" w:styleId="NORCHeading3">
    <w:name w:val="NORC Heading 3"/>
    <w:link w:val="NORCHeading3Char"/>
    <w:rsid w:val="00135E58"/>
    <w:pPr>
      <w:keepNext/>
      <w:spacing w:before="320" w:after="60"/>
    </w:pPr>
    <w:rPr>
      <w:rFonts w:ascii="Arial Bold" w:hAnsi="Arial Bold" w:cs="Arial"/>
      <w:b/>
      <w:bCs/>
      <w:sz w:val="24"/>
      <w:szCs w:val="23"/>
    </w:rPr>
  </w:style>
  <w:style w:type="character" w:customStyle="1" w:styleId="NORCHeading3Char">
    <w:name w:val="NORC Heading 3 Char"/>
    <w:link w:val="NORCHeading3"/>
    <w:rsid w:val="00135E58"/>
    <w:rPr>
      <w:rFonts w:ascii="Arial Bold" w:hAnsi="Arial Bold" w:cs="Arial"/>
      <w:b/>
      <w:bCs/>
      <w:sz w:val="24"/>
      <w:szCs w:val="23"/>
    </w:rPr>
  </w:style>
  <w:style w:type="table" w:styleId="TableGrid">
    <w:name w:val="Table Grid"/>
    <w:basedOn w:val="TableNormal"/>
    <w:uiPriority w:val="59"/>
    <w:rsid w:val="00707C4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90F47"/>
    <w:pPr>
      <w:spacing w:before="100" w:beforeAutospacing="1" w:after="100" w:afterAutospacing="1"/>
    </w:pPr>
    <w:rPr>
      <w:rFonts w:ascii="Arial Unicode MS" w:eastAsia="Arial Unicode MS" w:cs="Arial Unicode MS"/>
    </w:rPr>
  </w:style>
  <w:style w:type="character" w:styleId="Hyperlink">
    <w:name w:val="Hyperlink"/>
    <w:uiPriority w:val="99"/>
    <w:semiHidden/>
    <w:unhideWhenUsed/>
    <w:rsid w:val="009E771B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9E77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wolniak-gregory@norc.org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66FC65A74804D9DDC4AB28D9C992D" ma:contentTypeVersion="5" ma:contentTypeDescription="Create a new document." ma:contentTypeScope="" ma:versionID="f56390cb60b43bcbdf6ade86de3cd9dd">
  <xsd:schema xmlns:xsd="http://www.w3.org/2001/XMLSchema" xmlns:p="http://schemas.microsoft.com/office/2006/metadata/properties" targetNamespace="http://schemas.microsoft.com/office/2006/metadata/properties" ma:root="true" ma:fieldsID="bfb85531492299a443187b2d09fe2a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1916-0B2E-4FB9-93E6-F3A164FE39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24C2F6-6554-4620-9DD6-EE73D11E9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0BC778D-121B-644E-9290-E96D0A1C0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dfdfl;kdf</vt:lpstr>
    </vt:vector>
  </TitlesOfParts>
  <Company>NORC</Company>
  <LinksUpToDate>false</LinksUpToDate>
  <CharactersWithSpaces>3738</CharactersWithSpaces>
  <SharedDoc>false</SharedDoc>
  <HLinks>
    <vt:vector size="6" baseType="variant">
      <vt:variant>
        <vt:i4>3080259</vt:i4>
      </vt:variant>
      <vt:variant>
        <vt:i4>0</vt:i4>
      </vt:variant>
      <vt:variant>
        <vt:i4>0</vt:i4>
      </vt:variant>
      <vt:variant>
        <vt:i4>5</vt:i4>
      </vt:variant>
      <vt:variant>
        <vt:lpwstr>mailto:wolniak-gregory@norc.org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dfdfl;kdf</dc:title>
  <dc:subject/>
  <dc:creator>Maggie Woelfel</dc:creator>
  <cp:keywords/>
  <cp:lastModifiedBy>Kate Shannon Biddle</cp:lastModifiedBy>
  <cp:revision>2</cp:revision>
  <cp:lastPrinted>2010-12-07T22:06:00Z</cp:lastPrinted>
  <dcterms:created xsi:type="dcterms:W3CDTF">2014-10-10T16:11:00Z</dcterms:created>
  <dcterms:modified xsi:type="dcterms:W3CDTF">2014-10-10T16:11:00Z</dcterms:modified>
</cp:coreProperties>
</file>