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Interior</w:t>
      </w:r>
      <w:r>
        <w:t xml:space="preserve"> </w:t>
      </w:r>
      <w:r>
        <w:t xml:space="preserve">Population</w:t>
      </w:r>
      <w:r>
        <w:t xml:space="preserve"> </w:t>
      </w:r>
      <w:r>
        <w:t xml:space="preserve">Trumpeter</w:t>
      </w:r>
      <w:r>
        <w:t xml:space="preserve"> </w:t>
      </w:r>
      <w:r>
        <w:t xml:space="preserve">Swan</w:t>
      </w:r>
      <w:r>
        <w:t xml:space="preserve"> </w:t>
      </w:r>
      <w:r>
        <w:t xml:space="preserve">Annual</w:t>
      </w:r>
      <w:r>
        <w:t xml:space="preserve"> </w:t>
      </w:r>
      <w:r>
        <w:t xml:space="preserve">Movements</w:t>
      </w:r>
    </w:p>
    <w:p>
      <w:pPr>
        <w:pStyle w:val="Author"/>
      </w:pPr>
      <w:r>
        <w:t xml:space="preserve">David</w:t>
      </w:r>
      <w:r>
        <w:t xml:space="preserve"> </w:t>
      </w:r>
      <w:r>
        <w:t xml:space="preserve">W.</w:t>
      </w:r>
      <w:r>
        <w:t xml:space="preserve"> </w:t>
      </w:r>
      <w:r>
        <w:t xml:space="preserve">Wolfson</w:t>
      </w:r>
      <w:r>
        <w:rPr>
          <w:rStyle w:val="FootnoteReference"/>
        </w:rPr>
        <w:footnoteReference w:id="20"/>
      </w:r>
      <w:r>
        <w:t xml:space="preserve">,</w:t>
      </w:r>
      <w:r>
        <w:t xml:space="preserve"> </w:t>
      </w:r>
      <w:r>
        <w:t xml:space="preserve">John</w:t>
      </w:r>
      <w:r>
        <w:t xml:space="preserve"> </w:t>
      </w:r>
      <w:r>
        <w:t xml:space="preserve">R.</w:t>
      </w:r>
      <w:r>
        <w:t xml:space="preserve"> </w:t>
      </w:r>
      <w:r>
        <w:t xml:space="preserve">Fieberg</w:t>
      </w:r>
      <w:r>
        <w:rPr>
          <w:rStyle w:val="FootnoteReference"/>
        </w:rPr>
        <w:footnoteReference w:id="21"/>
      </w:r>
      <w:r>
        <w:t xml:space="preserve">,</w:t>
      </w:r>
      <w:r>
        <w:t xml:space="preserve"> </w:t>
      </w:r>
      <w:r>
        <w:t xml:space="preserve">Thomas</w:t>
      </w:r>
      <w:r>
        <w:t xml:space="preserve"> </w:t>
      </w:r>
      <w:r>
        <w:t xml:space="preserve">R.</w:t>
      </w:r>
      <w:r>
        <w:t xml:space="preserve"> </w:t>
      </w:r>
      <w:r>
        <w:t xml:space="preserve">Cooper</w:t>
      </w:r>
      <w:r>
        <w:rPr>
          <w:rStyle w:val="FootnoteReference"/>
        </w:rPr>
        <w:footnoteReference w:id="22"/>
      </w:r>
      <w:r>
        <w:t xml:space="preserve">,</w:t>
      </w:r>
      <w:r>
        <w:t xml:space="preserve"> </w:t>
      </w:r>
      <w:r>
        <w:t xml:space="preserve">Steven</w:t>
      </w:r>
      <w:r>
        <w:t xml:space="preserve"> </w:t>
      </w:r>
      <w:r>
        <w:t xml:space="preserve">Cordts</w:t>
      </w:r>
      <w:r>
        <w:rPr>
          <w:rStyle w:val="FootnoteReference"/>
        </w:rPr>
        <w:footnoteReference w:id="23"/>
      </w:r>
      <w:r>
        <w:t xml:space="preserve">,</w:t>
      </w:r>
      <w:r>
        <w:t xml:space="preserve"> </w:t>
      </w:r>
      <w:r>
        <w:t xml:space="preserve">Christine</w:t>
      </w:r>
      <w:r>
        <w:t xml:space="preserve"> </w:t>
      </w:r>
      <w:r>
        <w:t xml:space="preserve">Herwig</w:t>
      </w:r>
      <w:r>
        <w:rPr>
          <w:rStyle w:val="FootnoteReference"/>
        </w:rPr>
        <w:footnoteReference w:id="24"/>
      </w:r>
      <w:r>
        <w:t xml:space="preserve">,</w:t>
      </w:r>
      <w:r>
        <w:t xml:space="preserve"> </w:t>
      </w:r>
      <w:r>
        <w:t xml:space="preserve">John</w:t>
      </w:r>
      <w:r>
        <w:t xml:space="preserve"> </w:t>
      </w:r>
      <w:r>
        <w:t xml:space="preserve">Moriarty</w:t>
      </w:r>
      <w:r>
        <w:rPr>
          <w:rStyle w:val="FootnoteReference"/>
        </w:rPr>
        <w:footnoteReference w:id="25"/>
      </w:r>
      <w:r>
        <w:t xml:space="preserve">,</w:t>
      </w:r>
      <w:r>
        <w:t xml:space="preserve"> </w:t>
      </w:r>
      <w:r>
        <w:t xml:space="preserve">Margaret</w:t>
      </w:r>
      <w:r>
        <w:t xml:space="preserve"> </w:t>
      </w:r>
      <w:r>
        <w:t xml:space="preserve">Smith</w:t>
      </w:r>
      <w:r>
        <w:rPr>
          <w:rStyle w:val="FootnoteReference"/>
        </w:rPr>
        <w:footnoteReference w:id="26"/>
      </w:r>
      <w:r>
        <w:t xml:space="preserve">,</w:t>
      </w:r>
      <w:r>
        <w:t xml:space="preserve"> </w:t>
      </w:r>
      <w:r>
        <w:t xml:space="preserve">Randall</w:t>
      </w:r>
      <w:r>
        <w:t xml:space="preserve"> </w:t>
      </w:r>
      <w:r>
        <w:t xml:space="preserve">T.</w:t>
      </w:r>
      <w:r>
        <w:t xml:space="preserve"> </w:t>
      </w:r>
      <w:r>
        <w:t xml:space="preserve">Knapik</w:t>
      </w:r>
      <w:r>
        <w:rPr>
          <w:rStyle w:val="FootnoteReference"/>
        </w:rPr>
        <w:footnoteReference w:id="27"/>
      </w:r>
      <w:r>
        <w:t xml:space="preserve">,</w:t>
      </w:r>
      <w:r>
        <w:t xml:space="preserve"> </w:t>
      </w:r>
      <w:r>
        <w:t xml:space="preserve">Anna</w:t>
      </w:r>
      <w:r>
        <w:t xml:space="preserve"> </w:t>
      </w:r>
      <w:r>
        <w:t xml:space="preserve">Buckardt-Thomas</w:t>
      </w:r>
      <w:r>
        <w:rPr>
          <w:rStyle w:val="FootnoteReference"/>
        </w:rPr>
        <w:footnoteReference w:id="28"/>
      </w:r>
      <w:r>
        <w:t xml:space="preserve">,</w:t>
      </w:r>
      <w:r>
        <w:t xml:space="preserve"> </w:t>
      </w:r>
      <w:r>
        <w:t xml:space="preserve">Tyler</w:t>
      </w:r>
      <w:r>
        <w:t xml:space="preserve"> </w:t>
      </w:r>
      <w:r>
        <w:t xml:space="preserve">Harms</w:t>
      </w:r>
      <w:r>
        <w:rPr>
          <w:rStyle w:val="FootnoteReference"/>
        </w:rPr>
        <w:footnoteReference w:id="29"/>
      </w:r>
      <w:r>
        <w:t xml:space="preserve">,</w:t>
      </w:r>
      <w:r>
        <w:t xml:space="preserve"> </w:t>
      </w:r>
      <w:r>
        <w:t xml:space="preserve">Taylor</w:t>
      </w:r>
      <w:r>
        <w:t xml:space="preserve"> </w:t>
      </w:r>
      <w:r>
        <w:t xml:space="preserve">Finger</w:t>
      </w:r>
      <w:r>
        <w:rPr>
          <w:rStyle w:val="FootnoteReference"/>
        </w:rPr>
        <w:footnoteReference w:id="30"/>
      </w:r>
      <w:r>
        <w:t xml:space="preserve">,</w:t>
      </w:r>
      <w:r>
        <w:t xml:space="preserve"> </w:t>
      </w:r>
      <w:r>
        <w:t xml:space="preserve">Sumner</w:t>
      </w:r>
      <w:r>
        <w:t xml:space="preserve"> </w:t>
      </w:r>
      <w:r>
        <w:t xml:space="preserve">Matteson</w:t>
      </w:r>
      <w:r>
        <w:rPr>
          <w:rStyle w:val="FootnoteReference"/>
        </w:rPr>
        <w:footnoteReference w:id="31"/>
      </w:r>
      <w:r>
        <w:t xml:space="preserve">,</w:t>
      </w:r>
      <w:r>
        <w:t xml:space="preserve"> </w:t>
      </w:r>
      <w:r>
        <w:t xml:space="preserve">Laura</w:t>
      </w:r>
      <w:r>
        <w:t xml:space="preserve"> </w:t>
      </w:r>
      <w:r>
        <w:t xml:space="preserve">Kearns</w:t>
      </w:r>
      <w:r>
        <w:rPr>
          <w:rStyle w:val="FootnoteReference"/>
        </w:rPr>
        <w:footnoteReference w:id="32"/>
      </w:r>
      <w:r>
        <w:t xml:space="preserve">,</w:t>
      </w:r>
      <w:r>
        <w:t xml:space="preserve"> </w:t>
      </w:r>
      <w:r>
        <w:t xml:space="preserve">Tiffany</w:t>
      </w:r>
      <w:r>
        <w:t xml:space="preserve"> </w:t>
      </w:r>
      <w:r>
        <w:t xml:space="preserve">Mayo</w:t>
      </w:r>
      <w:r>
        <w:rPr>
          <w:rStyle w:val="FootnoteReference"/>
        </w:rPr>
        <w:footnoteReference w:id="33"/>
      </w:r>
      <w:r>
        <w:t xml:space="preserve">,</w:t>
      </w:r>
      <w:r>
        <w:t xml:space="preserve"> </w:t>
      </w:r>
      <w:r>
        <w:t xml:space="preserve">Brian</w:t>
      </w:r>
      <w:r>
        <w:t xml:space="preserve"> </w:t>
      </w:r>
      <w:r>
        <w:t xml:space="preserve">Kiss</w:t>
      </w:r>
      <w:r>
        <w:rPr>
          <w:rStyle w:val="FootnoteReference"/>
        </w:rPr>
        <w:footnoteReference w:id="34"/>
      </w:r>
      <w:r>
        <w:t xml:space="preserve">,</w:t>
      </w:r>
      <w:r>
        <w:t xml:space="preserve"> </w:t>
      </w:r>
      <w:r>
        <w:t xml:space="preserve">Timothy</w:t>
      </w:r>
      <w:r>
        <w:t xml:space="preserve"> </w:t>
      </w:r>
      <w:r>
        <w:t xml:space="preserve">Poole</w:t>
      </w:r>
      <w:r>
        <w:rPr>
          <w:rStyle w:val="FootnoteReference"/>
        </w:rPr>
        <w:footnoteReference w:id="35"/>
      </w:r>
      <w:r>
        <w:t xml:space="preserve">,</w:t>
      </w:r>
      <w:r>
        <w:t xml:space="preserve"> </w:t>
      </w:r>
      <w:r>
        <w:t xml:space="preserve">Drew</w:t>
      </w:r>
      <w:r>
        <w:t xml:space="preserve"> </w:t>
      </w:r>
      <w:r>
        <w:t xml:space="preserve">Fowler</w:t>
      </w:r>
      <w:r>
        <w:rPr>
          <w:rStyle w:val="FootnoteReference"/>
        </w:rPr>
        <w:footnoteReference w:id="36"/>
      </w:r>
      <w:r>
        <w:t xml:space="preserve">,</w:t>
      </w:r>
      <w:r>
        <w:t xml:space="preserve"> </w:t>
      </w:r>
      <w:r>
        <w:t xml:space="preserve">David</w:t>
      </w:r>
      <w:r>
        <w:t xml:space="preserve"> </w:t>
      </w:r>
      <w:r>
        <w:t xml:space="preserve">E.</w:t>
      </w:r>
      <w:r>
        <w:t xml:space="preserve"> </w:t>
      </w:r>
      <w:r>
        <w:t xml:space="preserve">Andersen</w:t>
      </w:r>
      <w:r>
        <w:rPr>
          <w:rStyle w:val="FootnoteReference"/>
        </w:rPr>
        <w:footnoteReference w:id="37"/>
      </w:r>
    </w:p>
    <w:bookmarkStart w:id="38" w:name="abstract"/>
    <w:p>
      <w:pPr>
        <w:pStyle w:val="Heading2"/>
      </w:pPr>
      <w:r>
        <w:rPr>
          <w:rStyle w:val="SectionNumber"/>
        </w:rPr>
        <w:t xml:space="preserve">0.1</w:t>
      </w:r>
      <w:r>
        <w:tab/>
      </w:r>
      <w:r>
        <w:t xml:space="preserve">Abstract</w:t>
      </w:r>
    </w:p>
    <w:bookmarkEnd w:id="38"/>
    <w:bookmarkStart w:id="39" w:name="introduction"/>
    <w:p>
      <w:pPr>
        <w:pStyle w:val="Heading2"/>
      </w:pPr>
      <w:r>
        <w:rPr>
          <w:rStyle w:val="SectionNumber"/>
        </w:rPr>
        <w:t xml:space="preserve">0.2</w:t>
      </w:r>
      <w:r>
        <w:tab/>
      </w:r>
      <w:r>
        <w:t xml:space="preserve">Introduction</w:t>
      </w:r>
    </w:p>
    <w:p>
      <w:pPr>
        <w:pStyle w:val="FirstParagraph"/>
      </w:pPr>
      <w:r>
        <w:t xml:space="preserve">Trumpeter swans (</w:t>
      </w:r>
      <w:r>
        <w:rPr>
          <w:iCs/>
          <w:i/>
        </w:rPr>
        <w:t xml:space="preserve">Cygnus buccinator</w:t>
      </w:r>
      <w:r>
        <w:t xml:space="preserve">) are the largest waterfowl species in North America and were widespread throughout the continent prior to European colonization during the</w:t>
      </w:r>
      <w:r>
        <w:t xml:space="preserve"> </w:t>
      </w:r>
      <m:oMath>
        <m:sSup>
          <m:e>
            <m:r>
              <m:t>19</m:t>
            </m:r>
          </m:e>
          <m:sup>
            <m:r>
              <m:t>t</m:t>
            </m:r>
            <m:r>
              <m:t>h</m:t>
            </m:r>
          </m:sup>
        </m:sSup>
      </m:oMath>
      <w:r>
        <w:t xml:space="preserve"> </w:t>
      </w:r>
      <w:r>
        <w:t xml:space="preserve">century</w:t>
      </w:r>
      <w:r>
        <w:t xml:space="preserve"> </w:t>
      </w:r>
      <w:r>
        <w:t xml:space="preserve">(</w:t>
      </w:r>
      <w:hyperlink w:anchor="ref-banko1960">
        <w:r>
          <w:rPr>
            <w:rStyle w:val="Hyperlink"/>
          </w:rPr>
          <w:t xml:space="preserve">Banko 1960</w:t>
        </w:r>
      </w:hyperlink>
      <w:r>
        <w:t xml:space="preserve">)</w:t>
      </w:r>
      <w:r>
        <w:t xml:space="preserve">.</w:t>
      </w:r>
      <w:r>
        <w:t xml:space="preserve"> </w:t>
      </w:r>
      <w:r>
        <w:t xml:space="preserve">Trumpeter swans were nearly extirpated in the lower 48 states and reached an estimated low of 70 individuals in the 1930s due to widespread hunting for meat, skins for powder puffs, and feather quills for writing.</w:t>
      </w:r>
      <w:r>
        <w:t xml:space="preserve"> </w:t>
      </w:r>
      <w:r>
        <w:t xml:space="preserve">Critically low numbers of trumpeter swans led to the establishment of Red Rock Lakes National Wildlife Refuge (RRLNWR) in the confluence of Montana, Wyoming, and Idaho (also know as the Tri-State region) in 1935, which was the last vestige of a sizable breeding swan population in the lower 48 states.</w:t>
      </w:r>
    </w:p>
    <w:p>
      <w:pPr>
        <w:pStyle w:val="BodyText"/>
      </w:pPr>
      <w:r>
        <w:t xml:space="preserve">As trumpeter swan numbers at RRLNWR started to rise, this flock was used as a source population for many reintroduction efforts.</w:t>
      </w:r>
      <w:r>
        <w:t xml:space="preserve"> </w:t>
      </w:r>
      <w:r>
        <w:t xml:space="preserve">Many states translocated trumpeter swans from RRLNWR to augment and boost the abundance and distribution of the Rocky Mountain Population (RMP) or to restore the Interior Population (IP), which had been extirpated.</w:t>
      </w:r>
      <w:r>
        <w:t xml:space="preserve"> </w:t>
      </w:r>
      <w:r>
        <w:t xml:space="preserve">As reintroduction programs further expanded, demand for trumpeter swans outpaced the number available in the Tri-State area and forced managers to search for an alternative source.</w:t>
      </w:r>
      <w:r>
        <w:t xml:space="preserve"> </w:t>
      </w:r>
      <w:r>
        <w:t xml:space="preserve">In 1959, initial aerial surveys in Alaska discovered over a thousand Pacific Coast Population (PCP) swans</w:t>
      </w:r>
      <w:r>
        <w:t xml:space="preserve"> </w:t>
      </w:r>
      <w:r>
        <w:t xml:space="preserve">(</w:t>
      </w:r>
      <w:hyperlink w:anchor="ref-hansen1971">
        <w:r>
          <w:rPr>
            <w:rStyle w:val="Hyperlink"/>
          </w:rPr>
          <w:t xml:space="preserve">Hansen et al. 1971</w:t>
        </w:r>
      </w:hyperlink>
      <w:r>
        <w:t xml:space="preserve">)</w:t>
      </w:r>
      <w:r>
        <w:t xml:space="preserve">.</w:t>
      </w:r>
      <w:r>
        <w:t xml:space="preserve"> </w:t>
      </w:r>
      <w:r>
        <w:t xml:space="preserve">Additional surveys in 1968 tallied 2,848 swans, confirming that the population was growing, and that there were sufficient abundance to provide swans for translocations, including to states conducting reintroduction efforts within the IP</w:t>
      </w:r>
      <w:r>
        <w:t xml:space="preserve"> </w:t>
      </w:r>
      <w:r>
        <w:t xml:space="preserve">(</w:t>
      </w:r>
      <w:hyperlink w:anchor="ref-matteson1988">
        <w:r>
          <w:rPr>
            <w:rStyle w:val="Hyperlink"/>
          </w:rPr>
          <w:t xml:space="preserve">Matteson et al. 1988</w:t>
        </w:r>
      </w:hyperlink>
      <w:r>
        <w:t xml:space="preserve">)</w:t>
      </w:r>
      <w:r>
        <w:t xml:space="preserve">.</w:t>
      </w:r>
      <w:r>
        <w:t xml:space="preserve"> </w:t>
      </w:r>
      <w:r>
        <w:t xml:space="preserve">An important distinction between these source populations is that PCP swans breeding in Alaska migrate to British Columbia, Washington and Oregon for the winter whereas RMP swans from the Tri-State area are considered non-migratory</w:t>
      </w:r>
      <w:r>
        <w:t xml:space="preserve"> </w:t>
      </w:r>
      <w:r>
        <w:t xml:space="preserve">(</w:t>
      </w:r>
      <w:hyperlink w:anchor="ref-oyler-mccance2007">
        <w:r>
          <w:rPr>
            <w:rStyle w:val="Hyperlink"/>
          </w:rPr>
          <w:t xml:space="preserve">Oyler-McCance et al. 2007</w:t>
        </w:r>
      </w:hyperlink>
      <w:r>
        <w:t xml:space="preserve">)</w:t>
      </w:r>
      <w:r>
        <w:t xml:space="preserve">.</w:t>
      </w:r>
    </w:p>
    <w:p>
      <w:pPr>
        <w:pStyle w:val="BodyText"/>
      </w:pPr>
      <w:r>
        <w:t xml:space="preserve">Estimates of IP abundance have increased dramatically since reintroductions began in the 1960s, and both population size and distribution has expanded significantly (Cite TRUS survey report).</w:t>
      </w:r>
      <w:r>
        <w:t xml:space="preserve"> </w:t>
      </w:r>
      <w:r>
        <w:t xml:space="preserve">Trumpeter swans currently breed throughout most of the western Great Lakes region, including in Minnesota, Wisconsin, Michigan, Iowa, Manitoba, Ontario, and Ohio.</w:t>
      </w:r>
      <w:r>
        <w:t xml:space="preserve"> </w:t>
      </w:r>
      <w:r>
        <w:t xml:space="preserve">However, beyond estimates of population size and trends, there is relatively little recent information about their ecology, including seasonal movements and migration patterns, therefore hindering conservation decision-making.</w:t>
      </w:r>
    </w:p>
    <w:p>
      <w:pPr>
        <w:pStyle w:val="BodyText"/>
      </w:pPr>
      <w:r>
        <w:t xml:space="preserve">Objectives paragraph</w:t>
      </w:r>
    </w:p>
    <w:p>
      <w:pPr>
        <w:pStyle w:val="BodyText"/>
      </w:pPr>
      <w:r>
        <w:t xml:space="preserve">To address current information needs, we marked a sample of IP swans with GPS-GSM transmitters to evaluate the spatio-temporal patterns of this population thoughout the annual cycle.</w:t>
      </w:r>
      <w:r>
        <w:t xml:space="preserve"> </w:t>
      </w:r>
      <w:r>
        <w:t xml:space="preserve">Specifically, we will quantify 1) migration phenology, 2) the extent and duration of migratory movements, 3) the role of breeding status and breeding location on annual movement patterns, and 4) the degree of individual and population variability in migration patterns.</w:t>
      </w:r>
    </w:p>
    <w:bookmarkEnd w:id="39"/>
    <w:bookmarkStart w:id="43" w:name="methods"/>
    <w:p>
      <w:pPr>
        <w:pStyle w:val="Heading2"/>
      </w:pPr>
      <w:r>
        <w:rPr>
          <w:rStyle w:val="SectionNumber"/>
        </w:rPr>
        <w:t xml:space="preserve">0.3</w:t>
      </w:r>
      <w:r>
        <w:tab/>
      </w:r>
      <w:r>
        <w:t xml:space="preserve">Methods</w:t>
      </w:r>
    </w:p>
    <w:bookmarkStart w:id="40" w:name="study-area"/>
    <w:p>
      <w:pPr>
        <w:pStyle w:val="Heading3"/>
      </w:pPr>
      <w:r>
        <w:rPr>
          <w:rStyle w:val="SectionNumber"/>
        </w:rPr>
        <w:t xml:space="preserve">0.3.1</w:t>
      </w:r>
      <w:r>
        <w:tab/>
      </w:r>
      <w:r>
        <w:t xml:space="preserve">Study Area</w:t>
      </w:r>
    </w:p>
    <w:p>
      <w:pPr>
        <w:pStyle w:val="FirstParagraph"/>
      </w:pPr>
      <w:r>
        <w:t xml:space="preserve">Our study area for swan captures is approximately the current breeding distribution of IP trumpeter swans with exception of Ontario to the east (Groves 2017).</w:t>
      </w:r>
      <w:r>
        <w:t xml:space="preserve"> </w:t>
      </w:r>
      <w:r>
        <w:t xml:space="preserve">We deployed transmitters on IP trumpeter swans as far north and west as southern Manitoba (51.1° N, 99.7° W), as far south as central Arkansas (35.5° N, 91.9° W), and as far east as central Ohio (40.6° N, 82.7° W).</w:t>
      </w:r>
      <w:r>
        <w:t xml:space="preserve"> </w:t>
      </w:r>
      <w:r>
        <w:t xml:space="preserve">Capture locations occurred in a mix of Laurentian Mixed Forest, Prairie Parkland, Eastern Broadleaf Forest, and Aspen Parklands</w:t>
      </w:r>
      <w:r>
        <w:t xml:space="preserve"> </w:t>
      </w:r>
      <w:r>
        <w:t xml:space="preserve">(</w:t>
      </w:r>
      <w:hyperlink w:anchor="ref-cleland1997">
        <w:r>
          <w:rPr>
            <w:rStyle w:val="Hyperlink"/>
          </w:rPr>
          <w:t xml:space="preserve">Cleland et al. 1997</w:t>
        </w:r>
      </w:hyperlink>
      <w:r>
        <w:t xml:space="preserve">)</w:t>
      </w:r>
      <w:r>
        <w:t xml:space="preserve">.</w:t>
      </w:r>
    </w:p>
    <w:bookmarkEnd w:id="40"/>
    <w:bookmarkStart w:id="41" w:name="capture-and-handling"/>
    <w:p>
      <w:pPr>
        <w:pStyle w:val="Heading3"/>
      </w:pPr>
      <w:r>
        <w:rPr>
          <w:rStyle w:val="SectionNumber"/>
        </w:rPr>
        <w:t xml:space="preserve">0.3.2</w:t>
      </w:r>
      <w:r>
        <w:tab/>
      </w:r>
      <w:r>
        <w:t xml:space="preserve">Capture and Handling</w:t>
      </w:r>
    </w:p>
    <w:p>
      <w:pPr>
        <w:pStyle w:val="FirstParagraph"/>
      </w:pPr>
      <w:r>
        <w:t xml:space="preserve">We captured most swans during the definitive prebasic molt period when adults are flightless using a combination of jon boats, airboats, step deck transom boats, square-stern canoes, and kayaks.</w:t>
      </w:r>
      <w:r>
        <w:t xml:space="preserve"> </w:t>
      </w:r>
      <w:r>
        <w:t xml:space="preserve">We primarily used long-tail mud motors to navigate shallow wetlands where swans were located (Powell Performance Fab, Hutchinson, Minnesota, USA), although some swans were captured using surface-drive motors (Gator-Tail, Loreauville, Louisiana, USA).</w:t>
      </w:r>
      <w:r>
        <w:t xml:space="preserve"> </w:t>
      </w:r>
      <w:r>
        <w:t xml:space="preserve">We hand-captured swans using a shepherd’s crook pole</w:t>
      </w:r>
      <w:r>
        <w:t xml:space="preserve"> </w:t>
      </w:r>
      <w:r>
        <w:t xml:space="preserve">(</w:t>
      </w:r>
      <w:hyperlink w:anchor="ref-eltringham1978">
        <w:r>
          <w:rPr>
            <w:rStyle w:val="Hyperlink"/>
          </w:rPr>
          <w:t xml:space="preserve">Eltringham 1978</w:t>
        </w:r>
      </w:hyperlink>
      <w:r>
        <w:t xml:space="preserve">,</w:t>
      </w:r>
      <w:r>
        <w:t xml:space="preserve"> </w:t>
      </w:r>
      <w:hyperlink w:anchor="ref-hindman2016">
        <w:r>
          <w:rPr>
            <w:rStyle w:val="Hyperlink"/>
          </w:rPr>
          <w:t xml:space="preserve">Hindman et al. 2016</w:t>
        </w:r>
      </w:hyperlink>
      <w:r>
        <w:t xml:space="preserve">)</w:t>
      </w:r>
      <w:r>
        <w:t xml:space="preserve">.</w:t>
      </w:r>
    </w:p>
    <w:p>
      <w:pPr>
        <w:pStyle w:val="BodyText"/>
      </w:pPr>
      <w:r>
        <w:t xml:space="preserve">We marked swans with two types of neck collars; 55-g neck collars with GPS-GSM transmitters incorporated into the collar housing (Model OrniTrack-N62 3G, Ornitela, Vilnius, Lithuania) and 140-g GPS transmitters (Model CTT-ES400, Cellular Tracking Technologies, Rio Grande, New Jersey, USA) that were adhered to 64-mm neck collars (Haggie Engraving, Crumpton, Maryland, USA).</w:t>
      </w:r>
      <w:r>
        <w:t xml:space="preserve"> </w:t>
      </w:r>
      <w:r>
        <w:t xml:space="preserve">Swans captured in Michigan were fit with CTT collars and all other swans in the study were fit with Ornitela collars.</w:t>
      </w:r>
      <w:r>
        <w:t xml:space="preserve"> </w:t>
      </w:r>
      <w:r>
        <w:t xml:space="preserve">All transmitters were programmed to collect GPS locations at 15-min intervals throughout the 24-hr daily period.</w:t>
      </w:r>
    </w:p>
    <w:p>
      <w:pPr>
        <w:pStyle w:val="BodyText"/>
      </w:pPr>
      <w:r>
        <w:t xml:space="preserve">Protocols for capturing and marking trumpeter swans in U.S. states have been approved by the University of Minnesota Animal Care and Use Committee (protocol no. 1905-37072A), the Minnesota Department of Natural Resources (Special Permit no. 19017), the Michigan Department of Natural Resources (Threatened and Endangered Species Permit TE 175), the U.S.</w:t>
      </w:r>
      <w:r>
        <w:t xml:space="preserve"> </w:t>
      </w:r>
      <w:r>
        <w:t xml:space="preserve">Fish and Wildlife Service (Research &amp; Monitoring Special Use Permit no. K-10-001), and the U.S.</w:t>
      </w:r>
      <w:r>
        <w:t xml:space="preserve"> </w:t>
      </w:r>
      <w:r>
        <w:t xml:space="preserve">Geological Survey Bird Banding Laboratory (Federal Bird Banding Permit no. 21631).</w:t>
      </w:r>
      <w:r>
        <w:t xml:space="preserve"> </w:t>
      </w:r>
      <w:r>
        <w:t xml:space="preserve">All capture and marking of trumpeter swans in Manitoba was conducted under Federal Scientific Permit to Capture and Band Migratory Birds (no. 10271), Federal Animal Care Committee approval (project 20FB02), Provincial Species at Risk Permit (no. SAR20012), and Provincial Park Permit (no. PP-PHQ-20-016).</w:t>
      </w:r>
    </w:p>
    <w:bookmarkEnd w:id="41"/>
    <w:bookmarkStart w:id="42" w:name="data-analysis"/>
    <w:p>
      <w:pPr>
        <w:pStyle w:val="Heading3"/>
      </w:pPr>
      <w:r>
        <w:rPr>
          <w:rStyle w:val="SectionNumber"/>
        </w:rPr>
        <w:t xml:space="preserve">0.3.3</w:t>
      </w:r>
      <w:r>
        <w:tab/>
      </w:r>
      <w:r>
        <w:t xml:space="preserve">Data Analysis</w:t>
      </w:r>
    </w:p>
    <w:p>
      <w:pPr>
        <w:pStyle w:val="FirstParagraph"/>
      </w:pPr>
      <w:r>
        <w:t xml:space="preserve">To quantify migration phenology throughout the annual cycle, we first calculated yearly time-series of Net-Squared Displacement (NSD) values for swan, using July 1 as a cutoff date between years for individuals with multiple years of GPS data, and then condensed the dataset to a single average NSD value for each day.</w:t>
      </w:r>
      <w:r>
        <w:t xml:space="preserve"> </w:t>
      </w:r>
      <w:r>
        <w:t xml:space="preserve">After excluding swan-year datasets with less than 30 days of data, we fit a series of 7 piecewise regression models to each time-series using the mcp package, which serves as a wrapper to JAGS, with a burn-in period of 10,000 iterations and then 15,000 sampling iterations</w:t>
      </w:r>
      <w:r>
        <w:t xml:space="preserve"> </w:t>
      </w:r>
      <w:r>
        <w:t xml:space="preserve">(</w:t>
      </w:r>
      <w:hyperlink w:anchor="ref-plummer2003">
        <w:r>
          <w:rPr>
            <w:rStyle w:val="Hyperlink"/>
          </w:rPr>
          <w:t xml:space="preserve">Plummer 2003</w:t>
        </w:r>
      </w:hyperlink>
      <w:r>
        <w:t xml:space="preserve">,</w:t>
      </w:r>
      <w:r>
        <w:t xml:space="preserve"> </w:t>
      </w:r>
      <w:hyperlink w:anchor="ref-lindelov2020">
        <w:r>
          <w:rPr>
            <w:rStyle w:val="Hyperlink"/>
          </w:rPr>
          <w:t xml:space="preserve">Lindeløv 2020</w:t>
        </w:r>
      </w:hyperlink>
      <w:r>
        <w:t xml:space="preserve">)</w:t>
      </w:r>
      <w:r>
        <w:t xml:space="preserve">.</w:t>
      </w:r>
      <w:r>
        <w:t xml:space="preserve"> </w:t>
      </w:r>
      <w:r>
        <w:t xml:space="preserve">The syntax of each model corresponded to an increasing number of intercepts (1-7) for average NSD values throughout the time series separated by breakpoints in time where the intercept values transitioned.</w:t>
      </w:r>
      <w:r>
        <w:t xml:space="preserve"> </w:t>
      </w:r>
      <w:r>
        <w:t xml:space="preserve">Scripts were executed in parallel using the future package on a partition of the the Minnesota Supercomputing Institute (MSI) with 24 cores and 50GB RAM</w:t>
      </w:r>
      <w:r>
        <w:t xml:space="preserve"> </w:t>
      </w:r>
      <w:r>
        <w:t xml:space="preserve">(</w:t>
      </w:r>
      <w:hyperlink w:anchor="ref-bengtsson2021">
        <w:r>
          <w:rPr>
            <w:rStyle w:val="Hyperlink"/>
          </w:rPr>
          <w:t xml:space="preserve">Bengtsson 2021</w:t>
        </w:r>
      </w:hyperlink>
      <w:r>
        <w:t xml:space="preserve">)</w:t>
      </w:r>
      <w:r>
        <w:t xml:space="preserve">.</w:t>
      </w:r>
      <w:r>
        <w:t xml:space="preserve"> </w:t>
      </w:r>
      <w:r>
        <w:t xml:space="preserve">We diagnosed MCMC convergence using the Gelman-Rubin statistic and excluded all models containing any parameters that had a R-hat value over 1.1 from further analyses</w:t>
      </w:r>
      <w:r>
        <w:t xml:space="preserve"> </w:t>
      </w:r>
      <w:r>
        <w:t xml:space="preserve">(</w:t>
      </w:r>
      <w:hyperlink w:anchor="ref-gelman1992">
        <w:r>
          <w:rPr>
            <w:rStyle w:val="Hyperlink"/>
          </w:rPr>
          <w:t xml:space="preserve">Gelman and Rubin 1992</w:t>
        </w:r>
      </w:hyperlink>
      <w:r>
        <w:t xml:space="preserve">)</w:t>
      </w:r>
      <w:r>
        <w:t xml:space="preserve">.</w:t>
      </w:r>
      <w:r>
        <w:t xml:space="preserve"> </w:t>
      </w:r>
      <w:r>
        <w:t xml:space="preserve">If all parameters in a model passed the R-hat threshold, we evaluated model fit and predictive performance using leave-one-out cross-validation (LOO-CV) with the Expected Log Predictive Density (ELPD), as estimated by the loo package</w:t>
      </w:r>
      <w:r>
        <w:t xml:space="preserve"> </w:t>
      </w:r>
      <w:r>
        <w:t xml:space="preserve">(</w:t>
      </w:r>
      <w:hyperlink w:anchor="ref-gelman2014">
        <w:r>
          <w:rPr>
            <w:rStyle w:val="Hyperlink"/>
          </w:rPr>
          <w:t xml:space="preserve">Gelman et al. 2014</w:t>
        </w:r>
      </w:hyperlink>
      <w:r>
        <w:t xml:space="preserve">,</w:t>
      </w:r>
      <w:r>
        <w:t xml:space="preserve"> </w:t>
      </w:r>
      <w:hyperlink w:anchor="ref-vehtari2017">
        <w:r>
          <w:rPr>
            <w:rStyle w:val="Hyperlink"/>
          </w:rPr>
          <w:t xml:space="preserve">Vehtari et al. 2017</w:t>
        </w:r>
      </w:hyperlink>
      <w:r>
        <w:t xml:space="preserve">)</w:t>
      </w:r>
      <w:r>
        <w:t xml:space="preserve">.</w:t>
      </w:r>
      <w:r>
        <w:t xml:space="preserve"> </w:t>
      </w:r>
      <w:r>
        <w:t xml:space="preserve">We used LOO-CV to choose the ideal number of breakpoints (and thereby segments which correspond to migratory periods) for each swan-year dataset by selecting the model with the best ELPD value out of the range of possibilities.</w:t>
      </w:r>
    </w:p>
    <w:p>
      <w:pPr>
        <w:pStyle w:val="BodyText"/>
      </w:pPr>
      <w:r>
        <w:t xml:space="preserve">After visually inspecting graphs of Net-Squared Displacement (NSD) over time, we chose xxx km</w:t>
      </w:r>
      <w:r>
        <w:rPr>
          <w:vertAlign w:val="superscript"/>
        </w:rPr>
        <w:t xml:space="preserve">2</w:t>
      </w:r>
      <w:r>
        <w:t xml:space="preserve"> </w:t>
      </w:r>
      <w:r>
        <w:t xml:space="preserve">as the NSD threshold, but we also performed a sensitivity analysis to demonstrate results were robust to this choice (include in supplemental) Using this threshold, we considered the onset of autumn migration when a swan was &gt;xxx km from the centroid of its summer territory and the end of spring migration when the swan was &lt; xxx km from the centroid of the previous year’s summer territory</w:t>
      </w:r>
    </w:p>
    <w:bookmarkEnd w:id="42"/>
    <w:bookmarkEnd w:id="43"/>
    <w:bookmarkStart w:id="44" w:name="results"/>
    <w:p>
      <w:pPr>
        <w:pStyle w:val="Heading2"/>
      </w:pPr>
      <w:r>
        <w:rPr>
          <w:rStyle w:val="SectionNumber"/>
        </w:rPr>
        <w:t xml:space="preserve">0.4</w:t>
      </w:r>
      <w:r>
        <w:tab/>
      </w:r>
      <w:r>
        <w:t xml:space="preserve">Results</w:t>
      </w:r>
    </w:p>
    <w:p>
      <w:pPr>
        <w:pStyle w:val="FirstParagraph"/>
      </w:pPr>
      <w:r>
        <w:t xml:space="preserve">In 2019, we deployed 19 GPS-GSM transmitters (7 in Minnesota and 12 in Michigan).</w:t>
      </w:r>
      <w:r>
        <w:t xml:space="preserve"> </w:t>
      </w:r>
      <w:r>
        <w:t xml:space="preserve">In 2020, we deployed an additional 77 transmitters (10 in Manitoba, 40 in Minnesota, 9 in Iowa, 5 in Wisconsin, 1 in Michigan, 12 in Ohio).</w:t>
      </w:r>
      <w:r>
        <w:t xml:space="preserve"> </w:t>
      </w:r>
      <w:r>
        <w:t xml:space="preserve">In 2021, we deployed an additional 28 transmitters, 11 of which were re-deployments (1 in Manitoba, 9 in Minnesota, 2 in Iowa, 4 in Wisconsin, 8 in Ohio, and 4 in Arkansas).</w:t>
      </w:r>
      <w:r>
        <w:t xml:space="preserve"> </w:t>
      </w:r>
      <w:r>
        <w:t xml:space="preserve">In 2022 we redeployed 1 transmitter in Iowa.</w:t>
      </w:r>
    </w:p>
    <w:bookmarkEnd w:id="44"/>
    <w:bookmarkStart w:id="45" w:name="discussion"/>
    <w:p>
      <w:pPr>
        <w:pStyle w:val="Heading2"/>
      </w:pPr>
      <w:r>
        <w:rPr>
          <w:rStyle w:val="SectionNumber"/>
        </w:rPr>
        <w:t xml:space="preserve">0.5</w:t>
      </w:r>
      <w:r>
        <w:tab/>
      </w:r>
      <w:r>
        <w:t xml:space="preserve">Discussion</w:t>
      </w:r>
    </w:p>
    <w:p>
      <w:pPr>
        <w:numPr>
          <w:ilvl w:val="0"/>
          <w:numId w:val="1001"/>
        </w:numPr>
      </w:pPr>
      <w:r>
        <w:t xml:space="preserve">How our methods are different from others.</w:t>
      </w:r>
      <w:r>
        <w:t xml:space="preserve"> </w:t>
      </w:r>
      <w:r>
        <w:t xml:space="preserve">Our attempt at semi-automated analyses.</w:t>
      </w:r>
      <w:r>
        <w:t xml:space="preserve"> </w:t>
      </w:r>
      <w:r>
        <w:t xml:space="preserve">Trying to consider migration as more of a continuum.</w:t>
      </w:r>
    </w:p>
    <w:p>
      <w:pPr>
        <w:numPr>
          <w:ilvl w:val="0"/>
          <w:numId w:val="1000"/>
        </w:numPr>
      </w:pPr>
      <w:r>
        <w:t xml:space="preserve">Net-Squared Displacement has been most commonly used to categorize migration by fitting a small number of non-linear theoretic movement models that represent traditional types of migration and choosing the movement model with the lowest AIC value</w:t>
      </w:r>
      <w:r>
        <w:t xml:space="preserve"> </w:t>
      </w:r>
      <w:r>
        <w:t xml:space="preserve">(</w:t>
      </w:r>
      <w:hyperlink w:anchor="ref-bunnefeld2011">
        <w:r>
          <w:rPr>
            <w:rStyle w:val="Hyperlink"/>
          </w:rPr>
          <w:t xml:space="preserve">Bunnefeld et al. 2011</w:t>
        </w:r>
      </w:hyperlink>
      <w:r>
        <w:t xml:space="preserve">,</w:t>
      </w:r>
      <w:r>
        <w:t xml:space="preserve"> </w:t>
      </w:r>
      <w:hyperlink w:anchor="ref-spitz2017">
        <w:r>
          <w:rPr>
            <w:rStyle w:val="Hyperlink"/>
          </w:rPr>
          <w:t xml:space="preserve">Spitz et al. 2017</w:t>
        </w:r>
      </w:hyperlink>
      <w:r>
        <w:t xml:space="preserve">)</w:t>
      </w:r>
      <w:r>
        <w:t xml:space="preserve">, a relatively straightforward approach, although some studies have shown that it often does not reliably identify migration at an individual level</w:t>
      </w:r>
      <w:r>
        <w:t xml:space="preserve"> </w:t>
      </w:r>
      <w:r>
        <w:t xml:space="preserve">(</w:t>
      </w:r>
      <w:hyperlink w:anchor="ref-cagnacci2016">
        <w:r>
          <w:rPr>
            <w:rStyle w:val="Hyperlink"/>
          </w:rPr>
          <w:t xml:space="preserve">Cagnacci et al. 2016</w:t>
        </w:r>
      </w:hyperlink>
      <w:r>
        <w:t xml:space="preserve">)</w:t>
      </w:r>
      <w:r>
        <w:t xml:space="preserve">.</w:t>
      </w:r>
      <w:r>
        <w:t xml:space="preserve"> </w:t>
      </w:r>
      <w:r>
        <w:t xml:space="preserve">Despite the prevalence of this approach, increasing evidence has been provided to suggest that the majority of migration doesn’t fit into these restrictive categories and that migration should instead be considered along a continuous behavioral gradient</w:t>
      </w:r>
      <w:r>
        <w:t xml:space="preserve"> </w:t>
      </w:r>
      <w:r>
        <w:t xml:space="preserve">(</w:t>
      </w:r>
      <w:hyperlink w:anchor="ref-ball2001">
        <w:r>
          <w:rPr>
            <w:rStyle w:val="Hyperlink"/>
          </w:rPr>
          <w:t xml:space="preserve">Ball et al. 2001</w:t>
        </w:r>
      </w:hyperlink>
      <w:r>
        <w:t xml:space="preserve">,</w:t>
      </w:r>
      <w:r>
        <w:t xml:space="preserve"> </w:t>
      </w:r>
      <w:hyperlink w:anchor="ref-dingle2007a">
        <w:r>
          <w:rPr>
            <w:rStyle w:val="Hyperlink"/>
          </w:rPr>
          <w:t xml:space="preserve">Dingle and Drake 2007</w:t>
        </w:r>
      </w:hyperlink>
      <w:r>
        <w:t xml:space="preserve">)</w:t>
      </w:r>
      <w:r>
        <w:t xml:space="preserve">.</w:t>
      </w:r>
    </w:p>
    <w:bookmarkEnd w:id="45"/>
    <w:bookmarkStart w:id="46" w:name="acknowledgements"/>
    <w:p>
      <w:pPr>
        <w:pStyle w:val="Heading2"/>
      </w:pPr>
      <w:r>
        <w:rPr>
          <w:rStyle w:val="SectionNumber"/>
        </w:rPr>
        <w:t xml:space="preserve">0.6</w:t>
      </w:r>
      <w:r>
        <w:tab/>
      </w:r>
      <w:r>
        <w:t xml:space="preserve">Acknowledgements</w:t>
      </w:r>
    </w:p>
    <w:bookmarkEnd w:id="46"/>
    <w:bookmarkStart w:id="78" w:name="references"/>
    <w:p>
      <w:pPr>
        <w:pStyle w:val="Heading2"/>
      </w:pPr>
      <w:r>
        <w:t xml:space="preserve">References</w:t>
      </w:r>
    </w:p>
    <w:bookmarkStart w:id="77" w:name="refs"/>
    <w:bookmarkStart w:id="48" w:name="ref-ball2001"/>
    <w:p>
      <w:pPr>
        <w:pStyle w:val="Bibliography"/>
      </w:pPr>
      <w:r>
        <w:t xml:space="preserve">Ball, J. P., C. Nordengren, and K. Wallin. 2001.</w:t>
      </w:r>
      <w:r>
        <w:t xml:space="preserve"> </w:t>
      </w:r>
      <w:hyperlink r:id="rId47">
        <w:r>
          <w:rPr>
            <w:rStyle w:val="Hyperlink"/>
          </w:rPr>
          <w:t xml:space="preserve">Partial migration by large ungulates: Characteristics of seasonal moose</w:t>
        </w:r>
        <w:r>
          <w:rPr>
            <w:rStyle w:val="Hyperlink"/>
          </w:rPr>
          <w:t xml:space="preserve"> </w:t>
        </w:r>
        <w:r>
          <w:rPr>
            <w:rStyle w:val="Hyperlink"/>
          </w:rPr>
          <w:t xml:space="preserve">Alces</w:t>
        </w:r>
        <w:r>
          <w:rPr>
            <w:rStyle w:val="Hyperlink"/>
          </w:rPr>
          <w:t xml:space="preserve"> </w:t>
        </w:r>
        <w:r>
          <w:rPr>
            <w:rStyle w:val="Hyperlink"/>
          </w:rPr>
          <w:t xml:space="preserve">alces ranges in northern</w:t>
        </w:r>
        <w:r>
          <w:rPr>
            <w:rStyle w:val="Hyperlink"/>
          </w:rPr>
          <w:t xml:space="preserve"> </w:t>
        </w:r>
        <w:r>
          <w:rPr>
            <w:rStyle w:val="Hyperlink"/>
          </w:rPr>
          <w:t xml:space="preserve">Sweden</w:t>
        </w:r>
      </w:hyperlink>
      <w:r>
        <w:t xml:space="preserve">. Wildlife Biology 7:39–47.</w:t>
      </w:r>
    </w:p>
    <w:bookmarkEnd w:id="48"/>
    <w:bookmarkStart w:id="49" w:name="ref-banko1960"/>
    <w:p>
      <w:pPr>
        <w:pStyle w:val="Bibliography"/>
      </w:pPr>
      <w:r>
        <w:t xml:space="preserve">Banko, W. 1960. The trumpeter swan: Its history, habits, and population in the</w:t>
      </w:r>
      <w:r>
        <w:t xml:space="preserve"> </w:t>
      </w:r>
      <w:r>
        <w:t xml:space="preserve">United States</w:t>
      </w:r>
      <w:r>
        <w:t xml:space="preserve">. North American Fauna 1–214.</w:t>
      </w:r>
    </w:p>
    <w:bookmarkEnd w:id="49"/>
    <w:bookmarkStart w:id="51" w:name="ref-bengtsson2021"/>
    <w:p>
      <w:pPr>
        <w:pStyle w:val="Bibliography"/>
      </w:pPr>
      <w:r>
        <w:t xml:space="preserve">Bengtsson, H. 2021. A</w:t>
      </w:r>
      <w:r>
        <w:t xml:space="preserve"> </w:t>
      </w:r>
      <w:r>
        <w:t xml:space="preserve">Unifying Framework</w:t>
      </w:r>
      <w:r>
        <w:t xml:space="preserve"> </w:t>
      </w:r>
      <w:r>
        <w:t xml:space="preserve">for</w:t>
      </w:r>
      <w:r>
        <w:t xml:space="preserve"> </w:t>
      </w:r>
      <w:r>
        <w:t xml:space="preserve">Parallel</w:t>
      </w:r>
      <w:r>
        <w:t xml:space="preserve"> </w:t>
      </w:r>
      <w:r>
        <w:t xml:space="preserve">and</w:t>
      </w:r>
      <w:r>
        <w:t xml:space="preserve"> </w:t>
      </w:r>
      <w:r>
        <w:t xml:space="preserve">Distributed Processing</w:t>
      </w:r>
      <w:r>
        <w:t xml:space="preserve"> </w:t>
      </w:r>
      <w:r>
        <w:t xml:space="preserve">in</w:t>
      </w:r>
      <w:r>
        <w:t xml:space="preserve"> </w:t>
      </w:r>
      <w:r>
        <w:t xml:space="preserve">R</w:t>
      </w:r>
      <w:r>
        <w:t xml:space="preserve"> </w:t>
      </w:r>
      <w:r>
        <w:t xml:space="preserve">using</w:t>
      </w:r>
      <w:r>
        <w:t xml:space="preserve"> </w:t>
      </w:r>
      <w:r>
        <w:t xml:space="preserve">Futures</w:t>
      </w:r>
      <w:r>
        <w:t xml:space="preserve">. The R Journal 13:208. &lt;</w:t>
      </w:r>
      <w:hyperlink r:id="rId50">
        <w:r>
          <w:rPr>
            <w:rStyle w:val="Hyperlink"/>
          </w:rPr>
          <w:t xml:space="preserve">https://arxiv.org/abs/2008.00553</w:t>
        </w:r>
      </w:hyperlink>
      <w:r>
        <w:t xml:space="preserve">&gt;.</w:t>
      </w:r>
    </w:p>
    <w:bookmarkEnd w:id="51"/>
    <w:bookmarkStart w:id="53" w:name="ref-bunnefeld2011"/>
    <w:p>
      <w:pPr>
        <w:pStyle w:val="Bibliography"/>
      </w:pPr>
      <w:r>
        <w:t xml:space="preserve">Bunnefeld, N., L. Börger, B. van Moorter, C. M. Rolandsen, H. Dettki, E. J. Solberg, and G. Ericsson. 2011.</w:t>
      </w:r>
      <w:r>
        <w:t xml:space="preserve"> </w:t>
      </w:r>
      <w:hyperlink r:id="rId52">
        <w:r>
          <w:rPr>
            <w:rStyle w:val="Hyperlink"/>
          </w:rPr>
          <w:t xml:space="preserve">A model-driven approach to quantify migration patterns: Individual, regional and yearly differences:</w:t>
        </w:r>
        <w:r>
          <w:rPr>
            <w:rStyle w:val="Hyperlink"/>
          </w:rPr>
          <w:t xml:space="preserve"> </w:t>
        </w:r>
        <w:r>
          <w:rPr>
            <w:rStyle w:val="Hyperlink"/>
          </w:rPr>
          <w:t xml:space="preserve">Quantifying</w:t>
        </w:r>
        <w:r>
          <w:rPr>
            <w:rStyle w:val="Hyperlink"/>
          </w:rPr>
          <w:t xml:space="preserve"> </w:t>
        </w:r>
        <w:r>
          <w:rPr>
            <w:rStyle w:val="Hyperlink"/>
          </w:rPr>
          <w:t xml:space="preserve">migration patterns</w:t>
        </w:r>
      </w:hyperlink>
      <w:r>
        <w:t xml:space="preserve">. Journal of Animal Ecology 80:466–476.</w:t>
      </w:r>
    </w:p>
    <w:bookmarkEnd w:id="53"/>
    <w:bookmarkStart w:id="55" w:name="ref-cagnacci2016"/>
    <w:p>
      <w:pPr>
        <w:pStyle w:val="Bibliography"/>
      </w:pPr>
      <w:r>
        <w:t xml:space="preserve">Cagnacci, F., S. Focardi, A. Ghisla, B. van Moorter, E. H. Merrill, E. Gurarie, M. Heurich, A. Mysterud, J. Linnell, M. Panzacchi, R. May, T. Nygård, C. Rolandsen, and M. Hebblewhite. 2016.</w:t>
      </w:r>
      <w:r>
        <w:t xml:space="preserve"> </w:t>
      </w:r>
      <w:hyperlink r:id="rId54">
        <w:r>
          <w:rPr>
            <w:rStyle w:val="Hyperlink"/>
          </w:rPr>
          <w:t xml:space="preserve">How many routes lead to migration?</w:t>
        </w:r>
        <w:r>
          <w:rPr>
            <w:rStyle w:val="Hyperlink"/>
          </w:rPr>
          <w:t xml:space="preserve"> </w:t>
        </w:r>
        <w:r>
          <w:rPr>
            <w:rStyle w:val="Hyperlink"/>
          </w:rPr>
          <w:t xml:space="preserve">Comparison</w:t>
        </w:r>
        <w:r>
          <w:rPr>
            <w:rStyle w:val="Hyperlink"/>
          </w:rPr>
          <w:t xml:space="preserve"> </w:t>
        </w:r>
        <w:r>
          <w:rPr>
            <w:rStyle w:val="Hyperlink"/>
          </w:rPr>
          <w:t xml:space="preserve">of methods to assess and characterize migratory movements</w:t>
        </w:r>
      </w:hyperlink>
      <w:r>
        <w:t xml:space="preserve">. L. Börger, editor. Journal of Animal Ecology 85:54–68.</w:t>
      </w:r>
    </w:p>
    <w:bookmarkEnd w:id="55"/>
    <w:bookmarkStart w:id="56" w:name="ref-cleland1997"/>
    <w:p>
      <w:pPr>
        <w:pStyle w:val="Bibliography"/>
      </w:pPr>
      <w:r>
        <w:t xml:space="preserve">Cleland, D. T., P. E. Avers, W. H. McNab, M. E. Jensen, R. G. Bailey, T. King, and W. E. Russell. 1997. National</w:t>
      </w:r>
      <w:r>
        <w:t xml:space="preserve"> </w:t>
      </w:r>
      <w:r>
        <w:t xml:space="preserve">Hierarchical Framework</w:t>
      </w:r>
      <w:r>
        <w:t xml:space="preserve"> </w:t>
      </w:r>
      <w:r>
        <w:t xml:space="preserve">of</w:t>
      </w:r>
      <w:r>
        <w:t xml:space="preserve"> </w:t>
      </w:r>
      <w:r>
        <w:t xml:space="preserve">Ecological Units</w:t>
      </w:r>
      <w:r>
        <w:t xml:space="preserve">. Pages 181–200</w:t>
      </w:r>
      <w:r>
        <w:t xml:space="preserve"> </w:t>
      </w:r>
      <w:r>
        <w:rPr>
          <w:iCs/>
          <w:i/>
        </w:rPr>
        <w:t xml:space="preserve">in</w:t>
      </w:r>
      <w:r>
        <w:t xml:space="preserve">. Ecosystem</w:t>
      </w:r>
      <w:r>
        <w:t xml:space="preserve"> </w:t>
      </w:r>
      <w:r>
        <w:t xml:space="preserve">Management Applications</w:t>
      </w:r>
      <w:r>
        <w:t xml:space="preserve"> </w:t>
      </w:r>
      <w:r>
        <w:t xml:space="preserve">for</w:t>
      </w:r>
      <w:r>
        <w:t xml:space="preserve"> </w:t>
      </w:r>
      <w:r>
        <w:t xml:space="preserve">Sustainable Forest</w:t>
      </w:r>
      <w:r>
        <w:t xml:space="preserve"> </w:t>
      </w:r>
      <w:r>
        <w:t xml:space="preserve">and</w:t>
      </w:r>
      <w:r>
        <w:t xml:space="preserve"> </w:t>
      </w:r>
      <w:r>
        <w:t xml:space="preserve">Wildlife Resources</w:t>
      </w:r>
      <w:r>
        <w:t xml:space="preserve">.</w:t>
      </w:r>
      <w:r>
        <w:t xml:space="preserve"> </w:t>
      </w:r>
      <w:r>
        <w:t xml:space="preserve">Yale University Press</w:t>
      </w:r>
      <w:r>
        <w:t xml:space="preserve">,</w:t>
      </w:r>
      <w:r>
        <w:t xml:space="preserve"> </w:t>
      </w:r>
      <w:r>
        <w:t xml:space="preserve">New Haven, CT</w:t>
      </w:r>
      <w:r>
        <w:t xml:space="preserve">.</w:t>
      </w:r>
    </w:p>
    <w:bookmarkEnd w:id="56"/>
    <w:bookmarkStart w:id="58" w:name="ref-dingle2007a"/>
    <w:p>
      <w:pPr>
        <w:pStyle w:val="Bibliography"/>
      </w:pPr>
      <w:r>
        <w:t xml:space="preserve">Dingle, H., and V. A. Drake. 2007.</w:t>
      </w:r>
      <w:r>
        <w:t xml:space="preserve"> </w:t>
      </w:r>
      <w:hyperlink r:id="rId57">
        <w:r>
          <w:rPr>
            <w:rStyle w:val="Hyperlink"/>
          </w:rPr>
          <w:t xml:space="preserve">What</w:t>
        </w:r>
        <w:r>
          <w:rPr>
            <w:rStyle w:val="Hyperlink"/>
          </w:rPr>
          <w:t xml:space="preserve"> </w:t>
        </w:r>
        <w:r>
          <w:rPr>
            <w:rStyle w:val="Hyperlink"/>
          </w:rPr>
          <w:t xml:space="preserve">Is Migration</w:t>
        </w:r>
        <w:r>
          <w:rPr>
            <w:rStyle w:val="Hyperlink"/>
          </w:rPr>
          <w:t xml:space="preserve">?</w:t>
        </w:r>
      </w:hyperlink>
      <w:r>
        <w:t xml:space="preserve"> BioScience 57:113–121.</w:t>
      </w:r>
    </w:p>
    <w:bookmarkEnd w:id="58"/>
    <w:bookmarkStart w:id="60" w:name="ref-eltringham1978"/>
    <w:p>
      <w:pPr>
        <w:pStyle w:val="Bibliography"/>
      </w:pPr>
      <w:r>
        <w:t xml:space="preserve">Eltringham, S. K. 1978.</w:t>
      </w:r>
      <w:r>
        <w:t xml:space="preserve"> </w:t>
      </w:r>
      <w:hyperlink r:id="rId59">
        <w:r>
          <w:rPr>
            <w:rStyle w:val="Hyperlink"/>
          </w:rPr>
          <w:t xml:space="preserve">Methods of capturing wild animals for marking purposes</w:t>
        </w:r>
      </w:hyperlink>
      <w:r>
        <w:t xml:space="preserve">. Pages 13–23</w:t>
      </w:r>
      <w:r>
        <w:t xml:space="preserve"> </w:t>
      </w:r>
      <w:r>
        <w:rPr>
          <w:iCs/>
          <w:i/>
        </w:rPr>
        <w:t xml:space="preserve">in</w:t>
      </w:r>
      <w:r>
        <w:t xml:space="preserve"> </w:t>
      </w:r>
      <w:r>
        <w:t xml:space="preserve">B. Stonehouse, editor. Animal</w:t>
      </w:r>
      <w:r>
        <w:t xml:space="preserve"> </w:t>
      </w:r>
      <w:r>
        <w:t xml:space="preserve">Marking</w:t>
      </w:r>
      <w:r>
        <w:t xml:space="preserve">:</w:t>
      </w:r>
      <w:r>
        <w:t xml:space="preserve"> </w:t>
      </w:r>
      <w:r>
        <w:t xml:space="preserve">Recognition Marking</w:t>
      </w:r>
      <w:r>
        <w:t xml:space="preserve"> </w:t>
      </w:r>
      <w:r>
        <w:t xml:space="preserve">of</w:t>
      </w:r>
      <w:r>
        <w:t xml:space="preserve"> </w:t>
      </w:r>
      <w:r>
        <w:t xml:space="preserve">Animals</w:t>
      </w:r>
      <w:r>
        <w:t xml:space="preserve"> </w:t>
      </w:r>
      <w:r>
        <w:t xml:space="preserve">in</w:t>
      </w:r>
      <w:r>
        <w:t xml:space="preserve"> </w:t>
      </w:r>
      <w:r>
        <w:t xml:space="preserve">Research</w:t>
      </w:r>
      <w:r>
        <w:t xml:space="preserve">.</w:t>
      </w:r>
      <w:r>
        <w:t xml:space="preserve"> </w:t>
      </w:r>
      <w:r>
        <w:t xml:space="preserve">Macmillan Education UK</w:t>
      </w:r>
      <w:r>
        <w:t xml:space="preserve">,</w:t>
      </w:r>
      <w:r>
        <w:t xml:space="preserve"> </w:t>
      </w:r>
      <w:r>
        <w:t xml:space="preserve">London</w:t>
      </w:r>
      <w:r>
        <w:t xml:space="preserve">.</w:t>
      </w:r>
    </w:p>
    <w:bookmarkEnd w:id="60"/>
    <w:bookmarkStart w:id="62" w:name="ref-gelman2014"/>
    <w:p>
      <w:pPr>
        <w:pStyle w:val="Bibliography"/>
      </w:pPr>
      <w:r>
        <w:t xml:space="preserve">Gelman, A., J. Hwang, and A. Vehtari. 2014.</w:t>
      </w:r>
      <w:r>
        <w:t xml:space="preserve"> </w:t>
      </w:r>
      <w:hyperlink r:id="rId61">
        <w:r>
          <w:rPr>
            <w:rStyle w:val="Hyperlink"/>
          </w:rPr>
          <w:t xml:space="preserve">Understanding predictive information criteria for</w:t>
        </w:r>
        <w:r>
          <w:rPr>
            <w:rStyle w:val="Hyperlink"/>
          </w:rPr>
          <w:t xml:space="preserve"> </w:t>
        </w:r>
        <w:r>
          <w:rPr>
            <w:rStyle w:val="Hyperlink"/>
          </w:rPr>
          <w:t xml:space="preserve">Bayesian</w:t>
        </w:r>
        <w:r>
          <w:rPr>
            <w:rStyle w:val="Hyperlink"/>
          </w:rPr>
          <w:t xml:space="preserve"> </w:t>
        </w:r>
        <w:r>
          <w:rPr>
            <w:rStyle w:val="Hyperlink"/>
          </w:rPr>
          <w:t xml:space="preserve">models</w:t>
        </w:r>
      </w:hyperlink>
      <w:r>
        <w:t xml:space="preserve">. Statistics and Computing 24:997–1016.</w:t>
      </w:r>
    </w:p>
    <w:bookmarkEnd w:id="62"/>
    <w:bookmarkStart w:id="64" w:name="ref-gelman1992"/>
    <w:p>
      <w:pPr>
        <w:pStyle w:val="Bibliography"/>
      </w:pPr>
      <w:r>
        <w:t xml:space="preserve">Gelman, A., and D. B. Rubin. 1992.</w:t>
      </w:r>
      <w:r>
        <w:t xml:space="preserve"> </w:t>
      </w:r>
      <w:hyperlink r:id="rId63">
        <w:r>
          <w:rPr>
            <w:rStyle w:val="Hyperlink"/>
          </w:rPr>
          <w:t xml:space="preserve">Inference from</w:t>
        </w:r>
        <w:r>
          <w:rPr>
            <w:rStyle w:val="Hyperlink"/>
          </w:rPr>
          <w:t xml:space="preserve"> </w:t>
        </w:r>
        <w:r>
          <w:rPr>
            <w:rStyle w:val="Hyperlink"/>
          </w:rPr>
          <w:t xml:space="preserve">Iterative Simulation Using Multiple Sequences</w:t>
        </w:r>
      </w:hyperlink>
      <w:r>
        <w:t xml:space="preserve">. Statistical Science 7:457–472.</w:t>
      </w:r>
    </w:p>
    <w:bookmarkEnd w:id="64"/>
    <w:bookmarkStart w:id="65" w:name="ref-hansen1971"/>
    <w:p>
      <w:pPr>
        <w:pStyle w:val="Bibliography"/>
      </w:pPr>
      <w:r>
        <w:t xml:space="preserve">Hansen, H. A., P. E. K. Shepherd, J. G. King, and W. A. Troyer. 1971. The</w:t>
      </w:r>
      <w:r>
        <w:t xml:space="preserve"> </w:t>
      </w:r>
      <w:r>
        <w:t xml:space="preserve">Trumpeter Swan</w:t>
      </w:r>
      <w:r>
        <w:t xml:space="preserve"> </w:t>
      </w:r>
      <w:r>
        <w:t xml:space="preserve">in</w:t>
      </w:r>
      <w:r>
        <w:t xml:space="preserve"> </w:t>
      </w:r>
      <w:r>
        <w:t xml:space="preserve">Alaska</w:t>
      </w:r>
      <w:r>
        <w:t xml:space="preserve">. 82.</w:t>
      </w:r>
    </w:p>
    <w:bookmarkEnd w:id="65"/>
    <w:bookmarkStart w:id="66" w:name="ref-hindman2016"/>
    <w:p>
      <w:pPr>
        <w:pStyle w:val="Bibliography"/>
      </w:pPr>
      <w:r>
        <w:t xml:space="preserve">Hindman, L. J., W. F. H. Iv, H. R. Walbridge, M. Hooper, and C. P. Driscoll. 2016. Efficient</w:t>
      </w:r>
      <w:r>
        <w:t xml:space="preserve"> </w:t>
      </w:r>
      <w:r>
        <w:t xml:space="preserve">Method</w:t>
      </w:r>
      <w:r>
        <w:t xml:space="preserve"> </w:t>
      </w:r>
      <w:r>
        <w:t xml:space="preserve">of</w:t>
      </w:r>
      <w:r>
        <w:t xml:space="preserve"> </w:t>
      </w:r>
      <w:r>
        <w:t xml:space="preserve">Capture</w:t>
      </w:r>
      <w:r>
        <w:t xml:space="preserve"> </w:t>
      </w:r>
      <w:r>
        <w:t xml:space="preserve">and</w:t>
      </w:r>
      <w:r>
        <w:t xml:space="preserve"> </w:t>
      </w:r>
      <w:r>
        <w:t xml:space="preserve">Field Euthanasia</w:t>
      </w:r>
      <w:r>
        <w:t xml:space="preserve"> </w:t>
      </w:r>
      <w:r>
        <w:t xml:space="preserve">of</w:t>
      </w:r>
      <w:r>
        <w:t xml:space="preserve"> </w:t>
      </w:r>
      <w:r>
        <w:t xml:space="preserve">Flightless Mute Swans</w:t>
      </w:r>
      <w:r>
        <w:t xml:space="preserve">. Pages 55–64</w:t>
      </w:r>
      <w:r>
        <w:t xml:space="preserve"> </w:t>
      </w:r>
      <w:r>
        <w:rPr>
          <w:iCs/>
          <w:i/>
        </w:rPr>
        <w:t xml:space="preserve">in</w:t>
      </w:r>
      <w:r>
        <w:t xml:space="preserve">. Proceedings of the 16th</w:t>
      </w:r>
      <w:r>
        <w:t xml:space="preserve"> </w:t>
      </w:r>
      <w:r>
        <w:t xml:space="preserve">Wildlife Damage Management Conference</w:t>
      </w:r>
      <w:r>
        <w:t xml:space="preserve">.</w:t>
      </w:r>
      <w:r>
        <w:t xml:space="preserve"> </w:t>
      </w:r>
      <w:r>
        <w:t xml:space="preserve">Auburn, Alabama, USA</w:t>
      </w:r>
      <w:r>
        <w:t xml:space="preserve">.</w:t>
      </w:r>
    </w:p>
    <w:bookmarkEnd w:id="66"/>
    <w:bookmarkStart w:id="68" w:name="ref-lindelov2020"/>
    <w:p>
      <w:pPr>
        <w:pStyle w:val="Bibliography"/>
      </w:pPr>
      <w:r>
        <w:t xml:space="preserve">Lindeløv, J. K. 2020.</w:t>
      </w:r>
      <w:r>
        <w:t xml:space="preserve"> </w:t>
      </w:r>
      <w:hyperlink r:id="rId67">
        <w:r>
          <w:rPr>
            <w:rStyle w:val="Hyperlink"/>
          </w:rPr>
          <w:t xml:space="preserve">Mcp:</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Regression With Multiple Change Points</w:t>
        </w:r>
      </w:hyperlink>
      <w:r>
        <w:t xml:space="preserve">.</w:t>
      </w:r>
      <w:r>
        <w:t xml:space="preserve"> </w:t>
      </w:r>
      <w:r>
        <w:t xml:space="preserve">OSF Preprints</w:t>
      </w:r>
      <w:r>
        <w:t xml:space="preserve">.</w:t>
      </w:r>
    </w:p>
    <w:bookmarkEnd w:id="68"/>
    <w:bookmarkStart w:id="69" w:name="ref-matteson1988"/>
    <w:p>
      <w:pPr>
        <w:pStyle w:val="Bibliography"/>
      </w:pPr>
      <w:r>
        <w:t xml:space="preserve">Matteson, S., T. Andryk, and Wetzel. 1988. Wisconsin</w:t>
      </w:r>
      <w:r>
        <w:t xml:space="preserve"> </w:t>
      </w:r>
      <w:r>
        <w:t xml:space="preserve">Trumpeter Swan Recovery Plan</w:t>
      </w:r>
      <w:r>
        <w:t xml:space="preserve">.pdf. The Passenger Pigeon 50:119–130.</w:t>
      </w:r>
    </w:p>
    <w:bookmarkEnd w:id="69"/>
    <w:bookmarkStart w:id="71" w:name="ref-oyler-mccance2007"/>
    <w:p>
      <w:pPr>
        <w:pStyle w:val="Bibliography"/>
      </w:pPr>
      <w:r>
        <w:t xml:space="preserve">Oyler-McCance, S. J., F. A. Ransler, L. K. Berkman, and T. W. Quinn. 2007.</w:t>
      </w:r>
      <w:r>
        <w:t xml:space="preserve"> </w:t>
      </w:r>
      <w:hyperlink r:id="rId70">
        <w:r>
          <w:rPr>
            <w:rStyle w:val="Hyperlink"/>
          </w:rPr>
          <w:t xml:space="preserve">A rangewide population genetic study of trumpeter swans</w:t>
        </w:r>
      </w:hyperlink>
      <w:r>
        <w:t xml:space="preserve">. Conservation Genetics 8:1339–1353.</w:t>
      </w:r>
    </w:p>
    <w:bookmarkEnd w:id="71"/>
    <w:bookmarkStart w:id="72" w:name="ref-plummer2003"/>
    <w:p>
      <w:pPr>
        <w:pStyle w:val="Bibliography"/>
      </w:pPr>
      <w:r>
        <w:t xml:space="preserve">Plummer, M. 2003.</w:t>
      </w:r>
      <w:r>
        <w:t xml:space="preserve"> </w:t>
      </w:r>
      <w:r>
        <w:t xml:space="preserve">JAGS</w:t>
      </w:r>
      <w:r>
        <w:t xml:space="preserve">:</w:t>
      </w:r>
      <w:r>
        <w:t xml:space="preserve"> </w:t>
      </w:r>
      <w:r>
        <w:t xml:space="preserve">A</w:t>
      </w:r>
      <w:r>
        <w:t xml:space="preserve"> </w:t>
      </w:r>
      <w:r>
        <w:t xml:space="preserve">program for analysis of</w:t>
      </w:r>
      <w:r>
        <w:t xml:space="preserve"> </w:t>
      </w:r>
      <w:r>
        <w:t xml:space="preserve">Bayesian</w:t>
      </w:r>
      <w:r>
        <w:t xml:space="preserve"> </w:t>
      </w:r>
      <w:r>
        <w:t xml:space="preserve">graphical models using</w:t>
      </w:r>
      <w:r>
        <w:t xml:space="preserve"> </w:t>
      </w:r>
      <w:r>
        <w:t xml:space="preserve">Gibbs</w:t>
      </w:r>
      <w:r>
        <w:t xml:space="preserve"> </w:t>
      </w:r>
      <w:r>
        <w:t xml:space="preserve">sampling. Working Papers 8.</w:t>
      </w:r>
    </w:p>
    <w:bookmarkEnd w:id="72"/>
    <w:bookmarkStart w:id="74" w:name="ref-spitz2017"/>
    <w:p>
      <w:pPr>
        <w:pStyle w:val="Bibliography"/>
      </w:pPr>
      <w:r>
        <w:t xml:space="preserve">Spitz, D. B., M. Hebblewhite, and T. R. Stephenson. 2017.</w:t>
      </w:r>
      <w:r>
        <w:t xml:space="preserve"> </w:t>
      </w:r>
      <w:hyperlink r:id="rId73">
        <w:r>
          <w:rPr>
            <w:rStyle w:val="Hyperlink"/>
          </w:rPr>
          <w:t xml:space="preserve">“</w:t>
        </w:r>
        <w:r>
          <w:rPr>
            <w:rStyle w:val="Hyperlink"/>
          </w:rPr>
          <w:t xml:space="preserve">MigrateR</w:t>
        </w:r>
        <w:r>
          <w:rPr>
            <w:rStyle w:val="Hyperlink"/>
          </w:rPr>
          <w:t xml:space="preserve">”</w:t>
        </w:r>
        <w:r>
          <w:rPr>
            <w:rStyle w:val="Hyperlink"/>
          </w:rPr>
          <w:t xml:space="preserve">: Extending model-driven methods for classifying and quantifying animal movement behavior</w:t>
        </w:r>
      </w:hyperlink>
      <w:r>
        <w:t xml:space="preserve">. Ecography 40:788–799.</w:t>
      </w:r>
    </w:p>
    <w:bookmarkEnd w:id="74"/>
    <w:bookmarkStart w:id="76" w:name="ref-vehtari2017"/>
    <w:p>
      <w:pPr>
        <w:pStyle w:val="Bibliography"/>
      </w:pPr>
      <w:r>
        <w:t xml:space="preserve">Vehtari, A., A. Gelman, and J. Gabry. 2017.</w:t>
      </w:r>
      <w:r>
        <w:t xml:space="preserve"> </w:t>
      </w:r>
      <w:hyperlink r:id="rId75">
        <w:r>
          <w:rPr>
            <w:rStyle w:val="Hyperlink"/>
          </w:rPr>
          <w:t xml:space="preserve">Practical</w:t>
        </w:r>
        <w:r>
          <w:rPr>
            <w:rStyle w:val="Hyperlink"/>
          </w:rPr>
          <w:t xml:space="preserve"> </w:t>
        </w:r>
        <w:r>
          <w:rPr>
            <w:rStyle w:val="Hyperlink"/>
          </w:rPr>
          <w:t xml:space="preserve">Bayesian</w:t>
        </w:r>
        <w:r>
          <w:rPr>
            <w:rStyle w:val="Hyperlink"/>
          </w:rPr>
          <w:t xml:space="preserve"> </w:t>
        </w:r>
        <w:r>
          <w:rPr>
            <w:rStyle w:val="Hyperlink"/>
          </w:rPr>
          <w:t xml:space="preserve">model evaluation using leave-one-out cross-validation and</w:t>
        </w:r>
        <w:r>
          <w:rPr>
            <w:rStyle w:val="Hyperlink"/>
          </w:rPr>
          <w:t xml:space="preserve"> </w:t>
        </w:r>
        <w:r>
          <w:rPr>
            <w:rStyle w:val="Hyperlink"/>
          </w:rPr>
          <w:t xml:space="preserve">WAIC</w:t>
        </w:r>
      </w:hyperlink>
      <w:r>
        <w:t xml:space="preserve">. Statistics and Computing 27:1413–1432.</w:t>
      </w:r>
    </w:p>
    <w:bookmarkEnd w:id="76"/>
    <w:bookmarkEnd w:id="77"/>
    <w:bookmarkEnd w:id="78"/>
    <w:sectPr w:rsidR="005F2DED" w:rsidSect="0051437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w:t>
      </w:r>
      <w:r>
        <w:t xml:space="preserve"> </w:t>
      </w:r>
      <w:r>
        <w:t xml:space="preserve">of</w:t>
      </w:r>
      <w:r>
        <w:t xml:space="preserve"> </w:t>
      </w:r>
      <w:r>
        <w:t xml:space="preserve">Minnesota,</w:t>
      </w:r>
      <w:r>
        <w:t xml:space="preserve"> </w:t>
      </w:r>
      <w:r>
        <w:t xml:space="preserve">Minnesota</w:t>
      </w:r>
      <w:r>
        <w:t xml:space="preserve"> </w:t>
      </w:r>
      <w:r>
        <w:t xml:space="preserve">Cooperative</w:t>
      </w:r>
      <w:r>
        <w:t xml:space="preserve"> </w:t>
      </w:r>
      <w:r>
        <w:t xml:space="preserve">Fish</w:t>
      </w:r>
      <w:r>
        <w:t xml:space="preserve"> </w:t>
      </w:r>
      <w:r>
        <w:t xml:space="preserve">and</w:t>
      </w:r>
      <w:r>
        <w:t xml:space="preserve"> </w:t>
      </w:r>
      <w:r>
        <w:t xml:space="preserve">Wildlife</w:t>
      </w:r>
      <w:r>
        <w:t xml:space="preserve"> </w:t>
      </w:r>
      <w:r>
        <w:t xml:space="preserve">Research</w:t>
      </w:r>
      <w:r>
        <w:t xml:space="preserve"> </w:t>
      </w:r>
      <w:r>
        <w:t xml:space="preserve">Unit</w:t>
      </w:r>
    </w:p>
  </w:footnote>
  <w:footnote w:id="21">
    <w:p>
      <w:pPr>
        <w:pStyle w:val="FootnoteText"/>
      </w:pPr>
      <w:r>
        <w:rPr>
          <w:rStyle w:val="FootnoteReference"/>
        </w:rPr>
        <w:footnoteRef/>
      </w:r>
      <w:r>
        <w:t xml:space="preserve"> </w:t>
      </w:r>
      <w:r>
        <w:t xml:space="preserve">University</w:t>
      </w:r>
      <w:r>
        <w:t xml:space="preserve"> </w:t>
      </w:r>
      <w:r>
        <w:t xml:space="preserve">of</w:t>
      </w:r>
      <w:r>
        <w:t xml:space="preserve"> </w:t>
      </w:r>
      <w:r>
        <w:t xml:space="preserve">Minnesota</w:t>
      </w:r>
    </w:p>
  </w:footnote>
  <w:footnote w:id="22">
    <w:p>
      <w:pPr>
        <w:pStyle w:val="FootnoteText"/>
      </w:pPr>
      <w:r>
        <w:rPr>
          <w:rStyle w:val="FootnoteReference"/>
        </w:rPr>
        <w:footnoteRef/>
      </w:r>
      <w:r>
        <w:t xml:space="preserve"> </w:t>
      </w:r>
      <w:r>
        <w:t xml:space="preserve">U.S.</w:t>
      </w:r>
      <w:r>
        <w:t xml:space="preserve"> </w:t>
      </w:r>
      <w:r>
        <w:t xml:space="preserve">Fish</w:t>
      </w:r>
      <w:r>
        <w:t xml:space="preserve"> </w:t>
      </w:r>
      <w:r>
        <w:t xml:space="preserve">and</w:t>
      </w:r>
      <w:r>
        <w:t xml:space="preserve"> </w:t>
      </w:r>
      <w:r>
        <w:t xml:space="preserve">Wildlife</w:t>
      </w:r>
      <w:r>
        <w:t xml:space="preserve"> </w:t>
      </w:r>
      <w:r>
        <w:t xml:space="preserve">Service</w:t>
      </w:r>
    </w:p>
  </w:footnote>
  <w:footnote w:id="23">
    <w:p>
      <w:pPr>
        <w:pStyle w:val="FootnoteText"/>
      </w:pPr>
      <w:r>
        <w:rPr>
          <w:rStyle w:val="FootnoteReference"/>
        </w:rPr>
        <w:footnoteRef/>
      </w:r>
      <w:r>
        <w:t xml:space="preserve"> </w:t>
      </w:r>
      <w:r>
        <w:t xml:space="preserve">Minnesota</w:t>
      </w:r>
      <w:r>
        <w:t xml:space="preserve"> </w:t>
      </w:r>
      <w:r>
        <w:t xml:space="preserve">Department</w:t>
      </w:r>
      <w:r>
        <w:t xml:space="preserve"> </w:t>
      </w:r>
      <w:r>
        <w:t xml:space="preserve">of</w:t>
      </w:r>
      <w:r>
        <w:t xml:space="preserve"> </w:t>
      </w:r>
      <w:r>
        <w:t xml:space="preserve">Natural</w:t>
      </w:r>
      <w:r>
        <w:t xml:space="preserve"> </w:t>
      </w:r>
      <w:r>
        <w:t xml:space="preserve">Resources</w:t>
      </w:r>
    </w:p>
  </w:footnote>
  <w:footnote w:id="24">
    <w:p>
      <w:pPr>
        <w:pStyle w:val="FootnoteText"/>
      </w:pPr>
      <w:r>
        <w:rPr>
          <w:rStyle w:val="FootnoteReference"/>
        </w:rPr>
        <w:footnoteRef/>
      </w:r>
      <w:r>
        <w:t xml:space="preserve"> </w:t>
      </w:r>
      <w:r>
        <w:t xml:space="preserve">Minnesota</w:t>
      </w:r>
      <w:r>
        <w:t xml:space="preserve"> </w:t>
      </w:r>
      <w:r>
        <w:t xml:space="preserve">Department</w:t>
      </w:r>
      <w:r>
        <w:t xml:space="preserve"> </w:t>
      </w:r>
      <w:r>
        <w:t xml:space="preserve">of</w:t>
      </w:r>
      <w:r>
        <w:t xml:space="preserve"> </w:t>
      </w:r>
      <w:r>
        <w:t xml:space="preserve">Natural</w:t>
      </w:r>
      <w:r>
        <w:t xml:space="preserve"> </w:t>
      </w:r>
      <w:r>
        <w:t xml:space="preserve">Resources</w:t>
      </w:r>
    </w:p>
  </w:footnote>
  <w:footnote w:id="25">
    <w:p>
      <w:pPr>
        <w:pStyle w:val="FootnoteText"/>
      </w:pPr>
      <w:r>
        <w:rPr>
          <w:rStyle w:val="FootnoteReference"/>
        </w:rPr>
        <w:footnoteRef/>
      </w:r>
      <w:r>
        <w:t xml:space="preserve"> </w:t>
      </w:r>
      <w:r>
        <w:t xml:space="preserve">Three</w:t>
      </w:r>
      <w:r>
        <w:t xml:space="preserve"> </w:t>
      </w:r>
      <w:r>
        <w:t xml:space="preserve">Rivers</w:t>
      </w:r>
      <w:r>
        <w:t xml:space="preserve"> </w:t>
      </w:r>
      <w:r>
        <w:t xml:space="preserve">Park</w:t>
      </w:r>
      <w:r>
        <w:t xml:space="preserve"> </w:t>
      </w:r>
      <w:r>
        <w:t xml:space="preserve">District</w:t>
      </w:r>
    </w:p>
  </w:footnote>
  <w:footnote w:id="26">
    <w:p>
      <w:pPr>
        <w:pStyle w:val="FootnoteText"/>
      </w:pPr>
      <w:r>
        <w:rPr>
          <w:rStyle w:val="FootnoteReference"/>
        </w:rPr>
        <w:footnoteRef/>
      </w:r>
      <w:r>
        <w:t xml:space="preserve"> </w:t>
      </w:r>
      <w:r>
        <w:t xml:space="preserve">Trumpeter</w:t>
      </w:r>
      <w:r>
        <w:t xml:space="preserve"> </w:t>
      </w:r>
      <w:r>
        <w:t xml:space="preserve">Swan</w:t>
      </w:r>
      <w:r>
        <w:t xml:space="preserve"> </w:t>
      </w:r>
      <w:r>
        <w:t xml:space="preserve">Society</w:t>
      </w:r>
    </w:p>
  </w:footnote>
  <w:footnote w:id="27">
    <w:p>
      <w:pPr>
        <w:pStyle w:val="FootnoteText"/>
      </w:pPr>
      <w:r>
        <w:rPr>
          <w:rStyle w:val="FootnoteReference"/>
        </w:rPr>
        <w:footnoteRef/>
      </w:r>
      <w:r>
        <w:t xml:space="preserve"> </w:t>
      </w:r>
      <w:r>
        <w:t xml:space="preserve">Michigan</w:t>
      </w:r>
      <w:r>
        <w:t xml:space="preserve"> </w:t>
      </w:r>
      <w:r>
        <w:t xml:space="preserve">Department</w:t>
      </w:r>
      <w:r>
        <w:t xml:space="preserve"> </w:t>
      </w:r>
      <w:r>
        <w:t xml:space="preserve">of</w:t>
      </w:r>
      <w:r>
        <w:t xml:space="preserve"> </w:t>
      </w:r>
      <w:r>
        <w:t xml:space="preserve">Natural</w:t>
      </w:r>
      <w:r>
        <w:t xml:space="preserve"> </w:t>
      </w:r>
      <w:r>
        <w:t xml:space="preserve">Resources</w:t>
      </w:r>
    </w:p>
  </w:footnote>
  <w:footnote w:id="28">
    <w:p>
      <w:pPr>
        <w:pStyle w:val="FootnoteText"/>
      </w:pPr>
      <w:r>
        <w:rPr>
          <w:rStyle w:val="FootnoteReference"/>
        </w:rPr>
        <w:footnoteRef/>
      </w:r>
      <w:r>
        <w:t xml:space="preserve"> </w:t>
      </w:r>
      <w:r>
        <w:t xml:space="preserve">Iowa</w:t>
      </w:r>
      <w:r>
        <w:t xml:space="preserve"> </w:t>
      </w:r>
      <w:r>
        <w:t xml:space="preserve">Department</w:t>
      </w:r>
      <w:r>
        <w:t xml:space="preserve"> </w:t>
      </w:r>
      <w:r>
        <w:t xml:space="preserve">of</w:t>
      </w:r>
      <w:r>
        <w:t xml:space="preserve"> </w:t>
      </w:r>
      <w:r>
        <w:t xml:space="preserve">Natural</w:t>
      </w:r>
      <w:r>
        <w:t xml:space="preserve"> </w:t>
      </w:r>
      <w:r>
        <w:t xml:space="preserve">Resources</w:t>
      </w:r>
    </w:p>
  </w:footnote>
  <w:footnote w:id="29">
    <w:p>
      <w:pPr>
        <w:pStyle w:val="FootnoteText"/>
      </w:pPr>
      <w:r>
        <w:rPr>
          <w:rStyle w:val="FootnoteReference"/>
        </w:rPr>
        <w:footnoteRef/>
      </w:r>
      <w:r>
        <w:t xml:space="preserve"> </w:t>
      </w:r>
      <w:r>
        <w:t xml:space="preserve">Iowa</w:t>
      </w:r>
      <w:r>
        <w:t xml:space="preserve"> </w:t>
      </w:r>
      <w:r>
        <w:t xml:space="preserve">Department</w:t>
      </w:r>
      <w:r>
        <w:t xml:space="preserve"> </w:t>
      </w:r>
      <w:r>
        <w:t xml:space="preserve">of</w:t>
      </w:r>
      <w:r>
        <w:t xml:space="preserve"> </w:t>
      </w:r>
      <w:r>
        <w:t xml:space="preserve">Natural</w:t>
      </w:r>
      <w:r>
        <w:t xml:space="preserve"> </w:t>
      </w:r>
      <w:r>
        <w:t xml:space="preserve">Resources</w:t>
      </w:r>
    </w:p>
  </w:footnote>
  <w:footnote w:id="30">
    <w:p>
      <w:pPr>
        <w:pStyle w:val="FootnoteText"/>
      </w:pPr>
      <w:r>
        <w:rPr>
          <w:rStyle w:val="FootnoteReference"/>
        </w:rPr>
        <w:footnoteRef/>
      </w:r>
      <w:r>
        <w:t xml:space="preserve"> </w:t>
      </w:r>
      <w:r>
        <w:t xml:space="preserve">Wisconsin</w:t>
      </w:r>
      <w:r>
        <w:t xml:space="preserve"> </w:t>
      </w:r>
      <w:r>
        <w:t xml:space="preserve">Department</w:t>
      </w:r>
      <w:r>
        <w:t xml:space="preserve"> </w:t>
      </w:r>
      <w:r>
        <w:t xml:space="preserve">of</w:t>
      </w:r>
      <w:r>
        <w:t xml:space="preserve"> </w:t>
      </w:r>
      <w:r>
        <w:t xml:space="preserve">Natural</w:t>
      </w:r>
      <w:r>
        <w:t xml:space="preserve"> </w:t>
      </w:r>
      <w:r>
        <w:t xml:space="preserve">Resources</w:t>
      </w:r>
    </w:p>
  </w:footnote>
  <w:footnote w:id="31">
    <w:p>
      <w:pPr>
        <w:pStyle w:val="FootnoteText"/>
      </w:pPr>
      <w:r>
        <w:rPr>
          <w:rStyle w:val="FootnoteReference"/>
        </w:rPr>
        <w:footnoteRef/>
      </w:r>
      <w:r>
        <w:t xml:space="preserve"> </w:t>
      </w:r>
      <w:r>
        <w:t xml:space="preserve">Wisconsin</w:t>
      </w:r>
      <w:r>
        <w:t xml:space="preserve"> </w:t>
      </w:r>
      <w:r>
        <w:t xml:space="preserve">Department</w:t>
      </w:r>
      <w:r>
        <w:t xml:space="preserve"> </w:t>
      </w:r>
      <w:r>
        <w:t xml:space="preserve">of</w:t>
      </w:r>
      <w:r>
        <w:t xml:space="preserve"> </w:t>
      </w:r>
      <w:r>
        <w:t xml:space="preserve">Natural</w:t>
      </w:r>
      <w:r>
        <w:t xml:space="preserve"> </w:t>
      </w:r>
      <w:r>
        <w:t xml:space="preserve">Resources</w:t>
      </w:r>
    </w:p>
  </w:footnote>
  <w:footnote w:id="32">
    <w:p>
      <w:pPr>
        <w:pStyle w:val="FootnoteText"/>
      </w:pPr>
      <w:r>
        <w:rPr>
          <w:rStyle w:val="FootnoteReference"/>
        </w:rPr>
        <w:footnoteRef/>
      </w:r>
      <w:r>
        <w:t xml:space="preserve"> </w:t>
      </w:r>
      <w:r>
        <w:t xml:space="preserve">Ohio</w:t>
      </w:r>
      <w:r>
        <w:t xml:space="preserve"> </w:t>
      </w:r>
      <w:r>
        <w:t xml:space="preserve">Department</w:t>
      </w:r>
      <w:r>
        <w:t xml:space="preserve"> </w:t>
      </w:r>
      <w:r>
        <w:t xml:space="preserve">of</w:t>
      </w:r>
      <w:r>
        <w:t xml:space="preserve"> </w:t>
      </w:r>
      <w:r>
        <w:t xml:space="preserve">Natural</w:t>
      </w:r>
      <w:r>
        <w:t xml:space="preserve"> </w:t>
      </w:r>
      <w:r>
        <w:t xml:space="preserve">Resources</w:t>
      </w:r>
    </w:p>
  </w:footnote>
  <w:footnote w:id="33">
    <w:p>
      <w:pPr>
        <w:pStyle w:val="FootnoteText"/>
      </w:pPr>
      <w:r>
        <w:rPr>
          <w:rStyle w:val="FootnoteReference"/>
        </w:rPr>
        <w:footnoteRef/>
      </w:r>
      <w:r>
        <w:t xml:space="preserve"> </w:t>
      </w:r>
      <w:r>
        <w:t xml:space="preserve">Cleveland</w:t>
      </w:r>
      <w:r>
        <w:t xml:space="preserve"> </w:t>
      </w:r>
      <w:r>
        <w:t xml:space="preserve">Metroparks</w:t>
      </w:r>
      <w:r>
        <w:t xml:space="preserve"> </w:t>
      </w:r>
      <w:r>
        <w:t xml:space="preserve">Zoo</w:t>
      </w:r>
    </w:p>
  </w:footnote>
  <w:footnote w:id="34">
    <w:p>
      <w:pPr>
        <w:pStyle w:val="FootnoteText"/>
      </w:pPr>
      <w:r>
        <w:rPr>
          <w:rStyle w:val="FootnoteReference"/>
        </w:rPr>
        <w:footnoteRef/>
      </w:r>
      <w:r>
        <w:t xml:space="preserve"> </w:t>
      </w:r>
      <w:r>
        <w:t xml:space="preserve">Manitoba</w:t>
      </w:r>
      <w:r>
        <w:t xml:space="preserve"> </w:t>
      </w:r>
      <w:r>
        <w:t xml:space="preserve">Wildlife</w:t>
      </w:r>
      <w:r>
        <w:t xml:space="preserve"> </w:t>
      </w:r>
      <w:r>
        <w:t xml:space="preserve">and</w:t>
      </w:r>
      <w:r>
        <w:t xml:space="preserve"> </w:t>
      </w:r>
      <w:r>
        <w:t xml:space="preserve">Fisheries</w:t>
      </w:r>
      <w:r>
        <w:t xml:space="preserve"> </w:t>
      </w:r>
      <w:r>
        <w:t xml:space="preserve">Branch</w:t>
      </w:r>
    </w:p>
  </w:footnote>
  <w:footnote w:id="35">
    <w:p>
      <w:pPr>
        <w:pStyle w:val="FootnoteText"/>
      </w:pPr>
      <w:r>
        <w:rPr>
          <w:rStyle w:val="FootnoteReference"/>
        </w:rPr>
        <w:footnoteRef/>
      </w:r>
      <w:r>
        <w:t xml:space="preserve"> </w:t>
      </w:r>
      <w:r>
        <w:t xml:space="preserve">Manitoba</w:t>
      </w:r>
      <w:r>
        <w:t xml:space="preserve"> </w:t>
      </w:r>
      <w:r>
        <w:t xml:space="preserve">Wildlife</w:t>
      </w:r>
      <w:r>
        <w:t xml:space="preserve"> </w:t>
      </w:r>
      <w:r>
        <w:t xml:space="preserve">and</w:t>
      </w:r>
      <w:r>
        <w:t xml:space="preserve"> </w:t>
      </w:r>
      <w:r>
        <w:t xml:space="preserve">Fisheries</w:t>
      </w:r>
      <w:r>
        <w:t xml:space="preserve"> </w:t>
      </w:r>
      <w:r>
        <w:t xml:space="preserve">Branch</w:t>
      </w:r>
    </w:p>
  </w:footnote>
  <w:footnote w:id="36">
    <w:p>
      <w:pPr>
        <w:pStyle w:val="FootnoteText"/>
      </w:pPr>
      <w:r>
        <w:rPr>
          <w:rStyle w:val="FootnoteReference"/>
        </w:rPr>
        <w:footnoteRef/>
      </w:r>
      <w:r>
        <w:t xml:space="preserve"> </w:t>
      </w:r>
      <w:r>
        <w:t xml:space="preserve">U.S.</w:t>
      </w:r>
      <w:r>
        <w:t xml:space="preserve"> </w:t>
      </w:r>
      <w:r>
        <w:t xml:space="preserve">Geological</w:t>
      </w:r>
      <w:r>
        <w:t xml:space="preserve"> </w:t>
      </w:r>
      <w:r>
        <w:t xml:space="preserve">Survey,</w:t>
      </w:r>
      <w:r>
        <w:t xml:space="preserve"> </w:t>
      </w:r>
      <w:r>
        <w:t xml:space="preserve">Louisiana</w:t>
      </w:r>
      <w:r>
        <w:t xml:space="preserve"> </w:t>
      </w:r>
      <w:r>
        <w:t xml:space="preserve">Cooperative</w:t>
      </w:r>
      <w:r>
        <w:t xml:space="preserve"> </w:t>
      </w:r>
      <w:r>
        <w:t xml:space="preserve">Fish</w:t>
      </w:r>
      <w:r>
        <w:t xml:space="preserve"> </w:t>
      </w:r>
      <w:r>
        <w:t xml:space="preserve">and</w:t>
      </w:r>
      <w:r>
        <w:t xml:space="preserve"> </w:t>
      </w:r>
      <w:r>
        <w:t xml:space="preserve">Wildlife</w:t>
      </w:r>
      <w:r>
        <w:t xml:space="preserve"> </w:t>
      </w:r>
      <w:r>
        <w:t xml:space="preserve">Research</w:t>
      </w:r>
      <w:r>
        <w:t xml:space="preserve"> </w:t>
      </w:r>
      <w:r>
        <w:t xml:space="preserve">Unit</w:t>
      </w:r>
    </w:p>
  </w:footnote>
  <w:footnote w:id="37">
    <w:p>
      <w:pPr>
        <w:pStyle w:val="FootnoteText"/>
      </w:pPr>
      <w:r>
        <w:rPr>
          <w:rStyle w:val="FootnoteReference"/>
        </w:rPr>
        <w:footnoteRef/>
      </w:r>
      <w:r>
        <w:t xml:space="preserve"> </w:t>
      </w:r>
      <w:r>
        <w:t xml:space="preserve">U.S.</w:t>
      </w:r>
      <w:r>
        <w:t xml:space="preserve"> </w:t>
      </w:r>
      <w:r>
        <w:t xml:space="preserve">Geological</w:t>
      </w:r>
      <w:r>
        <w:t xml:space="preserve"> </w:t>
      </w:r>
      <w:r>
        <w:t xml:space="preserve">Survey,</w:t>
      </w:r>
      <w:r>
        <w:t xml:space="preserve"> </w:t>
      </w:r>
      <w:r>
        <w:t xml:space="preserve">Minnesota</w:t>
      </w:r>
      <w:r>
        <w:t xml:space="preserve"> </w:t>
      </w:r>
      <w:r>
        <w:t xml:space="preserve">Cooperative</w:t>
      </w:r>
      <w:r>
        <w:t xml:space="preserve"> </w:t>
      </w:r>
      <w:r>
        <w:t xml:space="preserve">Fish</w:t>
      </w:r>
      <w:r>
        <w:t xml:space="preserve"> </w:t>
      </w:r>
      <w:r>
        <w:t xml:space="preserve">and</w:t>
      </w:r>
      <w:r>
        <w:t xml:space="preserve"> </w:t>
      </w:r>
      <w:r>
        <w:t xml:space="preserve">Wildlife</w:t>
      </w:r>
      <w:r>
        <w:t xml:space="preserve"> </w:t>
      </w:r>
      <w:r>
        <w:t xml:space="preserve">Research</w:t>
      </w:r>
      <w:r>
        <w:t xml:space="preserve"> </w:t>
      </w:r>
      <w:r>
        <w:t xml:space="preserve">Unit</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D16F37D"/>
    <w:multiLevelType w:val="multilevel"/>
    <w:tmpl w:val="9D08E15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A98E7C5"/>
    <w:multiLevelType w:val="multilevel"/>
    <w:tmpl w:val="4D96E7D4"/>
    <w:lvl w:ilvl="0">
      <w:start w:val="1"/>
      <w:numFmt w:val="lowerRoman"/>
      <w:lvlText w:val="%1."/>
      <w:lvlJc w:val="left"/>
      <w:pPr>
        <w:tabs>
          <w:tab w:pos="0" w:val="num"/>
        </w:tabs>
        <w:ind w:hanging="480" w:left="480"/>
      </w:pPr>
    </w:lvl>
    <w:lvl w:ilvl="1">
      <w:start w:val="1"/>
      <w:numFmt w:val="lowerRoman"/>
      <w:lvlText w:val="%2."/>
      <w:lvlJc w:val="left"/>
      <w:pPr>
        <w:tabs>
          <w:tab w:pos="720" w:val="num"/>
        </w:tabs>
        <w:ind w:hanging="480" w:left="1200"/>
      </w:pPr>
    </w:lvl>
    <w:lvl w:ilvl="2">
      <w:start w:val="1"/>
      <w:numFmt w:val="lowerRoman"/>
      <w:lvlText w:val="%3."/>
      <w:lvlJc w:val="left"/>
      <w:pPr>
        <w:tabs>
          <w:tab w:pos="1440" w:val="num"/>
        </w:tabs>
        <w:ind w:hanging="480" w:left="1920"/>
      </w:pPr>
    </w:lvl>
    <w:lvl w:ilvl="3">
      <w:start w:val="1"/>
      <w:numFmt w:val="lowerRoman"/>
      <w:lvlText w:val="%4."/>
      <w:lvlJc w:val="left"/>
      <w:pPr>
        <w:tabs>
          <w:tab w:pos="2160" w:val="num"/>
        </w:tabs>
        <w:ind w:hanging="480" w:left="2640"/>
      </w:pPr>
    </w:lvl>
    <w:lvl w:ilvl="4">
      <w:start w:val="1"/>
      <w:numFmt w:val="lowerRoman"/>
      <w:lvlText w:val="%5."/>
      <w:lvlJc w:val="left"/>
      <w:pPr>
        <w:tabs>
          <w:tab w:pos="2880" w:val="num"/>
        </w:tabs>
        <w:ind w:hanging="480" w:left="3360"/>
      </w:pPr>
    </w:lvl>
    <w:lvl w:ilvl="5">
      <w:start w:val="1"/>
      <w:numFmt w:val="lowerRoman"/>
      <w:lvlText w:val="%6."/>
      <w:lvlJc w:val="left"/>
      <w:pPr>
        <w:tabs>
          <w:tab w:pos="3600" w:val="num"/>
        </w:tabs>
        <w:ind w:hanging="480" w:left="4080"/>
      </w:pPr>
    </w:lvl>
    <w:lvl w:ilvl="6">
      <w:start w:val="1"/>
      <w:numFmt w:val="lowerRoman"/>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CF3E065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7C"/>
    <w:multiLevelType w:val="singleLevel"/>
    <w:tmpl w:val="079C5A4A"/>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5234F50A"/>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71D8E838"/>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F96C5878"/>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C870065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7AEAED7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98D0F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95C658C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C2C47BC0"/>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0CE29862"/>
    <w:lvl w:ilvl="0">
      <w:start w:val="1"/>
      <w:numFmt w:val="bullet"/>
      <w:lvlText w:val=""/>
      <w:lvlJc w:val="left"/>
      <w:pPr>
        <w:tabs>
          <w:tab w:pos="360" w:val="num"/>
        </w:tabs>
        <w:ind w:hanging="360" w:left="360"/>
      </w:pPr>
      <w:rPr>
        <w:rFonts w:ascii="Symbol" w:hAnsi="Symbol" w:hint="default"/>
      </w:rPr>
    </w:lvl>
  </w:abstractNum>
  <w:abstractNum w15:restartNumberingAfterBreak="0" w:abstractNumId="13">
    <w:nsid w:val="2D0B75AB"/>
    <w:multiLevelType w:val="multilevel"/>
    <w:tmpl w:val="0B4CA96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4">
    <w:nsid w:val="2F8CD899"/>
    <w:multiLevelType w:val="multilevel"/>
    <w:tmpl w:val="49468BCA"/>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77259E51"/>
    <w:multiLevelType w:val="multilevel"/>
    <w:tmpl w:val="537C2202"/>
    <w:lvl w:ilvl="0">
      <w:start w:val="1"/>
      <w:numFmt w:val="lowerLetter"/>
      <w:lvlText w:val="%1."/>
      <w:lvlJc w:val="left"/>
      <w:pPr>
        <w:tabs>
          <w:tab w:pos="0" w:val="num"/>
        </w:tabs>
        <w:ind w:hanging="480" w:left="480"/>
      </w:pPr>
    </w:lvl>
    <w:lvl w:ilvl="1">
      <w:start w:val="1"/>
      <w:numFmt w:val="lowerLetter"/>
      <w:lvlText w:val="%2."/>
      <w:lvlJc w:val="left"/>
      <w:pPr>
        <w:tabs>
          <w:tab w:pos="720" w:val="num"/>
        </w:tabs>
        <w:ind w:hanging="480" w:left="1200"/>
      </w:pPr>
    </w:lvl>
    <w:lvl w:ilvl="2">
      <w:start w:val="1"/>
      <w:numFmt w:val="lowerLetter"/>
      <w:lvlText w:val="%3."/>
      <w:lvlJc w:val="left"/>
      <w:pPr>
        <w:tabs>
          <w:tab w:pos="1440" w:val="num"/>
        </w:tabs>
        <w:ind w:hanging="480" w:left="1920"/>
      </w:pPr>
    </w:lvl>
    <w:lvl w:ilvl="3">
      <w:start w:val="1"/>
      <w:numFmt w:val="lowerLetter"/>
      <w:lvlText w:val="%4."/>
      <w:lvlJc w:val="left"/>
      <w:pPr>
        <w:tabs>
          <w:tab w:pos="2160" w:val="num"/>
        </w:tabs>
        <w:ind w:hanging="480" w:left="2640"/>
      </w:pPr>
    </w:lvl>
    <w:lvl w:ilvl="4">
      <w:start w:val="1"/>
      <w:numFmt w:val="lowerLetter"/>
      <w:lvlText w:val="%5."/>
      <w:lvlJc w:val="left"/>
      <w:pPr>
        <w:tabs>
          <w:tab w:pos="2880" w:val="num"/>
        </w:tabs>
        <w:ind w:hanging="480" w:left="3360"/>
      </w:pPr>
    </w:lvl>
    <w:lvl w:ilvl="5">
      <w:start w:val="1"/>
      <w:numFmt w:val="lowerLetter"/>
      <w:lvlText w:val="%6."/>
      <w:lvlJc w:val="left"/>
      <w:pPr>
        <w:tabs>
          <w:tab w:pos="3600" w:val="num"/>
        </w:tabs>
        <w:ind w:hanging="480" w:left="4080"/>
      </w:pPr>
    </w:lvl>
    <w:lvl w:ilvl="6">
      <w:start w:val="1"/>
      <w:numFmt w:val="lowerLetter"/>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2"/>
  </w:num>
  <w:num w:numId="2">
    <w:abstractNumId w:val="13"/>
  </w:num>
  <w:num w:numId="3">
    <w:abstractNumId w:val="0"/>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num>
  <w:num w:numId="11">
    <w:abstractNumId w:val="4"/>
  </w:num>
  <w:num w:numId="12">
    <w:abstractNumId w:val="5"/>
  </w:num>
  <w:num w:numId="13">
    <w:abstractNumId w:val="6"/>
  </w:num>
  <w:num w:numId="14">
    <w:abstractNumId w:val="11"/>
  </w:num>
  <w:num w:numId="15">
    <w:abstractNumId w:val="7"/>
  </w:num>
  <w:num w:numId="16">
    <w:abstractNumId w:val="8"/>
  </w:num>
  <w:num w:numId="17">
    <w:abstractNumId w:val="9"/>
  </w:num>
  <w:num w:numId="18">
    <w:abstractNumId w:val="10"/>
  </w:num>
  <w:num w:numId="19">
    <w:abstractNumId w:val="1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7571E"/>
  </w:style>
  <w:style w:styleId="Heading1" w:type="paragraph">
    <w:name w:val="heading 1"/>
    <w:basedOn w:val="Normal"/>
    <w:next w:val="BodyText"/>
    <w:uiPriority w:val="9"/>
    <w:qFormat/>
    <w:rsid w:val="005A6804"/>
    <w:pPr>
      <w:keepNext/>
      <w:keepLines/>
      <w:spacing w:after="24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5A6804"/>
    <w:pPr>
      <w:keepNext/>
      <w:keepLines/>
      <w:spacing w:after="0" w:before="200"/>
      <w:outlineLvl w:val="1"/>
    </w:pPr>
    <w:rPr>
      <w:rFonts w:cstheme="majorBidi" w:eastAsiaTheme="majorEastAsia"/>
      <w:b/>
      <w:bCs/>
      <w:color w:themeColor="text1" w:val="000000"/>
      <w:sz w:val="28"/>
      <w:szCs w:val="32"/>
    </w:rPr>
  </w:style>
  <w:style w:styleId="Heading3" w:type="paragraph">
    <w:name w:val="heading 3"/>
    <w:basedOn w:val="Normal"/>
    <w:next w:val="BodyText"/>
    <w:uiPriority w:val="9"/>
    <w:unhideWhenUsed/>
    <w:qFormat/>
    <w:rsid w:val="005A6804"/>
    <w:pPr>
      <w:keepNext/>
      <w:keepLines/>
      <w:spacing w:after="0" w:before="200"/>
      <w:outlineLvl w:val="2"/>
    </w:pPr>
    <w:rPr>
      <w:rFonts w:cstheme="majorBidi" w:eastAsiaTheme="majorEastAsia"/>
      <w:b/>
      <w:bCs/>
      <w:color w:themeColor="text1" w:val="000000"/>
      <w:szCs w:val="28"/>
    </w:rPr>
  </w:style>
  <w:style w:styleId="Heading4" w:type="paragraph">
    <w:name w:val="heading 4"/>
    <w:basedOn w:val="Normal"/>
    <w:next w:val="BodyText"/>
    <w:uiPriority w:val="9"/>
    <w:unhideWhenUsed/>
    <w:qFormat/>
    <w:rsid w:val="005A6804"/>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D0CD4"/>
    <w:pPr>
      <w:spacing w:after="180" w:before="180" w:line="480" w:lineRule="auto"/>
      <w:ind w:firstLine="720"/>
    </w:pPr>
  </w:style>
  <w:style w:customStyle="1" w:styleId="FirstParagraph" w:type="paragraph">
    <w:name w:val="First Paragraph"/>
    <w:basedOn w:val="BodyText"/>
    <w:next w:val="BodyText"/>
    <w:qFormat/>
    <w:rsid w:val="005D0CD4"/>
    <w:pPr>
      <w:ind w:firstLine="0"/>
    </w:pPr>
  </w:style>
  <w:style w:customStyle="1" w:styleId="Compact" w:type="paragraph">
    <w:name w:val="Compact"/>
    <w:basedOn w:val="BodyText"/>
    <w:qFormat/>
    <w:rsid w:val="005D0CD4"/>
    <w:pPr>
      <w:spacing w:after="36" w:before="36" w:line="240" w:lineRule="auto"/>
      <w:ind w:firstLine="0"/>
    </w:pPr>
  </w:style>
  <w:style w:styleId="Title" w:type="paragraph">
    <w:name w:val="Title"/>
    <w:basedOn w:val="Normal"/>
    <w:next w:val="BodyText"/>
    <w:qFormat/>
    <w:rsid w:val="005A6804"/>
    <w:pPr>
      <w:keepNext/>
      <w:keepLines/>
      <w:spacing w:after="240" w:before="480"/>
      <w:jc w:val="center"/>
    </w:pPr>
    <w:rPr>
      <w:rFonts w:cstheme="majorBidi" w:eastAsiaTheme="majorEastAsia"/>
      <w:b/>
      <w:bCs/>
      <w:color w:themeColor="text1" w:val="000000"/>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5D0CD4"/>
    <w:pPr>
      <w:spacing w:line="480" w:lineRule="auto"/>
      <w:ind w:hanging="720" w:left="720"/>
    </w:p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ImageCaption"/>
    <w:rsid w:val="008F0DAE"/>
  </w:style>
  <w:style w:customStyle="1" w:styleId="ImageCaption" w:type="paragraph">
    <w:name w:val="Image Caption"/>
    <w:basedOn w:val="Caption"/>
    <w:rsid w:val="0017571E"/>
    <w:rPr>
      <w:i w:val="0"/>
    </w:rPr>
  </w:style>
  <w:style w:customStyle="1" w:styleId="Figure" w:type="paragraph">
    <w:name w:val="Figure"/>
    <w:basedOn w:val="Normal"/>
  </w:style>
  <w:style w:customStyle="1" w:styleId="FigurewithCaption" w:type="paragraph">
    <w:name w:val="Figure with Caption"/>
    <w:basedOn w:val="Figure"/>
    <w:rsid w:val="005D1ED8"/>
    <w:pPr>
      <w:keepNext/>
      <w:jc w:val="center"/>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5D0CD4"/>
  </w:style>
  <w:style w:styleId="LineNumber" w:type="character">
    <w:name w:val="line number"/>
    <w:basedOn w:val="DefaultParagraphFont"/>
    <w:semiHidden/>
    <w:unhideWhenUsed/>
    <w:rsid w:val="00514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s://arxiv.org/abs/2008.00553" TargetMode="External" /><Relationship Type="http://schemas.openxmlformats.org/officeDocument/2006/relationships/hyperlink" Id="rId59" Target="https://doi.org/10.1007/978-1-349-03711-7_2" TargetMode="External" /><Relationship Type="http://schemas.openxmlformats.org/officeDocument/2006/relationships/hyperlink" Id="rId70" Target="https://doi.org/10.1007/s10592-006-9282-y" TargetMode="External" /><Relationship Type="http://schemas.openxmlformats.org/officeDocument/2006/relationships/hyperlink" Id="rId61" Target="https://doi.org/10.1007/s11222-013-9416-2" TargetMode="External" /><Relationship Type="http://schemas.openxmlformats.org/officeDocument/2006/relationships/hyperlink" Id="rId75" Target="https://doi.org/10.1007/s11222-016-9696-4" TargetMode="External" /><Relationship Type="http://schemas.openxmlformats.org/officeDocument/2006/relationships/hyperlink" Id="rId54" Target="https://doi.org/10.1111/1365-2656.12449" TargetMode="External" /><Relationship Type="http://schemas.openxmlformats.org/officeDocument/2006/relationships/hyperlink" Id="rId73" Target="https://doi.org/10.1111/ecog.02587" TargetMode="External" /><Relationship Type="http://schemas.openxmlformats.org/officeDocument/2006/relationships/hyperlink" Id="rId52" Target="https://doi.org/10.1111/j.1365-2656.2010.01776.x" TargetMode="External" /><Relationship Type="http://schemas.openxmlformats.org/officeDocument/2006/relationships/hyperlink" Id="rId63" Target="https://doi.org/10.1214/ss/1177011136" TargetMode="External" /><Relationship Type="http://schemas.openxmlformats.org/officeDocument/2006/relationships/hyperlink" Id="rId57" Target="https://doi.org/10.1641/B570206" TargetMode="External" /><Relationship Type="http://schemas.openxmlformats.org/officeDocument/2006/relationships/hyperlink" Id="rId47" Target="https://doi.org/10.2981/wlb.2001.007" TargetMode="External" /><Relationship Type="http://schemas.openxmlformats.org/officeDocument/2006/relationships/hyperlink" Id="rId67" Target="https://doi.org/10.31219/osf.io/fzqxv" TargetMode="External" /></Relationships>
</file>

<file path=word/_rels/footnotes.xml.rels><?xml version="1.0" encoding="UTF-8"?><Relationships xmlns="http://schemas.openxmlformats.org/package/2006/relationships"><Relationship Type="http://schemas.openxmlformats.org/officeDocument/2006/relationships/hyperlink" Id="rId50" Target="https://arxiv.org/abs/2008.00553" TargetMode="External" /><Relationship Type="http://schemas.openxmlformats.org/officeDocument/2006/relationships/hyperlink" Id="rId59" Target="https://doi.org/10.1007/978-1-349-03711-7_2" TargetMode="External" /><Relationship Type="http://schemas.openxmlformats.org/officeDocument/2006/relationships/hyperlink" Id="rId70" Target="https://doi.org/10.1007/s10592-006-9282-y" TargetMode="External" /><Relationship Type="http://schemas.openxmlformats.org/officeDocument/2006/relationships/hyperlink" Id="rId61" Target="https://doi.org/10.1007/s11222-013-9416-2" TargetMode="External" /><Relationship Type="http://schemas.openxmlformats.org/officeDocument/2006/relationships/hyperlink" Id="rId75" Target="https://doi.org/10.1007/s11222-016-9696-4" TargetMode="External" /><Relationship Type="http://schemas.openxmlformats.org/officeDocument/2006/relationships/hyperlink" Id="rId54" Target="https://doi.org/10.1111/1365-2656.12449" TargetMode="External" /><Relationship Type="http://schemas.openxmlformats.org/officeDocument/2006/relationships/hyperlink" Id="rId73" Target="https://doi.org/10.1111/ecog.02587" TargetMode="External" /><Relationship Type="http://schemas.openxmlformats.org/officeDocument/2006/relationships/hyperlink" Id="rId52" Target="https://doi.org/10.1111/j.1365-2656.2010.01776.x" TargetMode="External" /><Relationship Type="http://schemas.openxmlformats.org/officeDocument/2006/relationships/hyperlink" Id="rId63" Target="https://doi.org/10.1214/ss/1177011136" TargetMode="External" /><Relationship Type="http://schemas.openxmlformats.org/officeDocument/2006/relationships/hyperlink" Id="rId57" Target="https://doi.org/10.1641/B570206" TargetMode="External" /><Relationship Type="http://schemas.openxmlformats.org/officeDocument/2006/relationships/hyperlink" Id="rId47" Target="https://doi.org/10.2981/wlb.2001.007" TargetMode="External" /><Relationship Type="http://schemas.openxmlformats.org/officeDocument/2006/relationships/hyperlink" Id="rId67" Target="https://doi.org/10.31219/osf.io/fzqx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399</Words>
  <Characters>2446</Characters>
  <Application>Microsoft Office Word</Application>
  <DocSecurity>0</DocSecurity>
  <Lines>39</Lines>
  <Paragraphs>11</Paragraphs>
  <ScaleCrop>false</ScaleCrop>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Interior Population Trumpeter Swan Annual Movements</dc:title>
  <dc:creator>David W. Wolfson, John R. Fieberg, Thomas R. Cooper, Steven Cordts, Christine Herwig, John Moriarty, Margaret Smith, Randall T. Knapik, Anna Buckardt-Thomas, Tyler Harms, Taylor Finger, Sumner Matteson, Laura Kearns, Tiffany Mayo, Brian Kiss, Timothy Poole, Drew Fowler, David E. Andersen</dc:creator>
  <cp:keywords/>
  <dcterms:created xsi:type="dcterms:W3CDTF">2022-12-29T22:35:34Z</dcterms:created>
  <dcterms:modified xsi:type="dcterms:W3CDTF">2022-12-29T22:35:34Z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Annual_MVMT_manuscript.bib</vt:lpwstr>
  </property>
  <property fmtid="{D5CDD505-2E9C-101B-9397-08002B2CF9AE}" pid="3" name="csl">
    <vt:lpwstr>http://www.zotero.org/styles/the-journal-of-wildlife-management</vt:lpwstr>
  </property>
  <property fmtid="{D5CDD505-2E9C-101B-9397-08002B2CF9AE}" pid="4" name="editor_options">
    <vt:lpwstr/>
  </property>
  <property fmtid="{D5CDD505-2E9C-101B-9397-08002B2CF9AE}" pid="5" name="link-citations">
    <vt:lpwstr>True</vt:lpwstr>
  </property>
  <property fmtid="{D5CDD505-2E9C-101B-9397-08002B2CF9AE}" pid="6" name="output">
    <vt:lpwstr/>
  </property>
</Properties>
</file>