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tiff" ContentType="image/tiff"/>
  <Override PartName="/word/media/rId26.png" ContentType="image/png"/>
  <Override PartName="/word/media/rId31.tiff" ContentType="image/tiff"/>
  <Override PartName="/word/media/rId48.tiff" ContentType="image/tiff"/>
  <Override PartName="/word/media/rId42.tiff" ContentType="image/tiff"/>
  <Override PartName="/word/media/rId38.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r>
        <w:t xml:space="preserve"> </w:t>
      </w:r>
      <w:r>
        <w:t xml:space="preserve">derived</w:t>
      </w:r>
      <w:r>
        <w:t xml:space="preserve"> </w:t>
      </w:r>
      <w:r>
        <w:t xml:space="preserve">from</w:t>
      </w:r>
      <w:r>
        <w:t xml:space="preserve"> </w:t>
      </w:r>
      <w:r>
        <w:t xml:space="preserve">migratory</w:t>
      </w:r>
      <w:r>
        <w:t xml:space="preserve"> </w:t>
      </w:r>
      <w:r>
        <w:t xml:space="preserve">and</w:t>
      </w:r>
      <w:r>
        <w:t xml:space="preserve"> </w:t>
      </w:r>
      <w:r>
        <w:t xml:space="preserve">non-migratory</w:t>
      </w:r>
      <w:r>
        <w:t xml:space="preserve"> </w:t>
      </w:r>
      <w:r>
        <w:t xml:space="preserve">founders</w:t>
      </w:r>
    </w:p>
    <w:p>
      <w:pPr>
        <w:pStyle w:val="Author"/>
      </w:pPr>
      <w:r>
        <w:t xml:space="preserve">David</w:t>
      </w:r>
      <w:r>
        <w:t xml:space="preserve"> </w:t>
      </w:r>
      <w:r>
        <w:t xml:space="preserve">W.</w:t>
      </w:r>
      <w:r>
        <w:t xml:space="preserve"> </w:t>
      </w:r>
      <w:r>
        <w:t xml:space="preserve">Wolfson,</w:t>
      </w:r>
      <w:r>
        <w:t xml:space="preserve"> </w:t>
      </w:r>
      <w:r>
        <w:t xml:space="preserve">Randall</w:t>
      </w:r>
      <w:r>
        <w:t xml:space="preserve"> </w:t>
      </w:r>
      <w:r>
        <w:t xml:space="preserve">T.</w:t>
      </w:r>
      <w:r>
        <w:t xml:space="preserve"> </w:t>
      </w:r>
      <w:r>
        <w:t xml:space="preserve">Knapik,</w:t>
      </w:r>
      <w:r>
        <w:t xml:space="preserve"> </w:t>
      </w:r>
      <w:r>
        <w:t xml:space="preserve">Anna</w:t>
      </w:r>
      <w:r>
        <w:t xml:space="preserve"> </w:t>
      </w:r>
      <w:r>
        <w:t xml:space="preserve">Buckardt-Thomas,</w:t>
      </w:r>
      <w:r>
        <w:t xml:space="preserve"> </w:t>
      </w:r>
      <w:r>
        <w:t xml:space="preserve">Laura</w:t>
      </w:r>
      <w:r>
        <w:t xml:space="preserve"> </w:t>
      </w:r>
      <w:r>
        <w:t xml:space="preserve">Kearns,</w:t>
      </w:r>
      <w:r>
        <w:t xml:space="preserve"> </w:t>
      </w:r>
      <w:r>
        <w:t xml:space="preserve">Brian</w:t>
      </w:r>
      <w:r>
        <w:t xml:space="preserve"> </w:t>
      </w:r>
      <w:r>
        <w:t xml:space="preserve">Kiss,</w:t>
      </w:r>
      <w:r>
        <w:t xml:space="preserve"> </w:t>
      </w:r>
      <w:r>
        <w:t xml:space="preserve">Steven</w:t>
      </w:r>
      <w:r>
        <w:t xml:space="preserve"> </w:t>
      </w:r>
      <w:r>
        <w:t xml:space="preserve">Cordts,</w:t>
      </w:r>
      <w:r>
        <w:t xml:space="preserve"> </w:t>
      </w:r>
      <w:r>
        <w:t xml:space="preserve">Taylor</w:t>
      </w:r>
      <w:r>
        <w:t xml:space="preserve"> </w:t>
      </w:r>
      <w:r>
        <w:t xml:space="preserve">Finger,</w:t>
      </w:r>
      <w:r>
        <w:t xml:space="preserve"> </w:t>
      </w:r>
      <w:r>
        <w:t xml:space="preserve">Tyler</w:t>
      </w:r>
      <w:r>
        <w:t xml:space="preserve"> </w:t>
      </w:r>
      <w:r>
        <w:t xml:space="preserve">Harms,</w:t>
      </w:r>
      <w:r>
        <w:t xml:space="preserve"> </w:t>
      </w:r>
      <w:r>
        <w:t xml:space="preserve">Sumner</w:t>
      </w:r>
      <w:r>
        <w:t xml:space="preserve"> </w:t>
      </w:r>
      <w:r>
        <w:t xml:space="preserve">Matteson,</w:t>
      </w:r>
      <w:r>
        <w:t xml:space="preserve"> </w:t>
      </w:r>
      <w:r>
        <w:t xml:space="preserve">Tiffany</w:t>
      </w:r>
      <w:r>
        <w:t xml:space="preserve"> </w:t>
      </w:r>
      <w:r>
        <w:t xml:space="preserve">Mayo,</w:t>
      </w:r>
      <w:r>
        <w:t xml:space="preserve"> </w:t>
      </w:r>
      <w:r>
        <w:t xml:space="preserve">Timothy</w:t>
      </w:r>
      <w:r>
        <w:t xml:space="preserve"> </w:t>
      </w:r>
      <w:r>
        <w:t xml:space="preserve">Poole,</w:t>
      </w:r>
      <w:r>
        <w:t xml:space="preserve"> </w:t>
      </w:r>
      <w:r>
        <w:t xml:space="preserve">John</w:t>
      </w:r>
      <w:r>
        <w:t xml:space="preserve"> </w:t>
      </w:r>
      <w:r>
        <w:t xml:space="preserve">Moriarty,</w:t>
      </w:r>
      <w:r>
        <w:t xml:space="preserve"> </w:t>
      </w:r>
      <w:r>
        <w:t xml:space="preserve">Margaret</w:t>
      </w:r>
      <w:r>
        <w:t xml:space="preserve"> </w:t>
      </w:r>
      <w:r>
        <w:t xml:space="preserve">Smith,</w:t>
      </w:r>
      <w:r>
        <w:t xml:space="preserve"> </w:t>
      </w:r>
      <w:r>
        <w:t xml:space="preserve">Christine</w:t>
      </w:r>
      <w:r>
        <w:t xml:space="preserve"> </w:t>
      </w:r>
      <w:r>
        <w:t xml:space="preserve">Herwig,</w:t>
      </w:r>
      <w:r>
        <w:t xml:space="preserve"> </w:t>
      </w:r>
      <w:r>
        <w:t xml:space="preserve">Drew</w:t>
      </w:r>
      <w:r>
        <w:t xml:space="preserve"> </w:t>
      </w:r>
      <w:r>
        <w:t xml:space="preserve">Fowler,</w:t>
      </w:r>
      <w:r>
        <w:t xml:space="preserve"> </w:t>
      </w:r>
      <w:r>
        <w:t xml:space="preserve">Thomas</w:t>
      </w:r>
      <w:r>
        <w:t xml:space="preserve"> </w:t>
      </w:r>
      <w:r>
        <w:t xml:space="preserve">R.</w:t>
      </w:r>
      <w:r>
        <w:t xml:space="preserve"> </w:t>
      </w:r>
      <w:r>
        <w:t xml:space="preserve">Cooper,</w:t>
      </w:r>
      <w:r>
        <w:t xml:space="preserve"> </w:t>
      </w:r>
      <w:r>
        <w:t xml:space="preserve">John</w:t>
      </w:r>
      <w:r>
        <w:t xml:space="preserve"> </w:t>
      </w:r>
      <w:r>
        <w:t xml:space="preserve">R.</w:t>
      </w:r>
      <w:r>
        <w:t xml:space="preserve"> </w:t>
      </w:r>
      <w:r>
        <w:t xml:space="preserve">Fieberg,</w:t>
      </w:r>
      <w:r>
        <w:t xml:space="preserve"> </w:t>
      </w:r>
      <w:r>
        <w:t xml:space="preserve">David</w:t>
      </w:r>
      <w:r>
        <w:t xml:space="preserve"> </w:t>
      </w:r>
      <w:r>
        <w:t xml:space="preserve">E.</w:t>
      </w:r>
      <w:r>
        <w:t xml:space="preserve"> </w:t>
      </w:r>
      <w:r>
        <w:t xml:space="preserve">Andersen</w:t>
      </w:r>
    </w:p>
    <w:p>
      <w:pPr>
        <w:pStyle w:val="Date"/>
      </w:pPr>
      <w:r>
        <w:t xml:space="preserve">18</w:t>
      </w:r>
      <w:r>
        <w:t xml:space="preserve"> </w:t>
      </w:r>
      <w:r>
        <w:t xml:space="preserve">January,</w:t>
      </w:r>
      <w:r>
        <w:t xml:space="preserve"> </w:t>
      </w:r>
      <w:r>
        <w:t xml:space="preserve">2024</w:t>
      </w:r>
    </w:p>
    <w:bookmarkStart w:id="24" w:name="abstract"/>
    <w:p>
      <w:pPr>
        <w:pStyle w:val="Heading2"/>
      </w:pPr>
      <w:r>
        <w:rPr>
          <w:rStyle w:val="SectionNumber"/>
        </w:rPr>
        <w:t xml:space="preserve">0.1</w:t>
      </w:r>
      <w:r>
        <w:tab/>
      </w:r>
      <w:r>
        <w:t xml:space="preserve">Abstract</w:t>
      </w:r>
    </w:p>
    <w:bookmarkStart w:id="20" w:name="background"/>
    <w:p>
      <w:pPr>
        <w:pStyle w:val="Heading3"/>
      </w:pPr>
      <w:r>
        <w:rPr>
          <w:rStyle w:val="SectionNumber"/>
        </w:rPr>
        <w:t xml:space="preserve">0.1.1</w:t>
      </w:r>
      <w:r>
        <w:tab/>
      </w:r>
      <w:r>
        <w:t xml:space="preserve">Background</w:t>
      </w:r>
    </w:p>
    <w:p>
      <w:pPr>
        <w:pStyle w:val="FirstParagraph"/>
      </w:pPr>
      <w:r>
        <w:t xml:space="preserve">Individuals within a population often exhibit a continuum of movement strategies (from residency to inter-continental seasonal migration), and different movement strategies may affect fitness differently. In species such as trumpeter swans (</w:t>
      </w:r>
      <w:r>
        <w:rPr>
          <w:iCs/>
          <w:i/>
        </w:rPr>
        <w:t xml:space="preserve">Cygnus buccinator</w:t>
      </w:r>
      <w:r>
        <w:t xml:space="preserve">), some populations populations migrate seasonally and some are resident, and both social learning and genetics may play a role in whether individual swans migrate. Trumpeter swans were historically widespread throughout much of North America, but unregulated market hunting decimated their abundance to near extirpation in the lower 48 states by the end of the</w:t>
      </w:r>
      <w:r>
        <w:t xml:space="preserve"> </w:t>
      </w:r>
      <m:oMath>
        <m:sSup>
          <m:e>
            <m:r>
              <m:t>19</m:t>
            </m:r>
          </m:e>
          <m:sup>
            <m:r>
              <m:t>t</m:t>
            </m:r>
            <m:r>
              <m:t>h</m:t>
            </m:r>
          </m:sup>
        </m:sSup>
      </m:oMath>
      <w:r>
        <w:t xml:space="preserve"> </w:t>
      </w:r>
      <w:r>
        <w:t xml:space="preserve">century. The Interior Population (IP) of trumpeter swans was re-established in eastern North America by releasing individuals from both migratory and non-migratory populations, but their current annual movement patterns are largely unknown.</w:t>
      </w:r>
      <w:r>
        <w:t xml:space="preserve"> </w:t>
      </w:r>
      <w:r>
        <w:t xml:space="preserve">Our goal was to describe seasonal movement patterns of IP trumpeter swans and quantify the proportion of the IP that is migratory, the extent and phenology (e.g., typical departure and arrival dates) of seasonal movements, the associations between movement patterns and breeding status and breeding location, and the degree of individual and population variability in migration patterns.</w:t>
      </w:r>
    </w:p>
    <w:bookmarkEnd w:id="20"/>
    <w:bookmarkStart w:id="21" w:name="methods"/>
    <w:p>
      <w:pPr>
        <w:pStyle w:val="Heading3"/>
      </w:pPr>
      <w:r>
        <w:rPr>
          <w:rStyle w:val="SectionNumber"/>
        </w:rPr>
        <w:t xml:space="preserve">0.1.2</w:t>
      </w:r>
      <w:r>
        <w:tab/>
      </w:r>
      <w:r>
        <w:t xml:space="preserve">Methods</w:t>
      </w:r>
    </w:p>
    <w:p>
      <w:pPr>
        <w:pStyle w:val="FirstParagraph"/>
      </w:pPr>
      <w:r>
        <w:t xml:space="preserve">We deployed 113 GPS-GSM transmitters on IP trumpeter swans in 6 U.S. states and 1 Canadian province across the current IP breeding range to quantify their annual movements.</w:t>
      </w:r>
      <w:r>
        <w:t xml:space="preserve"> </w:t>
      </w:r>
      <w:r>
        <w:t xml:space="preserve">Using data from 252 unique</w:t>
      </w:r>
      <w:r>
        <w:t xml:space="preserve"> </w:t>
      </w:r>
      <w:r>
        <w:t xml:space="preserve">‘</w:t>
      </w:r>
      <w:r>
        <w:t xml:space="preserve">swan-years</w:t>
      </w:r>
      <w:r>
        <w:t xml:space="preserve">’</w:t>
      </w:r>
      <w:r>
        <w:t xml:space="preserve">, we segmented the annual cycle by fitting piecewise regression models to each yearly time-series of displacement from the breeding site, and then extracted dates of migration events.</w:t>
      </w:r>
      <w:r>
        <w:t xml:space="preserve"> </w:t>
      </w:r>
      <w:r>
        <w:t xml:space="preserve">We also fit a latent state model to characterize population-level associations between breeding latitude and maximum extent of migration, and linear models to quantify associations in migration phenology.</w:t>
      </w:r>
    </w:p>
    <w:bookmarkEnd w:id="21"/>
    <w:bookmarkStart w:id="22" w:name="results"/>
    <w:p>
      <w:pPr>
        <w:pStyle w:val="Heading3"/>
      </w:pPr>
      <w:r>
        <w:rPr>
          <w:rStyle w:val="SectionNumber"/>
        </w:rPr>
        <w:t xml:space="preserve">0.1.3</w:t>
      </w:r>
      <w:r>
        <w:tab/>
      </w:r>
      <w:r>
        <w:t xml:space="preserve">Results</w:t>
      </w:r>
    </w:p>
    <w:p>
      <w:pPr>
        <w:pStyle w:val="FirstParagraph"/>
      </w:pPr>
      <w:r>
        <w:t xml:space="preserve">Annual movements of IP trumpeter swans were highly variable. At the individual level, we classified 59% of swan-year datasets as long-distance migration (defined as moving &gt;100km from the breeding site), 16% as regional migration (&gt;25 km and &lt;100 km from breeding site), and 19% as non-migratory but exhibiting local movements (&lt;25 km from breeding site), and 6% as exhibiting multiple migration strategies across years. The relationship between breeding latitude and migration extent was best described using a 2-component mixture model in which migration extent was linearly associated with breeding latitude for 1 group of individuals and was much lower and exhibited a non-linear association with breeding latitude for a second group of individuals.</w:t>
      </w:r>
      <w:r>
        <w:t xml:space="preserve"> </w:t>
      </w:r>
      <w:r>
        <w:t xml:space="preserve">Breeding latitude was a significant predictor of spring arrival date, with swans arriving earlier to territories at lower latitudes. Swans at higher latitudes tended to depart earlier in the autumn, and breeding latitude had no relationship with overall migration duration. Breeding status was a significant predictor of autumn departure date, with successful breeders leaving later in the autumn than non-breeders, but had a weak relationship with spring arrival and migration duration.</w:t>
      </w:r>
    </w:p>
    <w:bookmarkEnd w:id="22"/>
    <w:bookmarkStart w:id="23" w:name="conclusion"/>
    <w:p>
      <w:pPr>
        <w:pStyle w:val="Heading3"/>
      </w:pPr>
      <w:r>
        <w:rPr>
          <w:rStyle w:val="SectionNumber"/>
        </w:rPr>
        <w:t xml:space="preserve">0.1.4</w:t>
      </w:r>
      <w:r>
        <w:tab/>
      </w:r>
      <w:r>
        <w:t xml:space="preserve">Conclusion</w:t>
      </w:r>
    </w:p>
    <w:p>
      <w:pPr>
        <w:pStyle w:val="FirstParagraph"/>
      </w:pPr>
      <w:r>
        <w:t xml:space="preserve">IP trumpeter swans are partial migrants, with a continuum of strategies each year, from local movements to long-distance migration. Much of the variability in movement patterns was related to factors tied to natural history demands (e.g., breeding status) and response to environmental conditions (e.g., through associations with breeding latitude).</w:t>
      </w:r>
    </w:p>
    <w:p>
      <w:r>
        <w:pict>
          <v:rect style="width:0;height:1.5pt" o:hralign="center" o:hrstd="t" o:hr="t"/>
        </w:pict>
      </w:r>
    </w:p>
    <w:bookmarkEnd w:id="23"/>
    <w:bookmarkEnd w:id="24"/>
    <w:bookmarkStart w:id="25" w:name="introduction"/>
    <w:p>
      <w:pPr>
        <w:pStyle w:val="Heading2"/>
      </w:pPr>
      <w:r>
        <w:rPr>
          <w:rStyle w:val="SectionNumber"/>
        </w:rPr>
        <w:t xml:space="preserve">0.2</w:t>
      </w:r>
      <w:r>
        <w:tab/>
      </w:r>
      <w:r>
        <w:t xml:space="preserve">Introduction</w:t>
      </w:r>
    </w:p>
    <w:p>
      <w:pPr>
        <w:pStyle w:val="FirstParagraph"/>
      </w:pPr>
      <w:r>
        <w:t xml:space="preserve">Migration is a behavioral mechanism widely used by all major vertebrate groups (e.g., birds, fish, mammal, herpetofauna)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formerly scarce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 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 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the Great Lakes region of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abundant numbers of trumpeter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(especially the non-breeding season), including any differences related to breeding status or latitude will better inform wintering area habitat use and optimal study design for surveys to index abundance.</w:t>
      </w:r>
    </w:p>
    <w:p>
      <w:pPr>
        <w:pStyle w:val="BodyText"/>
      </w:pPr>
      <w:r>
        <w:t xml:space="preserve">Many factors likely influence an individual swan’s decision to leave its breeding territory during the non-breeding season, the distance migrating individuals travel, and the degree of among-individual variability in movements for swans breeding at locations in close proximity to one another; these factors include life history requirements and knowledge transfer of migratory traditions</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 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w:t>
      </w:r>
    </w:p>
    <w:p>
      <w:pPr>
        <w:pStyle w:val="BodyText"/>
      </w:pPr>
      <w:r>
        <w:t xml:space="preserve">Survival rates of migrating individuals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p>
    <w:p>
      <w:pPr>
        <w:pStyle w:val="BodyText"/>
      </w:pPr>
      <w:r>
        <w:t xml:space="preserve">The</w:t>
      </w:r>
      <w:r>
        <w:t xml:space="preserve"> </w:t>
      </w:r>
      <w:r>
        <w:t xml:space="preserve">‘</w:t>
      </w:r>
      <w:r>
        <w:t xml:space="preserve">push</w:t>
      </w:r>
      <w:r>
        <w:t xml:space="preserve">’</w:t>
      </w:r>
      <w:r>
        <w:t xml:space="preserve"> </w:t>
      </w:r>
      <w:r>
        <w:t xml:space="preserve">to avoid the harsh winter conditions varies substantially throughout the IP breeding range, with concurrent implications for decisions related to migration propensity and timing. Many populations include some individuals that migrate each year while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 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 Our primary goal was to better understand how a re-established population of trumpeter swans derived from different source pouplations uses a novel landscape. Our specific objectives were to quantify 1) the proportion of the IP that is migratory and the extent of migratory movements, 2) migration phenology (e.g., timing of autumn departure, spring arrival, and migration duration), and 3) associations between annual movement patterns and breeding status and breeding location.</w:t>
      </w:r>
    </w:p>
    <w:p>
      <w:r>
        <w:pict>
          <v:rect style="width:0;height:1.5pt" o:hralign="center" o:hrstd="t" o:hr="t"/>
        </w:pict>
      </w:r>
    </w:p>
    <w:bookmarkEnd w:id="25"/>
    <w:bookmarkStart w:id="37" w:name="methods-1"/>
    <w:p>
      <w:pPr>
        <w:pStyle w:val="Heading2"/>
      </w:pPr>
      <w:r>
        <w:rPr>
          <w:rStyle w:val="SectionNumber"/>
        </w:rPr>
        <w:t xml:space="preserve">0.3</w:t>
      </w:r>
      <w:r>
        <w:tab/>
      </w:r>
      <w:r>
        <w:t xml:space="preserve">Methods</w:t>
      </w:r>
    </w:p>
    <w:bookmarkStart w:id="29" w:name="study-area"/>
    <w:p>
      <w:pPr>
        <w:pStyle w:val="Heading3"/>
      </w:pPr>
      <w:r>
        <w:rPr>
          <w:rStyle w:val="SectionNumber"/>
        </w:rPr>
        <w:t xml:space="preserve">0.3.1</w:t>
      </w:r>
      <w:r>
        <w:tab/>
      </w:r>
      <w:r>
        <w:t xml:space="preserve">Study Area</w:t>
      </w:r>
    </w:p>
    <w:p>
      <w:pPr>
        <w:pStyle w:val="FirstParagraph"/>
      </w:pPr>
      <w:r>
        <w:t xml:space="preserve">We captured IP swans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for Interior Population trumpeter swans collared with GPS-GSM transmitters from July 2019–January 2022." title="" id="27" name="Picture"/>
            <a:graphic>
              <a:graphicData uri="http://schemas.openxmlformats.org/drawingml/2006/picture">
                <pic:pic>
                  <pic:nvPicPr>
                    <pic:cNvPr descr="../figures/figs_for_manuscript/manual_map_USE_THIS.png" id="28" name="Picture"/>
                    <pic:cNvPicPr>
                      <a:picLocks noChangeArrowheads="1" noChangeAspect="1"/>
                    </pic:cNvPicPr>
                  </pic:nvPicPr>
                  <pic:blipFill>
                    <a:blip r:embed="rId26"/>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for Interior Population trumpeter swans collared with GPS-GSM transmitters from July 2019–January 2022.</w:t>
      </w:r>
    </w:p>
    <w:bookmarkEnd w:id="29"/>
    <w:bookmarkStart w:id="3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in Arkansas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w:t>
      </w:r>
    </w:p>
    <w:p>
      <w:pPr>
        <w:pStyle w:val="BodyText"/>
      </w:pPr>
      <w:r>
        <w:t xml:space="preserve">Protocols for capturing and marking trumpeter swans in U.S. states were approved by the University of Minnesota Animal Care and Use Committee (protocol no. 1905-37072A), the U.S.</w:t>
      </w:r>
      <w:r>
        <w:t xml:space="preserve"> </w:t>
      </w:r>
      <w:r>
        <w:t xml:space="preserve">Fish and Wildlife Service (Research &amp; Monitoring Special Use Permit no. K-10-001), the U.S.</w:t>
      </w:r>
      <w:r>
        <w:t xml:space="preserve"> </w:t>
      </w:r>
      <w:r>
        <w:t xml:space="preserve">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30"/>
    <w:bookmarkStart w:id="34" w:name="migration-phenology-classification"/>
    <w:p>
      <w:pPr>
        <w:pStyle w:val="Heading3"/>
      </w:pPr>
      <w:r>
        <w:rPr>
          <w:rStyle w:val="SectionNumber"/>
        </w:rPr>
        <w:t xml:space="preserve">0.3.3</w:t>
      </w:r>
      <w:r>
        <w:tab/>
      </w:r>
      <w:r>
        <w:t xml:space="preserve">Migration Phenology Classification</w:t>
      </w:r>
    </w:p>
    <w:p>
      <w:pPr>
        <w:pStyle w:val="FirstParagraph"/>
      </w:pPr>
      <w:r>
        <w:t xml:space="preserve">Accurate quantification of migration phenology was a key objective of this study. Given the size of the dataset (~6M locations over 252 swan-years), we developed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44</w:t>
        </w:r>
      </w:hyperlink>
      <w:r>
        <w:t xml:space="preserve">,</w:t>
      </w:r>
      <w:hyperlink w:anchor="ref-vandekerk2021">
        <w:r>
          <w:rPr>
            <w:rStyle w:val="Hyperlink"/>
          </w:rPr>
          <w:t xml:space="preserve">45</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w:t>
      </w:r>
      <w:r>
        <w:t xml:space="preserve"> </w:t>
      </w:r>
      <w:r>
        <w:t xml:space="preserve">We first calculated annual time-series of Net-Squared Displacement (NSD) values for each swan, using 1 July (a time of year that swans are relatively stationary) as a cutoff date between years for individuals with multiple years of GPS data, and then condensed the dataset to a single average displacement value per day.</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46</w:t>
        </w:r>
      </w:hyperlink>
      <w:r>
        <w:t xml:space="preserve">]</w:t>
      </w:r>
      <w:r>
        <w:t xml:space="preserve">.</w:t>
      </w:r>
      <w:r>
        <w:t xml:space="preserve"> </w:t>
      </w:r>
      <w:r>
        <w:t xml:space="preserve">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32" name="Picture"/>
            <a:graphic>
              <a:graphicData uri="http://schemas.openxmlformats.org/drawingml/2006/picture">
                <pic:pic>
                  <pic:nvPicPr>
                    <pic:cNvPr descr="../figures/figs_for_manuscript/nsd_piecewise.tif" id="33" name="Picture"/>
                    <pic:cNvPicPr>
                      <a:picLocks noChangeArrowheads="1" noChangeAspect="1"/>
                    </pic:cNvPicPr>
                  </pic:nvPicPr>
                  <pic:blipFill>
                    <a:blip r:embed="rId31"/>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47</w:t>
        </w:r>
      </w:hyperlink>
      <w:r>
        <w:t xml:space="preserve">]</w:t>
      </w:r>
      <w:r>
        <w:t xml:space="preserve"> </w:t>
      </w:r>
      <w:r>
        <w:t xml:space="preserve">using the mcp package</w:t>
      </w:r>
      <w:r>
        <w:t xml:space="preserve"> </w:t>
      </w:r>
      <w:r>
        <w:t xml:space="preserve">[</w:t>
      </w:r>
      <w:hyperlink w:anchor="ref-lindelov2020">
        <w:r>
          <w:rPr>
            <w:rStyle w:val="Hyperlink"/>
          </w:rPr>
          <w:t xml:space="preserve">48</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49</w:t>
        </w:r>
      </w:hyperlink>
      <w:r>
        <w:t xml:space="preserve">]</w:t>
      </w:r>
      <w:r>
        <w:t xml:space="preserve">, using 15,000 iterations and a burn-in period of 10,000.</w:t>
      </w:r>
      <w:r>
        <w:t xml:space="preserve"> </w:t>
      </w:r>
      <w:r>
        <w:t xml:space="preserve">We used the future R package to run all scripts in parallel on the Minnesota Supercomputing Institute (MSI) using a partition with 24 cores and 50GB RAM per core</w:t>
      </w:r>
      <w:r>
        <w:t xml:space="preserve"> </w:t>
      </w:r>
      <w:r>
        <w:t xml:space="preserve">[</w:t>
      </w:r>
      <w:hyperlink w:anchor="ref-bengtsson2021">
        <w:r>
          <w:rPr>
            <w:rStyle w:val="Hyperlink"/>
          </w:rPr>
          <w:t xml:space="preserve">50</w:t>
        </w:r>
      </w:hyperlink>
      <w:r>
        <w:t xml:space="preserve">]</w:t>
      </w:r>
      <w:r>
        <w:t xml:space="preserve">.</w:t>
      </w:r>
      <w:r>
        <w:t xml:space="preserve"> </w:t>
      </w:r>
      <w:r>
        <w:t xml:space="preserve">We evaluated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51</w:t>
        </w:r>
      </w:hyperlink>
      <w:r>
        <w:t xml:space="preserve">]</w:t>
      </w:r>
      <w:r>
        <w:t xml:space="preserve">.</w:t>
      </w:r>
      <w:r>
        <w:t xml:space="preserve"> </w:t>
      </w:r>
      <w:r>
        <w:t xml:space="preserve">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52</w:t>
        </w:r>
      </w:hyperlink>
      <w:r>
        <w:t xml:space="preserve">,</w:t>
      </w:r>
      <w:hyperlink w:anchor="ref-vehtari2017">
        <w:r>
          <w:rPr>
            <w:rStyle w:val="Hyperlink"/>
          </w:rPr>
          <w:t xml:space="preserve">53</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 We also excluded all segments &lt;2 km from the previous segment and all changepoints &lt;2 days from the previous changepoint. We then extracted parameter values to represent the movement metrics of interest (Fig.</w:t>
      </w:r>
      <w:r>
        <w:t xml:space="preserve"> </w:t>
      </w:r>
      <w:r>
        <w:t xml:space="preserve">2</w:t>
      </w:r>
      <w:r>
        <w:t xml:space="preserve">).</w:t>
      </w:r>
      <w:r>
        <w:t xml:space="preserve"> </w:t>
      </w:r>
      <w:r>
        <w:t xml:space="preserve">We extracted autumn departure dates for individuals that moved &gt;100 km from breeding/capture locations by 1 December. We extracted spring arrival dates for individuals that moved &gt;100 km from breeding/capture locations during the non-breeding season and that returned within 10 km of their previous summer territory.</w:t>
      </w:r>
      <w:r>
        <w:t xml:space="preserve"> </w:t>
      </w:r>
      <w:r>
        <w:t xml:space="preserve">We estimated migration duration as the difference in time between autumn departure and spring arrival the subsequent year for all swan-year datasets that met the requirements to estimate those two terms.</w:t>
      </w:r>
    </w:p>
    <w:bookmarkEnd w:id="34"/>
    <w:bookmarkStart w:id="35" w:name="migration-extent"/>
    <w:p>
      <w:pPr>
        <w:pStyle w:val="Heading3"/>
      </w:pPr>
      <w:r>
        <w:rPr>
          <w:rStyle w:val="SectionNumber"/>
        </w:rPr>
        <w:t xml:space="preserve">0.3.4</w:t>
      </w:r>
      <w:r>
        <w:tab/>
      </w: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to a much lesser extent, especially at lower latitudes. It is possible that these patterns reflect two different migratory strategies with one segment of the population consistently migrating to lower latitudes and a second segment of the population seeking out areas with open water closer to the location of their breeding site to survive the winter.</w:t>
      </w:r>
    </w:p>
    <w:p>
      <w:pPr>
        <w:pStyle w:val="BodyText"/>
      </w:pPr>
      <w:r>
        <w:t xml:space="preserve">We use a 2-component mixture model (i.e., a model with two different groups of individuals, each following a different response pattern) to describe the relationship between breeding latitude and migration extent. Let</w:t>
      </w:r>
      <w:r>
        <w:t xml:space="preserve"> </w:t>
      </w:r>
      <m:oMath>
        <m:sSub>
          <m:e>
            <m:r>
              <m:t>Y</m:t>
            </m:r>
          </m:e>
          <m:sub>
            <m:r>
              <m:t>i</m:t>
            </m:r>
            <m:r>
              <m:t>j</m:t>
            </m:r>
          </m:sub>
        </m:sSub>
      </m:oMath>
      <w:r>
        <w:t xml:space="preserve"> </w:t>
      </w:r>
      <w:r>
        <w:t xml:space="preserve">represent the migration extent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 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k</m:t>
                  </m:r>
                </m:sub>
                <m:sup>
                  <m:r>
                    <m:t>2</m:t>
                  </m:r>
                </m:sup>
              </m:sSubSup>
            </m:e>
          </m:d>
        </m:oMath>
      </m:oMathPara>
    </w:p>
    <w:p>
      <w:pPr>
        <w:pStyle w:val="FirstParagraph"/>
      </w:pPr>
      <w:r>
        <w:t xml:space="preserve">where</w:t>
      </w:r>
      <w:r>
        <w:t xml:space="preserve"> </w:t>
      </w:r>
      <m:oMath>
        <m:sSub>
          <m:e>
            <m:r>
              <m:t>Y</m:t>
            </m:r>
          </m:e>
          <m:sub>
            <m:r>
              <m:t>j</m:t>
            </m:r>
          </m:sub>
        </m:sSub>
      </m:oMath>
      <w:r>
        <w:t xml:space="preserve"> </w:t>
      </w:r>
      <w:r>
        <w:t xml:space="preserve">is the extent of migration for individual</w:t>
      </w:r>
      <w:r>
        <w:t xml:space="preserve"> </w:t>
      </w:r>
      <m:oMath>
        <m:r>
          <m:t>i</m:t>
        </m:r>
      </m:oMath>
      <w:r>
        <w:t xml:space="preserve"> </w:t>
      </w:r>
      <w:r>
        <w:t xml:space="preserve">in year</w:t>
      </w:r>
      <w:r>
        <w:t xml:space="preserve"> </w:t>
      </w:r>
      <m:oMath>
        <m:r>
          <m:t>j</m:t>
        </m:r>
      </m:oMath>
      <w:r>
        <w:t xml:space="preserve">, conditional on the latent state for each individual,</w:t>
      </w:r>
      <w:r>
        <w:t xml:space="preserve"> </w:t>
      </w:r>
      <m:oMath>
        <m:sSub>
          <m:e>
            <m:r>
              <m:t>z</m:t>
            </m:r>
          </m:e>
          <m:sub>
            <m:r>
              <m:t>i</m:t>
            </m:r>
          </m:sub>
        </m:sSub>
      </m:oMath>
      <w:r>
        <w:t xml:space="preserve">. Each latent state has a separate variance term,</w:t>
      </w:r>
      <w:r>
        <w:t xml:space="preserve"> </w:t>
      </w:r>
      <m:oMath>
        <m:sSub>
          <m:e>
            <m:r>
              <m:t>σ</m:t>
            </m:r>
          </m:e>
          <m:sub>
            <m:r>
              <m:t>k</m:t>
            </m:r>
          </m:sub>
        </m:sSub>
      </m:oMath>
      <w:r>
        <w:t xml:space="preserve">, depending on group assignment.</w:t>
      </w:r>
    </w:p>
    <w:p>
      <w:pPr>
        <w:pStyle w:val="BodyText"/>
      </w:pPr>
      <m:oMathPara>
        <m:oMathParaPr>
          <m:jc m:val="center"/>
        </m:oMathParaPr>
        <m:oMath>
          <m:sSubSup>
            <m:e>
              <m:r>
                <m:t>σ</m:t>
              </m:r>
            </m:e>
            <m:sub>
              <m:r>
                <m:t>k</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The</w:t>
      </w:r>
      <w:r>
        <w:t xml:space="preserve"> </w:t>
      </w:r>
      <m:oMath>
        <m:sSub>
          <m:e>
            <m:r>
              <m:t>μ</m:t>
            </m:r>
          </m:e>
          <m:sub>
            <m:r>
              <m:t>i</m:t>
            </m:r>
            <m:r>
              <m:t>j</m:t>
            </m:r>
          </m:sub>
        </m:sSub>
      </m:oMath>
      <w:r>
        <w:t xml:space="preserve"> </w:t>
      </w:r>
      <w:r>
        <w:t xml:space="preserve">term takes two functional forms depending on the group assignment of</w:t>
      </w:r>
      <w:r>
        <w:t xml:space="preserve"> </w:t>
      </w:r>
      <m:oMath>
        <m:sSub>
          <m:e>
            <m:r>
              <m:t>z</m:t>
            </m:r>
          </m:e>
          <m:sub>
            <m:r>
              <m:t>i</m:t>
            </m:r>
          </m:sub>
        </m:sSub>
      </m:oMath>
      <w:r>
        <w:t xml:space="preserve">; either the linear model when</w:t>
      </w:r>
      <w:r>
        <w:t xml:space="preserve"> </w:t>
      </w:r>
      <m:oMath>
        <m:sSub>
          <m:e>
            <m:r>
              <m:t>z</m:t>
            </m:r>
          </m:e>
          <m:sub>
            <m:r>
              <m:t>i</m:t>
            </m:r>
          </m:sub>
        </m:sSub>
        <m:r>
          <m:rPr>
            <m:sty m:val="p"/>
          </m:rPr>
          <m:t>=</m:t>
        </m:r>
        <m:r>
          <m:t>1</m:t>
        </m:r>
      </m:oMath>
      <w:r>
        <w:t xml:space="preserve"> </w:t>
      </w:r>
      <w:r>
        <w:t xml:space="preserve">with</w:t>
      </w:r>
      <w:r>
        <w:t xml:space="preserve"> </w:t>
      </w:r>
      <m:oMath>
        <m:r>
          <m:t>α</m:t>
        </m:r>
      </m:oMath>
      <w:r>
        <w:t xml:space="preserve"> </w:t>
      </w:r>
      <w:r>
        <w:t xml:space="preserve">and</w:t>
      </w:r>
      <w:r>
        <w:t xml:space="preserve"> </w:t>
      </w:r>
      <m:oMath>
        <m:r>
          <m:t>β</m:t>
        </m:r>
      </m:oMath>
      <w:r>
        <w:t xml:space="preserve"> </w:t>
      </w:r>
      <w:r>
        <w:t xml:space="preserve">as the intercept and slope terms, and</w:t>
      </w:r>
      <w:r>
        <w:t xml:space="preserve"> </w:t>
      </w:r>
      <m:oMath>
        <m:sSub>
          <m:e>
            <m:r>
              <m:t>x</m:t>
            </m:r>
          </m:e>
          <m:sub>
            <m:r>
              <m:t>i</m:t>
            </m:r>
            <m:r>
              <m:t>j</m:t>
            </m:r>
          </m:sub>
        </m:sSub>
      </m:oMath>
      <w:r>
        <w:t xml:space="preserve"> </w:t>
      </w:r>
      <w:r>
        <w:t xml:space="preserve">as the breeding latitude for individual</w:t>
      </w:r>
      <w:r>
        <w:t xml:space="preserve"> </w:t>
      </w:r>
      <m:oMath>
        <m:r>
          <m:t>i</m:t>
        </m:r>
      </m:oMath>
      <w:r>
        <w:t xml:space="preserve"> </w:t>
      </w:r>
      <w:r>
        <w:t xml:space="preserve">in year</w:t>
      </w:r>
      <w:r>
        <w:t xml:space="preserve"> </w:t>
      </w:r>
      <m:oMath>
        <m:r>
          <m:t>j</m:t>
        </m:r>
      </m:oMath>
      <w:r>
        <w:t xml:space="preserve">, or the non-linear model when</w:t>
      </w:r>
      <w:r>
        <w:t xml:space="preserve"> </w:t>
      </w:r>
      <m:oMath>
        <m:r>
          <m:t>z</m:t>
        </m:r>
        <m:r>
          <m:rPr>
            <m:sty m:val="p"/>
          </m:rPr>
          <m:t>=</m:t>
        </m:r>
        <m:r>
          <m:t>0</m:t>
        </m:r>
      </m:oMath>
      <w:r>
        <w:t xml:space="preserve"> </w:t>
      </w:r>
      <w:r>
        <w:t xml:space="preserve">with</w:t>
      </w:r>
      <w:r>
        <w:t xml:space="preserve"> </w:t>
      </w:r>
      <m:oMath>
        <m:r>
          <m:t>c</m:t>
        </m:r>
      </m:oMath>
      <w:r>
        <w:t xml:space="preserve">,</w:t>
      </w:r>
      <w:r>
        <w:t xml:space="preserve"> </w:t>
      </w:r>
      <m:oMath>
        <m:r>
          <m:t>γ</m:t>
        </m:r>
      </m:oMath>
      <w:r>
        <w:t xml:space="preserve">, as the intercept and slope, and</w:t>
      </w:r>
      <w:r>
        <w:t xml:space="preserve"> </w:t>
      </w:r>
      <m:oMath>
        <m:r>
          <m:t>δ</m:t>
        </m:r>
      </m:oMath>
      <w:r>
        <w:t xml:space="preserve"> </w:t>
      </w:r>
      <w:r>
        <w:t xml:space="preserve">as an exponential term on</w:t>
      </w:r>
      <w:r>
        <w:t xml:space="preserve"> </w:t>
      </w:r>
      <m:oMath>
        <m:sSub>
          <m:e>
            <m:r>
              <m:t>x</m:t>
            </m:r>
          </m:e>
          <m:sub>
            <m:r>
              <m:t>i</m:t>
            </m:r>
            <m:r>
              <m:t>j</m:t>
            </m:r>
          </m:sub>
        </m:sSub>
      </m:oMath>
      <w:r>
        <w:t xml:space="preserve">.</w:t>
      </w:r>
    </w:p>
    <w:p>
      <w:pPr>
        <w:pStyle w:val="BodyText"/>
      </w:pPr>
      <w:r>
        <w:t xml:space="preserve">The latent state</w:t>
      </w:r>
      <w:r>
        <w:t xml:space="preserve"> </w:t>
      </w:r>
      <m:oMath>
        <m:sSub>
          <m:e>
            <m:r>
              <m:t>z</m:t>
            </m:r>
          </m:e>
          <m:sub>
            <m:r>
              <m:t>i</m:t>
            </m:r>
          </m:sub>
        </m:sSub>
      </m:oMath>
      <w:r>
        <w:t xml:space="preserve"> </w:t>
      </w:r>
      <w:r>
        <w:t xml:space="preserve">(0 or 1) for assignment to a group (i.e., migration strategy) for each individual</w:t>
      </w:r>
      <w:r>
        <w:t xml:space="preserve"> </w:t>
      </w:r>
      <m:oMath>
        <m:r>
          <m:t>i</m:t>
        </m:r>
      </m:oMath>
      <w:r>
        <w:t xml:space="preserve"> </w:t>
      </w:r>
      <w:r>
        <w:t xml:space="preserve">is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to a larger extent than group 2.</w:t>
      </w:r>
    </w:p>
    <w:p>
      <w:pPr>
        <w:pStyle w:val="BodyText"/>
      </w:pPr>
      <w:r>
        <w:t xml:space="preserve">We implemented the model in JAGS via the R2jags package using 3 MCMC chains with 30,000 iterations, a burn-in of 10,000, and a thinning rate of 10</w:t>
      </w:r>
      <w:r>
        <w:t xml:space="preserve"> </w:t>
      </w:r>
      <w:r>
        <w:t xml:space="preserve">[</w:t>
      </w:r>
      <w:hyperlink w:anchor="ref-plummer2003">
        <w:r>
          <w:rPr>
            <w:rStyle w:val="Hyperlink"/>
          </w:rPr>
          <w:t xml:space="preserve">47</w:t>
        </w:r>
      </w:hyperlink>
      <w:r>
        <w:t xml:space="preserve">,</w:t>
      </w:r>
      <w:hyperlink w:anchor="ref-su2021b">
        <w:r>
          <w:rPr>
            <w:rStyle w:val="Hyperlink"/>
          </w:rPr>
          <w:t xml:space="preserve">54</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51</w:t>
        </w:r>
      </w:hyperlink>
      <w:r>
        <w:t xml:space="preserve">]</w:t>
      </w:r>
      <w:r>
        <w:t xml:space="preserve">.</w:t>
      </w:r>
    </w:p>
    <w:bookmarkEnd w:id="35"/>
    <w:bookmarkStart w:id="36" w:name="migration-phenology"/>
    <w:p>
      <w:pPr>
        <w:pStyle w:val="Heading3"/>
      </w:pPr>
      <w:r>
        <w:rPr>
          <w:rStyle w:val="SectionNumber"/>
        </w:rPr>
        <w:t xml:space="preserve">0.3.5</w:t>
      </w:r>
      <w:r>
        <w:tab/>
      </w:r>
      <w:r>
        <w:t xml:space="preserve">Migration Phenology</w:t>
      </w:r>
    </w:p>
    <w:p>
      <w:pPr>
        <w:pStyle w:val="FirstParagraph"/>
      </w:pPr>
      <w:r>
        <w:t xml:space="preserve">We visualized differences in autumn departure and spring arrival across the range of breeding latitudes using scatterplots, facetted by year, with a univariate linear model fit as a statistical smoother for each year to quantify the amount of variation latitude explained in the migration metric. We visualized differences in migration phenology between breeding classes with boxplots showing the medians, inter-quartile ranges, and outliers. To test associations between predictor variables and migration phenology, we fit separate linear mixed models (LMM) using the lme4 package to each response (autumn departure date, spring arrival date, and migration duration), with a random intercept for each individual to account for repeated measures, and fixed effects for sex, breeding status, and breeding latitude</w:t>
      </w:r>
      <w:r>
        <w:t xml:space="preserve"> </w:t>
      </w:r>
      <w:r>
        <w:t xml:space="preserve">[</w:t>
      </w:r>
      <w:hyperlink w:anchor="ref-bates2014">
        <w:r>
          <w:rPr>
            <w:rStyle w:val="Hyperlink"/>
          </w:rPr>
          <w:t xml:space="preserve">55</w:t>
        </w:r>
      </w:hyperlink>
      <w:r>
        <w:t xml:space="preserve">]</w:t>
      </w:r>
      <w:r>
        <w:t xml:space="preserve">. For the LMMs fit to autumn departure dates and migration duration, the variance term for the random intercept was estimated to be 0, so instead, we dropped the random effect and refit linear models with the same set of covariates. The lack of among-individual heterogeneity after accounting for fixed effects may reflect a true signal or simply the result of insufficient across-year repeated measures within the same individuals.</w:t>
      </w:r>
    </w:p>
    <w:p>
      <w:r>
        <w:pict>
          <v:rect style="width:0;height:1.5pt" o:hralign="center" o:hrstd="t" o:hr="t"/>
        </w:pict>
      </w:r>
    </w:p>
    <w:bookmarkEnd w:id="36"/>
    <w:bookmarkEnd w:id="37"/>
    <w:bookmarkStart w:id="52" w:name="results-1"/>
    <w:p>
      <w:pPr>
        <w:pStyle w:val="Heading2"/>
      </w:pPr>
      <w:r>
        <w:rPr>
          <w:rStyle w:val="SectionNumber"/>
        </w:rPr>
        <w:t xml:space="preserve">0.4</w:t>
      </w:r>
      <w:r>
        <w:tab/>
      </w:r>
      <w:r>
        <w:t xml:space="preserve">Results</w: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 (Supplemental Materials deployment figure).</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6 were cygnets at the time of capture.</w:t>
      </w:r>
    </w:p>
    <w:bookmarkStart w:id="41" w:name="migration-extent-1"/>
    <w:p>
      <w:pPr>
        <w:pStyle w:val="Heading3"/>
      </w:pPr>
      <w:r>
        <w:rPr>
          <w:rStyle w:val="SectionNumber"/>
        </w:rPr>
        <w:t xml:space="preserve">0.4.1</w:t>
      </w:r>
      <w:r>
        <w:tab/>
      </w: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underwent long-distance migration (moving &gt;100 km from breeding site during the non-breeding season),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w:t>
      </w:r>
      <w:r>
        <w:t xml:space="preserve"> </w:t>
      </w:r>
      <w:r>
        <w:t xml:space="preserve">For many swans that exhibited long-distance migration and swans breeding at higher latitudes, there was a strong association between breeding latitude (mostly between 43 and 53 degrees North latitude) and the extent of migration (Fig.</w:t>
      </w:r>
      <w:r>
        <w:t xml:space="preserve"> </w:t>
      </w:r>
      <w:r>
        <w:t xml:space="preserve">3</w:t>
      </w:r>
      <w:r>
        <w:t xml:space="preserve">).</w:t>
      </w:r>
      <w:r>
        <w:t xml:space="preserve"> </w:t>
      </w:r>
      <w:r>
        <w:t xml:space="preserve">Many swans with breeding sites between 40 and 48 degrees North latitude, however, exhibited minimal movement during the non-breeding period. We considered these individuals to exhibit local seasonal movements, with most of these swans leaving their summer territory or increasing their overall space use during the winter, likely to increase access to ice-free open water or access to food.</w:t>
      </w:r>
    </w:p>
    <w:p>
      <w:pPr>
        <w:pStyle w:val="CaptionedFigure"/>
      </w:pPr>
      <w:r>
        <w:drawing>
          <wp:inline>
            <wp:extent cx="5943600" cy="3109123"/>
            <wp:effectExtent b="0" l="0" r="0" t="0"/>
            <wp:docPr descr="Figure 3: Breeding/capture latitude versus extent of migration with color indicating the probability of assignment to one of 2 migration strategies within a 2-component mixture model describing the relationship between latitude and migration extent. Grey areas depict the 95% credible intervals for each strategy." title="" id="39" name="Picture"/>
            <a:graphic>
              <a:graphicData uri="http://schemas.openxmlformats.org/drawingml/2006/picture">
                <pic:pic>
                  <pic:nvPicPr>
                    <pic:cNvPr descr="../output/updated_latent_jan_2024/no_randoms.tiff" id="40" name="Picture"/>
                    <pic:cNvPicPr>
                      <a:picLocks noChangeArrowheads="1" noChangeAspect="1"/>
                    </pic:cNvPicPr>
                  </pic:nvPicPr>
                  <pic:blipFill>
                    <a:blip r:embed="rId38"/>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3: Breeding/capture latitude versus extent of migration with color indicating the probability of assignment to one of 2 migration strategies within a 2-component mixture model describing the relationship between latitude and migration extent. Grey areas depict the 95% credible intervals for each strategy.</w:t>
      </w:r>
    </w:p>
    <w:bookmarkEnd w:id="41"/>
    <w:bookmarkStart w:id="51" w:name="migration-phenology-1"/>
    <w:p>
      <w:pPr>
        <w:pStyle w:val="Heading3"/>
      </w:pPr>
      <w:r>
        <w:rPr>
          <w:rStyle w:val="SectionNumber"/>
        </w:rPr>
        <w:t xml:space="preserve">0.4.2</w:t>
      </w:r>
      <w:r>
        <w:tab/>
      </w:r>
      <w:r>
        <w:t xml:space="preserve">Migration Phenology</w:t>
      </w:r>
    </w:p>
    <w:p>
      <w:pPr>
        <w:pStyle w:val="FirstParagraph"/>
      </w:pPr>
      <w:r>
        <w:t xml:space="preserve">Average departure date from breeding territories in the autumn across years for all long-distance migrants (&gt;100 km) was 1 November with a standard deviation of 20 days, and yearly averages ranged from 25 October to 7 November (Fig.</w:t>
      </w:r>
      <w:r>
        <w:t xml:space="preserve"> </w:t>
      </w:r>
      <w:r>
        <w:t xml:space="preserve">4</w:t>
      </w:r>
      <w:r>
        <w:t xml:space="preserve">, Supplemental tables). The average spring arrival date across years was 5 March with a standard deviation of 10 days, and yearly averages ranged from 2 March to 7 March (Fig.</w:t>
      </w:r>
      <w:r>
        <w:t xml:space="preserve"> </w:t>
      </w:r>
      <w:r>
        <w:t xml:space="preserve">4</w:t>
      </w:r>
      <w:r>
        <w:t xml:space="preserve">, Supplemental tables). There was little evidence of a relationship between breeding latitude and autumn departure date (Fig.</w:t>
      </w:r>
      <w:r>
        <w:t xml:space="preserve"> </w:t>
      </w:r>
      <w:r>
        <w:t xml:space="preserve">6</w:t>
      </w:r>
      <w:r>
        <w:t xml:space="preserve">), but breeders left later, on average, than non-breeders or paired swans, and the difference between breeders and non-breeders was significant (Fig.</w:t>
      </w:r>
      <w:r>
        <w:t xml:space="preserve"> </w:t>
      </w:r>
      <w:r>
        <w:t xml:space="preserve">5</w:t>
      </w:r>
      <w:r>
        <w:t xml:space="preserve">, Fig.</w:t>
      </w:r>
      <w:r>
        <w:t xml:space="preserve"> </w:t>
      </w:r>
      <w:r>
        <w:t xml:space="preserve">6</w:t>
      </w:r>
      <w:r>
        <w:t xml:space="preserve">), Supplemental tables). The relationship between spring arrival (i.e., for swans that traveled &gt;100 km during the non-breeding period and returned to within 10 km of their previous summer territory) and breeding latitude was significant, with swans returning to their territories sooner at lower latitudes. Although breeders, on average, returned earlier to their territory in the spring than paired and non-breeding swans (Fig.</w:t>
      </w:r>
      <w:r>
        <w:t xml:space="preserve"> </w:t>
      </w:r>
      <w:r>
        <w:t xml:space="preserve">5</w:t>
      </w:r>
      <w:r>
        <w:t xml:space="preserve">), the relationship between breeding status and spring arrival date was not significant (Fig.</w:t>
      </w:r>
      <w:r>
        <w:t xml:space="preserve"> </w:t>
      </w:r>
      <w:r>
        <w:t xml:space="preserve">6</w:t>
      </w:r>
      <w:r>
        <w:t xml:space="preserve">). There was no relationship between breeding latitude and migration duration (Fig.</w:t>
      </w:r>
      <w:r>
        <w:t xml:space="preserve"> </w:t>
      </w:r>
      <w:r>
        <w:t xml:space="preserve">6</w:t>
      </w:r>
      <w:r>
        <w:t xml:space="preserve">). Breeders, on average, had the highest migration duration, followed by paired and then non-breeding swans (Fig.</w:t>
      </w:r>
      <w:r>
        <w:t xml:space="preserve"> </w:t>
      </w:r>
      <w:r>
        <w:t xml:space="preserve">5</w:t>
      </w:r>
      <w:r>
        <w:t xml:space="preserve">), though the relationship between breeding status and duration was not significant (Fig.</w:t>
      </w:r>
      <w:r>
        <w:t xml:space="preserve"> </w:t>
      </w:r>
      <w:r>
        <w:t xml:space="preserve">6</w:t>
      </w:r>
      <w:r>
        <w:t xml:space="preserve">).</w:t>
      </w:r>
    </w:p>
    <w:p>
      <w:pPr>
        <w:pStyle w:val="CaptionedFigure"/>
      </w:pPr>
      <w:r>
        <w:drawing>
          <wp:inline>
            <wp:extent cx="3810000" cy="2540000"/>
            <wp:effectExtent b="0" l="0" r="0" t="0"/>
            <wp:docPr descr="Figure 4: The timing of autumn departure and spring arrival as a function of breeding/capture latitude and facetted by year. Grey areas show 95% confidence intervals of linear models fit with latitude as the independent variable and date as the dependent variable. R-squared values indicating the amount of variance in timing explained by latitude are superimposed on each plot." title="" id="43" name="Picture"/>
            <a:graphic>
              <a:graphicData uri="http://schemas.openxmlformats.org/drawingml/2006/picture">
                <pic:pic>
                  <pic:nvPicPr>
                    <pic:cNvPr descr="../figures/figs_for_manuscript/timings_latitude.tiff" id="44"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The timing of autumn departure and spring arrival as a function of breeding/capture latitude and facetted by year. Grey areas show 95% confidence intervals of linear models fit with latitude as the independent variable and date as the dependent variable. R-squared values indicating the amount of variance in timing explained by latitude are superimposed on each plot.</w:t>
      </w:r>
    </w:p>
    <w:p>
      <w:pPr>
        <w:pStyle w:val="CaptionedFigure"/>
      </w:pPr>
      <w:r>
        <w:drawing>
          <wp:inline>
            <wp:extent cx="5943600" cy="3109123"/>
            <wp:effectExtent b="0" l="0" r="0" t="0"/>
            <wp:docPr descr="Figure 5: Migration phenology dates by breeding status (breeder, paired, and non-breeder). Boxplots show 75% inter-quartile range, black lines are median values for each category, and points indicate individual swan-years." title="" id="46" name="Picture"/>
            <a:graphic>
              <a:graphicData uri="http://schemas.openxmlformats.org/drawingml/2006/picture">
                <pic:pic>
                  <pic:nvPicPr>
                    <pic:cNvPr descr="../figures/figs_for_manuscript/breeding_timing.tiff" id="47" name="Picture"/>
                    <pic:cNvPicPr>
                      <a:picLocks noChangeArrowheads="1" noChangeAspect="1"/>
                    </pic:cNvPicPr>
                  </pic:nvPicPr>
                  <pic:blipFill>
                    <a:blip r:embed="rId45"/>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5: Migration phenology dates by breeding status (breeder, paired, and non-breeder). Boxplots show 75% inter-quartile range, black lines are median values for each category, and points indicate individual swan-years.</w:t>
      </w:r>
    </w:p>
    <w:p>
      <w:pPr>
        <w:pStyle w:val="CaptionedFigure"/>
      </w:pPr>
      <w:r>
        <w:drawing>
          <wp:inline>
            <wp:extent cx="5943600" cy="3109123"/>
            <wp:effectExtent b="0" l="0" r="0" t="0"/>
            <wp:docPr descr="Figure 6: Model coefficient estimates and 95% confidence intervals (CIs) for a linear mixed model for spring arrival and linear models for autumn departure and migration duration (defined as the number of days away from the breeding/capture territory). The covariate for sex represents the difference between the baseline of female and the alternative treatment of male. The 2 covariates for breeding status represent the treatment between the baseline of succesful breeders. The 2 covariates with CIs that did not cross the vertical black line (breeding/capture latitude with spring arrival, and the difference between breeders and non-breeders with autumn departure) were statistically significant." title="" id="49" name="Picture"/>
            <a:graphic>
              <a:graphicData uri="http://schemas.openxmlformats.org/drawingml/2006/picture">
                <pic:pic>
                  <pic:nvPicPr>
                    <pic:cNvPr descr="../figures/figs_for_manuscript/phenology_models.tiff" id="50" name="Picture"/>
                    <pic:cNvPicPr>
                      <a:picLocks noChangeArrowheads="1" noChangeAspect="1"/>
                    </pic:cNvPicPr>
                  </pic:nvPicPr>
                  <pic:blipFill>
                    <a:blip r:embed="rId48"/>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6: Model coefficient estimates and 95% confidence intervals (CIs) for a linear mixed model for spring arrival and linear models for autumn departure and migration duration (defined as the number of days away from the breeding/capture territory). The covariate for sex represents the difference between the baseline of female and the alternative treatment of male. The 2 covariates for breeding status represent the treatment between the baseline of succesful breeders. The 2 covariates with CIs that did not cross the vertical black line (breeding/capture latitude with spring arrival, and the difference between breeders and non-breeders with autumn departure) were statistically significant.</w:t>
      </w:r>
    </w:p>
    <w:p>
      <w:r>
        <w:pict>
          <v:rect style="width:0;height:1.5pt" o:hralign="center" o:hrstd="t" o:hr="t"/>
        </w:pict>
      </w:r>
    </w:p>
    <w:bookmarkEnd w:id="51"/>
    <w:bookmarkEnd w:id="52"/>
    <w:bookmarkStart w:id="53" w:name="discussion"/>
    <w:p>
      <w:pPr>
        <w:pStyle w:val="Heading2"/>
      </w:pPr>
      <w:r>
        <w:rPr>
          <w:rStyle w:val="SectionNumber"/>
        </w:rPr>
        <w:t xml:space="preserve">0.5</w:t>
      </w:r>
      <w:r>
        <w:tab/>
      </w:r>
      <w:r>
        <w:t xml:space="preserve">Discussion</w:t>
      </w:r>
    </w:p>
    <w:p>
      <w:pPr>
        <w:pStyle w:val="FirstParagraph"/>
      </w:pPr>
      <w:r>
        <w:t xml:space="preserve">Annual movements of IP swans were highly variable in their extent and timing, with a continuum of movements exhibited each year. Much of this variability was related to factors tied to natural history demands (e.g., breeding status) and response to environmental conditions (e.g., through associations with breeding latitude). It is unclear, however, why IP swans seemed to exhibit multiple migration strategies even at similar latitudes where the effects of environmental conditions (e.g., temperature, precipitation) should also be similar. Differences in migration strategies may be influenced by other factors such as social dynamics, genetic lineage, or site-specific differences in the availability of open water and food. Fine-scale spatial variation, especially related to open water, may have a large influence on determining which swans undergo long-distance migration and which can spend the winter at higher latitudes.</w:t>
      </w:r>
    </w:p>
    <w:p>
      <w:pPr>
        <w:pStyle w:val="BodyText"/>
      </w:pPr>
      <w:r>
        <w:t xml:space="preserve">The migration phenology of IP trumpeter swans appears similar to that of many other long-lived avian migrants, with breeders spending less time undergoing migration than non-breeders</w:t>
      </w:r>
      <w:r>
        <w:t xml:space="preserve"> </w:t>
      </w:r>
      <w:r>
        <w:t xml:space="preserve">[</w:t>
      </w:r>
      <w:hyperlink w:anchor="ref-conklin2010">
        <w:r>
          <w:rPr>
            <w:rStyle w:val="Hyperlink"/>
          </w:rPr>
          <w:t xml:space="preserve">56</w:t>
        </w:r>
      </w:hyperlink>
      <w:r>
        <w:t xml:space="preserve">–</w:t>
      </w:r>
      <w:hyperlink w:anchor="ref-nilsson2013">
        <w:r>
          <w:rPr>
            <w:rStyle w:val="Hyperlink"/>
          </w:rPr>
          <w:t xml:space="preserve">58</w:t>
        </w:r>
      </w:hyperlink>
      <w:r>
        <w:t xml:space="preserve">]</w:t>
      </w:r>
      <w:r>
        <w:t xml:space="preserve">. Spring arrival dates were associated with both breeding latitude and breeding status, as swans likely needed to wait until shallow lakes on their breeding territories were close to ice-out dates, and successful breeders needed to arrive earlier to defend their territories from other swans (Fig.</w:t>
      </w:r>
      <w:r>
        <w:t xml:space="preserve"> </w:t>
      </w:r>
      <w:r>
        <w:t xml:space="preserve">4</w:t>
      </w:r>
      <w:r>
        <w:t xml:space="preserve"> </w:t>
      </w:r>
      <w:r>
        <w:t xml:space="preserve">and (Fig.</w:t>
      </w:r>
      <w:r>
        <w:t xml:space="preserve"> </w:t>
      </w:r>
      <w:r>
        <w:t xml:space="preserve">6</w:t>
      </w:r>
      <w:r>
        <w:t xml:space="preserve">)). We did not, however, find an association between breeding latitude and migration duration (Fig.</w:t>
      </w:r>
      <w:r>
        <w:t xml:space="preserve"> </w:t>
      </w:r>
      <w:r>
        <w:t xml:space="preserve">6</w:t>
      </w:r>
      <w:r>
        <w:t xml:space="preserve">), suggesting that swans are capable of returning from wintering areas to breeding locations quickly.</w:t>
      </w:r>
    </w:p>
    <w:p>
      <w:pPr>
        <w:pStyle w:val="BodyText"/>
      </w:pPr>
      <w:r>
        <w:t xml:space="preserve">Breeding latitude was associated with the likelihood of migrating and the extent of movement during the non-breeding season (Fig.</w:t>
      </w:r>
      <w:r>
        <w:t xml:space="preserve"> </w:t>
      </w:r>
      <w:r>
        <w:t xml:space="preserve">3</w:t>
      </w:r>
      <w:r>
        <w:t xml:space="preserve">).</w:t>
      </w:r>
      <w:r>
        <w:t xml:space="preserve"> </w:t>
      </w:r>
      <w:r>
        <w:t xml:space="preserve">Individuals that breed in the northern part of the IP range all made relatively long-distance autumn migrations. Given the severity of winter conditions at higher latitudes, options for accessing open water created by currents on rivers or anthropogenic influences (e.g., below dams, on lakes with aerators) were likely not within close proximity of breeding locations.</w:t>
      </w:r>
      <w:r>
        <w:t xml:space="preserve"> </w:t>
      </w:r>
      <w:r>
        <w:t xml:space="preserve">Autumn migration distances of swans breeding at mid-latitudes were variable, with some swans moving relatively long distances, while others only exhibited local or regional movements. These latter swans likely remained near their breeding locations during the non-breeding season as long as they were able to find open water that provided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59</w:t>
        </w:r>
      </w:hyperlink>
      <w:r>
        <w:t xml:space="preserve">]</w:t>
      </w:r>
      <w:r>
        <w:t xml:space="preserve">. 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60</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 Collective knowledge has been shown to accumulate over generations to drive migration patterns and improve efficiency in flocking species with socially learned migration behaviors. 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61</w:t>
        </w:r>
      </w:hyperlink>
      <w:r>
        <w:t xml:space="preserve">]</w:t>
      </w:r>
      <w:r>
        <w:t xml:space="preserve">. Thus, experience and familiarity with the landscape also likely plays an important role in determining migratory movements. 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62</w:t>
        </w:r>
      </w:hyperlink>
      <w:r>
        <w:t xml:space="preserve">]</w:t>
      </w:r>
      <w:r>
        <w:t xml:space="preserve">.</w:t>
      </w:r>
      <w:r>
        <w:t xml:space="preserve"> </w:t>
      </w:r>
      <w:r>
        <w:t xml:space="preserve">Thus, there may exist heterogeneity within the population in terms of genetic makeup that influence swan movements. 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62</w:t>
        </w:r>
      </w:hyperlink>
      <w:r>
        <w:t xml:space="preserve">]</w:t>
      </w:r>
      <w:r>
        <w:t xml:space="preserve">. 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63</w:t>
        </w:r>
      </w:hyperlink>
      <w:r>
        <w:t xml:space="preserve">]</w:t>
      </w:r>
      <w:r>
        <w:t xml:space="preserve">. Ultimately, our study provides a snapshot in time of current IP trumpeter swan migration patterns and population-level trends may be still stabilizing and exhibiting variation based on annual environmental conditions.</w:t>
      </w:r>
    </w:p>
    <w:p>
      <w:pPr>
        <w:pStyle w:val="BodyText"/>
      </w:pPr>
      <w:r>
        <w:t xml:space="preserve">The history of IP reintroduction includes many years of anthropogenic influences, at the level of both wildlife managers and private citizens, that have likely caused considerable effects on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 Some of these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64</w:t>
        </w:r>
      </w:hyperlink>
      <w:r>
        <w:t xml:space="preserve">–</w:t>
      </w:r>
      <w:hyperlink w:anchor="ref-ballard2021a">
        <w:r>
          <w:rPr>
            <w:rStyle w:val="Hyperlink"/>
          </w:rPr>
          <w:t xml:space="preserve">66</w:t>
        </w:r>
      </w:hyperlink>
      <w:r>
        <w:t xml:space="preserve">]</w:t>
      </w:r>
      <w:r>
        <w:t xml:space="preserve">. 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67</w:t>
        </w:r>
      </w:hyperlink>
      <w:r>
        <w:t xml:space="preserve">]</w:t>
      </w:r>
      <w:r>
        <w:t xml:space="preserve">. There is also increasing evidence that many local groups of swans have discovered field feeding as an additional strategy to acquire nutrients, though the timing when most field feeding occurs is not well documented</w:t>
      </w:r>
      <w:r>
        <w:t xml:space="preserve"> </w:t>
      </w:r>
      <w:r>
        <w:t xml:space="preserve">[</w:t>
      </w:r>
      <w:hyperlink w:anchor="ref-varner2008">
        <w:r>
          <w:rPr>
            <w:rStyle w:val="Hyperlink"/>
          </w:rPr>
          <w:t xml:space="preserve">68</w:t>
        </w:r>
      </w:hyperlink>
      <w:r>
        <w:t xml:space="preserve">,</w:t>
      </w:r>
      <w:hyperlink w:anchor="ref-baldassarre2014">
        <w:r>
          <w:rPr>
            <w:rStyle w:val="Hyperlink"/>
          </w:rPr>
          <w:t xml:space="preserve">69</w:t>
        </w:r>
      </w:hyperlink>
      <w:r>
        <w:t xml:space="preserve">]</w:t>
      </w:r>
      <w:r>
        <w:t xml:space="preserve">.</w:t>
      </w:r>
    </w:p>
    <w:p>
      <w:pPr>
        <w:pStyle w:val="BodyText"/>
      </w:pPr>
      <w:r>
        <w:t xml:space="preserve">Knowledge of current IP swan migration patterns can help inform IP swan conservation efforts by providing accurate limits of the wintering range and quantifying the variability in migration strategies. Under current conditions, winter habitat for swans occurs in all but the most northerly portions of the IP breeding distribution and at mid-latitudes south of the current breeding distribution. Managers will need to conserve habitat during the non-breeding season for both long-distance migrants as well as residents that stay on their breeding territories year-round while also anticipating the impacts of future climate scenarios</w:t>
      </w:r>
      <w:r>
        <w:t xml:space="preserve"> </w:t>
      </w:r>
      <w:r>
        <w:t xml:space="preserve">[</w:t>
      </w:r>
      <w:hyperlink w:anchor="ref-reese2017">
        <w:r>
          <w:rPr>
            <w:rStyle w:val="Hyperlink"/>
          </w:rPr>
          <w:t xml:space="preserve">70</w:t>
        </w:r>
      </w:hyperlink>
      <w:r>
        <w:t xml:space="preserve">]</w:t>
      </w:r>
      <w:r>
        <w:t xml:space="preserve">. 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impacts of potential asynchrony between migration phenology and environmental conditions</w:t>
      </w:r>
      <w:r>
        <w:t xml:space="preserve"> </w:t>
      </w:r>
      <w:r>
        <w:t xml:space="preserve">[</w:t>
      </w:r>
      <w:hyperlink w:anchor="ref-nussey2005">
        <w:r>
          <w:rPr>
            <w:rStyle w:val="Hyperlink"/>
          </w:rPr>
          <w:t xml:space="preserve">71</w:t>
        </w:r>
      </w:hyperlink>
      <w:r>
        <w:t xml:space="preserve">]</w:t>
      </w:r>
      <w:r>
        <w:t xml:space="preserve">. The variability present in IP annual movements may position IP swans to quickly adapt to changing climate.</w:t>
      </w:r>
    </w:p>
    <w:bookmarkEnd w:id="53"/>
    <w:bookmarkStart w:id="55" w:name="availability-of-data-and-materials"/>
    <w:p>
      <w:pPr>
        <w:pStyle w:val="Heading2"/>
      </w:pPr>
      <w:r>
        <w:rPr>
          <w:rStyle w:val="SectionNumber"/>
        </w:rPr>
        <w:t xml:space="preserve">0.6</w:t>
      </w:r>
      <w:r>
        <w:tab/>
      </w:r>
      <w:r>
        <w:t xml:space="preserve">Availability of data and materials</w:t>
      </w:r>
    </w:p>
    <w:p>
      <w:pPr>
        <w:pStyle w:val="FirstParagraph"/>
      </w:pPr>
      <w:r>
        <w:t xml:space="preserve">All code necessary to reproduce the analyses are available at</w:t>
      </w:r>
      <w:r>
        <w:t xml:space="preserve"> </w:t>
      </w:r>
      <w:hyperlink r:id="rId54">
        <w:r>
          <w:rPr>
            <w:rStyle w:val="Hyperlink"/>
          </w:rPr>
          <w:t xml:space="preserve">https://github.com/dwwolfson/annual_mvmt</w:t>
        </w:r>
      </w:hyperlink>
      <w:r>
        <w:t xml:space="preserve"> </w:t>
      </w:r>
      <w:r>
        <w:t xml:space="preserve">and will be archived at the Data Repository for the University of Minnesota upon acceptance.</w:t>
      </w:r>
    </w:p>
    <w:bookmarkEnd w:id="55"/>
    <w:bookmarkStart w:id="56" w:name="acknowledgements"/>
    <w:p>
      <w:pPr>
        <w:pStyle w:val="Heading2"/>
      </w:pPr>
      <w:r>
        <w:rPr>
          <w:rStyle w:val="SectionNumber"/>
        </w:rPr>
        <w:t xml:space="preserve">0.7</w:t>
      </w:r>
      <w:r>
        <w:tab/>
      </w:r>
      <w:r>
        <w:t xml:space="preserve">Acknowledgements</w:t>
      </w:r>
    </w:p>
    <w:p>
      <w:pPr>
        <w:pStyle w:val="FirstParagraph"/>
      </w:pPr>
      <w:r>
        <w:t xml:space="preserve">We thank Dustin Arsnoe, Bruce Davis, Victoria Drake, Anthony Duffiney, David Hoffman, Steven Hogg, Joel Huener, Gary Ivey, Doug McArthur, Ciara McCarty, Luke Naylor, Mike North, Karen Rowe, Erik Thorson, and Ed Zlonis for assistance with fieldwork. We thank Barb Avers, Frank Baldwin, Wayne Brininger, Peter David, Walt Ford, David Luukkonen, Hattie Saloka for assistance with project logistics. Any use of trade, product, or firm names is for descriptive purposes only and does not imply endorsement by the U.S. Government.</w:t>
      </w:r>
    </w:p>
    <w:bookmarkEnd w:id="56"/>
    <w:bookmarkStart w:id="57" w:name="funding"/>
    <w:p>
      <w:pPr>
        <w:pStyle w:val="Heading2"/>
      </w:pPr>
      <w:r>
        <w:rPr>
          <w:rStyle w:val="SectionNumber"/>
        </w:rPr>
        <w:t xml:space="preserve">0.8</w:t>
      </w:r>
      <w:r>
        <w:tab/>
      </w:r>
      <w:r>
        <w:t xml:space="preserve">Funding</w:t>
      </w:r>
    </w:p>
    <w:p>
      <w:pPr>
        <w:pStyle w:val="FirstParagraph"/>
      </w:pPr>
      <w:r>
        <w:t xml:space="preserve">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the U.S. Geological Survey, the Minnesota Cooperative Fish and Wildlife Research Unit, the U.S. Fish and Wildlife Service, the University of Minnesota, and the Minnesota Department of Natural Resources. Additional funding or project support was provided by the Michigan Department of Natural Resources, the Iowa Department of Natural Resources, the Canadian Wildlife Service branch of Environment and Climate Change Canada, the Cleveland Metroparks Zoo, the Great Lakes Indian Fish and Wildlife Commission, the Wisconsin Department of Natural Resources, Three Rivers Park District, the Arkansas Game and Fish Commission, and the Trumpeter Swan Society. Any use of trade, firm, or product names is for descriptive purposes only and does not imply endorsement by the U.S. Government, the University of Minnesota, or the State of Minnesota.</w:t>
      </w:r>
    </w:p>
    <w:bookmarkEnd w:id="57"/>
    <w:bookmarkStart w:id="60" w:name="author-information"/>
    <w:p>
      <w:pPr>
        <w:pStyle w:val="Heading2"/>
      </w:pPr>
      <w:r>
        <w:rPr>
          <w:rStyle w:val="SectionNumber"/>
        </w:rPr>
        <w:t xml:space="preserve">0.9</w:t>
      </w:r>
      <w:r>
        <w:tab/>
      </w:r>
      <w:r>
        <w:t xml:space="preserve">Author Information</w:t>
      </w:r>
    </w:p>
    <w:bookmarkStart w:id="58" w:name="authors-and-affiliations"/>
    <w:p>
      <w:pPr>
        <w:pStyle w:val="Heading3"/>
      </w:pPr>
      <w:r>
        <w:rPr>
          <w:rStyle w:val="SectionNumber"/>
        </w:rPr>
        <w:t xml:space="preserve">0.9.1</w:t>
      </w:r>
      <w:r>
        <w:tab/>
      </w:r>
      <w:r>
        <w:t xml:space="preserve">Authors and Affiliations</w:t>
      </w:r>
    </w:p>
    <w:p>
      <w:pPr>
        <w:pStyle w:val="FirstParagraph"/>
      </w:pPr>
      <w:r>
        <w:t xml:space="preserve">Department of Fisheries, Wildlife, and Conservation Biology, University of Minnesota, St Paul, MN, USA</w:t>
      </w:r>
      <w:r>
        <w:br/>
      </w:r>
      <w:r>
        <w:t xml:space="preserve">David W. Wolfson &amp; John R. Fieberg</w:t>
      </w:r>
    </w:p>
    <w:p>
      <w:pPr>
        <w:pStyle w:val="BodyText"/>
      </w:pPr>
      <w:r>
        <w:t xml:space="preserve">Minnesota Cooperative Fish and Wildlife Research Unit, St Paul, MN, USA</w:t>
      </w:r>
      <w:r>
        <w:br/>
      </w:r>
      <w:r>
        <w:t xml:space="preserve">David W. Wolfson</w:t>
      </w:r>
    </w:p>
    <w:p>
      <w:pPr>
        <w:pStyle w:val="BodyText"/>
      </w:pPr>
      <w:r>
        <w:t xml:space="preserve">Michigan Department of Natural Resources, Lansing, MI, USA</w:t>
      </w:r>
      <w:r>
        <w:br/>
      </w:r>
      <w:r>
        <w:t xml:space="preserve">Randall T. Knapik</w:t>
      </w:r>
    </w:p>
    <w:p>
      <w:pPr>
        <w:pStyle w:val="BodyText"/>
      </w:pPr>
      <w:r>
        <w:t xml:space="preserve">Iowa Department of Natural Resources, Boone, IA, USA</w:t>
      </w:r>
      <w:r>
        <w:br/>
      </w:r>
      <w:r>
        <w:t xml:space="preserve">Anna Buckardt-Thomas &amp; Tyler Harms</w:t>
      </w:r>
    </w:p>
    <w:p>
      <w:pPr>
        <w:pStyle w:val="BodyText"/>
      </w:pPr>
      <w:r>
        <w:t xml:space="preserve">Ohio Department of Natural Resources, Columbus, OH, USA</w:t>
      </w:r>
      <w:r>
        <w:br/>
      </w:r>
      <w:r>
        <w:t xml:space="preserve">Laura Kearns</w:t>
      </w:r>
    </w:p>
    <w:p>
      <w:pPr>
        <w:pStyle w:val="BodyText"/>
      </w:pPr>
      <w:r>
        <w:t xml:space="preserve">Manitoba Wildlife and Fisheries Branch, Winnipeg, MB, CA</w:t>
      </w:r>
      <w:r>
        <w:br/>
      </w:r>
      <w:r>
        <w:t xml:space="preserve">Brian Kiss &amp; Timothy Poole</w:t>
      </w:r>
    </w:p>
    <w:p>
      <w:pPr>
        <w:pStyle w:val="BodyText"/>
      </w:pPr>
      <w:r>
        <w:t xml:space="preserve">Minnesota Department of Natural Resources, Bemidji, MN, USA</w:t>
      </w:r>
      <w:r>
        <w:br/>
      </w:r>
      <w:r>
        <w:t xml:space="preserve">Steven Cordts &amp; Christine Herwig</w:t>
      </w:r>
    </w:p>
    <w:p>
      <w:pPr>
        <w:pStyle w:val="BodyText"/>
      </w:pPr>
      <w:r>
        <w:t xml:space="preserve">Wisconsin Department of Natural Resources, Madison, WI, USA</w:t>
      </w:r>
      <w:r>
        <w:br/>
      </w:r>
      <w:r>
        <w:t xml:space="preserve">Taylor Finger &amp; Sumner Matteson</w:t>
      </w:r>
    </w:p>
    <w:p>
      <w:pPr>
        <w:pStyle w:val="BodyText"/>
      </w:pPr>
      <w:r>
        <w:t xml:space="preserve">Cleveland Metroparks Zoo, Cleveland, OH, USA</w:t>
      </w:r>
      <w:r>
        <w:br/>
      </w:r>
      <w:r>
        <w:t xml:space="preserve">Tiffany Mayo</w:t>
      </w:r>
    </w:p>
    <w:p>
      <w:pPr>
        <w:pStyle w:val="BodyText"/>
      </w:pPr>
      <w:r>
        <w:t xml:space="preserve">Three Rivers Park District, Plymouth, MN, USA</w:t>
      </w:r>
      <w:r>
        <w:br/>
      </w:r>
      <w:r>
        <w:t xml:space="preserve">John Moriarty</w:t>
      </w:r>
    </w:p>
    <w:p>
      <w:pPr>
        <w:pStyle w:val="BodyText"/>
      </w:pPr>
      <w:r>
        <w:t xml:space="preserve">Trumpeter Swan Society, Plymouth, MN, USA</w:t>
      </w:r>
      <w:r>
        <w:br/>
      </w:r>
      <w:r>
        <w:t xml:space="preserve">Margaret Smith</w:t>
      </w:r>
    </w:p>
    <w:p>
      <w:pPr>
        <w:pStyle w:val="BodyText"/>
      </w:pPr>
      <w:r>
        <w:t xml:space="preserve">U.S. Geological Survey, Louisiana Cooperative Fish and Wildlife Research Unit, Baton Rouge, LA, USA</w:t>
      </w:r>
      <w:r>
        <w:br/>
      </w:r>
      <w:r>
        <w:t xml:space="preserve">Drew Fowler</w:t>
      </w:r>
    </w:p>
    <w:p>
      <w:pPr>
        <w:pStyle w:val="BodyText"/>
      </w:pPr>
      <w:r>
        <w:t xml:space="preserve">U.S. Fish and Wildlife Service, Bloomington, MN, USA</w:t>
      </w:r>
      <w:r>
        <w:br/>
      </w:r>
      <w:r>
        <w:t xml:space="preserve">Thomas R. Cooper</w:t>
      </w:r>
    </w:p>
    <w:p>
      <w:pPr>
        <w:pStyle w:val="BodyText"/>
      </w:pPr>
      <w:r>
        <w:t xml:space="preserve">U.S. Geological Survey, Minnesota Cooperative Fish and Wildlife Research Unit, St Paul, MN, USA</w:t>
      </w:r>
      <w:r>
        <w:br/>
      </w:r>
      <w:r>
        <w:t xml:space="preserve">David E. Andersen</w:t>
      </w:r>
    </w:p>
    <w:bookmarkEnd w:id="58"/>
    <w:bookmarkStart w:id="59" w:name="contributions"/>
    <w:p>
      <w:pPr>
        <w:pStyle w:val="Heading3"/>
      </w:pPr>
      <w:r>
        <w:rPr>
          <w:rStyle w:val="SectionNumber"/>
        </w:rPr>
        <w:t xml:space="preserve">0.9.2</w:t>
      </w:r>
      <w:r>
        <w:tab/>
      </w:r>
      <w:r>
        <w:t xml:space="preserve">Contributions</w:t>
      </w:r>
    </w:p>
    <w:p>
      <w:pPr>
        <w:pStyle w:val="FirstParagraph"/>
      </w:pPr>
      <w:r>
        <w:t xml:space="preserve">DWW, JRF, and DEA designed the methodology; DWW, RTK, ABT, LK, BK, SC, TF, TH, SM, TM, DF, TRC, and DEA collected the data; DWW analyzed the data; DWW wrote the first draft of the manuscript which was revised primarily by JRF and DEA. All authors reviewed the manuscript and gave final approval for publication.</w:t>
      </w:r>
    </w:p>
    <w:bookmarkEnd w:id="59"/>
    <w:bookmarkEnd w:id="60"/>
    <w:bookmarkStart w:id="183" w:name="references"/>
    <w:p>
      <w:pPr>
        <w:pStyle w:val="Heading2"/>
      </w:pPr>
      <w:r>
        <w:t xml:space="preserve">References</w:t>
      </w:r>
    </w:p>
    <w:bookmarkStart w:id="182" w:name="refs"/>
    <w:bookmarkStart w:id="62" w:name="ref-fryxell1988"/>
    <w:p>
      <w:pPr>
        <w:pStyle w:val="Bibliography"/>
      </w:pPr>
      <w:r>
        <w:t xml:space="preserve">1. Fryxell JM, Greever J, Sinclair ARE.</w:t>
      </w:r>
      <w:r>
        <w:t xml:space="preserve"> </w:t>
      </w:r>
      <w:hyperlink r:id="rId61">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1988;131:781–98.</w:t>
      </w:r>
    </w:p>
    <w:bookmarkEnd w:id="62"/>
    <w:bookmarkStart w:id="63"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63"/>
    <w:bookmarkStart w:id="65" w:name="ref-winger2019"/>
    <w:p>
      <w:pPr>
        <w:pStyle w:val="Bibliography"/>
      </w:pPr>
      <w:r>
        <w:t xml:space="preserve">3. Winger BM, Auteri GG, Pegan TM, Weeks BC.</w:t>
      </w:r>
      <w:r>
        <w:t xml:space="preserve"> </w:t>
      </w:r>
      <w:hyperlink r:id="rId64">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65"/>
    <w:bookmarkStart w:id="67" w:name="ref-barker2022"/>
    <w:p>
      <w:pPr>
        <w:pStyle w:val="Bibliography"/>
      </w:pPr>
      <w:r>
        <w:t xml:space="preserve">4. Barker KJ, Xu W, Van Scoyoc A, Serota MW, Moravek JA, Shawler AL, et al.</w:t>
      </w:r>
      <w:r>
        <w:t xml:space="preserve"> </w:t>
      </w:r>
      <w:hyperlink r:id="rId66">
        <w:r>
          <w:rPr>
            <w:rStyle w:val="Hyperlink"/>
          </w:rPr>
          <w:t xml:space="preserve">Toward a new framework for restoring lost wildlife migrations</w:t>
        </w:r>
      </w:hyperlink>
      <w:r>
        <w:t xml:space="preserve">. Conservation Letters. 2022;15:e12850.</w:t>
      </w:r>
    </w:p>
    <w:bookmarkEnd w:id="67"/>
    <w:bookmarkStart w:id="69" w:name="ref-abrahms2021b"/>
    <w:p>
      <w:pPr>
        <w:pStyle w:val="Bibliography"/>
      </w:pPr>
      <w:r>
        <w:t xml:space="preserve">5. Abrahms B, Teitelbaum CS, Mueller T, Converse SJ.</w:t>
      </w:r>
      <w:r>
        <w:t xml:space="preserve"> </w:t>
      </w:r>
      <w:hyperlink r:id="rId68">
        <w:r>
          <w:rPr>
            <w:rStyle w:val="Hyperlink"/>
          </w:rPr>
          <w:t xml:space="preserve">Ontogenetic shifts from social to experiential learning drive avian migration timing</w:t>
        </w:r>
      </w:hyperlink>
      <w:r>
        <w:t xml:space="preserve">. Nature Communications. 2021;12:7326.</w:t>
      </w:r>
    </w:p>
    <w:bookmarkEnd w:id="69"/>
    <w:bookmarkStart w:id="71" w:name="ref-mueller2011a"/>
    <w:p>
      <w:pPr>
        <w:pStyle w:val="Bibliography"/>
      </w:pPr>
      <w:r>
        <w:t xml:space="preserve">6. Mueller T, Olson KA, Dressler G, Leimgruber P, Fuller TK, Nicolson C, et al.</w:t>
      </w:r>
      <w:r>
        <w:t xml:space="preserve"> </w:t>
      </w:r>
      <w:hyperlink r:id="rId70">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71"/>
    <w:bookmarkStart w:id="73" w:name="ref-senner2020"/>
    <w:p>
      <w:pPr>
        <w:pStyle w:val="Bibliography"/>
      </w:pPr>
      <w:r>
        <w:t xml:space="preserve">7. Senner NR, Morbey YE, Sandercock BK.</w:t>
      </w:r>
      <w:r>
        <w:t xml:space="preserve"> </w:t>
      </w:r>
      <w:hyperlink r:id="rId72">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Frontiers in Ecology and Evolution. 2020;8.</w:t>
      </w:r>
    </w:p>
    <w:bookmarkEnd w:id="73"/>
    <w:bookmarkStart w:id="75" w:name="ref-chernetsov2004a"/>
    <w:p>
      <w:pPr>
        <w:pStyle w:val="Bibliography"/>
      </w:pPr>
      <w:r>
        <w:t xml:space="preserve">8. Chernetsov N, Berthold P, Querner U.</w:t>
      </w:r>
      <w:r>
        <w:t xml:space="preserve"> </w:t>
      </w:r>
      <w:hyperlink r:id="rId74">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75"/>
    <w:bookmarkStart w:id="77" w:name="ref-mueller2013"/>
    <w:p>
      <w:pPr>
        <w:pStyle w:val="Bibliography"/>
      </w:pPr>
      <w:r>
        <w:t xml:space="preserve">9. Mueller T, O’Hara RB, Converse SJ, Urbanek RP, Fagan WF.</w:t>
      </w:r>
      <w:r>
        <w:t xml:space="preserve"> </w:t>
      </w:r>
      <w:hyperlink r:id="rId76">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77"/>
    <w:bookmarkStart w:id="79"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78">
        <w:r>
          <w:rPr>
            <w:rStyle w:val="Hyperlink"/>
          </w:rPr>
          <w:t xml:space="preserve">https://www.jstor.org/stable/3677163</w:t>
        </w:r>
      </w:hyperlink>
    </w:p>
    <w:bookmarkEnd w:id="79"/>
    <w:bookmarkStart w:id="81" w:name="ref-palacin2011"/>
    <w:p>
      <w:pPr>
        <w:pStyle w:val="Bibliography"/>
      </w:pPr>
      <w:r>
        <w:t xml:space="preserve">11. Palacín C, Alonso JC, Alonso JA, Magaña M, Martín CA.</w:t>
      </w:r>
      <w:r>
        <w:t xml:space="preserve"> </w:t>
      </w:r>
      <w:hyperlink r:id="rId80">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81"/>
    <w:bookmarkStart w:id="83" w:name="ref-jesmer2018"/>
    <w:p>
      <w:pPr>
        <w:pStyle w:val="Bibliography"/>
      </w:pPr>
      <w:r>
        <w:t xml:space="preserve">12. Jesmer BR, Merkle JA, Goheen JR, Aikens EO, Beck JL, Courtemanch AB, et al.</w:t>
      </w:r>
      <w:r>
        <w:t xml:space="preserve"> </w:t>
      </w:r>
      <w:hyperlink r:id="rId82">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83"/>
    <w:bookmarkStart w:id="84"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84"/>
    <w:bookmarkStart w:id="85"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85"/>
    <w:bookmarkStart w:id="86"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Waterbirds. 2002;25:296–300.</w:t>
      </w:r>
    </w:p>
    <w:bookmarkEnd w:id="86"/>
    <w:bookmarkStart w:id="87"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87"/>
    <w:bookmarkStart w:id="88"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88"/>
    <w:bookmarkStart w:id="90" w:name="ref-baskin1993"/>
    <w:p>
      <w:pPr>
        <w:pStyle w:val="Bibliography"/>
      </w:pPr>
      <w:r>
        <w:t xml:space="preserve">18. Baskin Y.</w:t>
      </w:r>
      <w:r>
        <w:t xml:space="preserve"> </w:t>
      </w:r>
      <w:hyperlink r:id="rId89">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90"/>
    <w:bookmarkStart w:id="92" w:name="ref-oyler-mccance2007"/>
    <w:p>
      <w:pPr>
        <w:pStyle w:val="Bibliography"/>
      </w:pPr>
      <w:r>
        <w:t xml:space="preserve">19. Oyler-McCance SJ, Ransler FA, Berkman LK, Quinn TW.</w:t>
      </w:r>
      <w:r>
        <w:t xml:space="preserve"> </w:t>
      </w:r>
      <w:hyperlink r:id="rId91">
        <w:r>
          <w:rPr>
            <w:rStyle w:val="Hyperlink"/>
          </w:rPr>
          <w:t xml:space="preserve">A rangewide population genetic study of trumpeter swans</w:t>
        </w:r>
      </w:hyperlink>
      <w:r>
        <w:t xml:space="preserve">. Conservation Genetics. 2007;8:1339–53.</w:t>
      </w:r>
    </w:p>
    <w:bookmarkEnd w:id="92"/>
    <w:bookmarkStart w:id="93"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93"/>
    <w:bookmarkStart w:id="94" w:name="ref-alerstam2003"/>
    <w:p>
      <w:pPr>
        <w:pStyle w:val="Bibliography"/>
      </w:pPr>
      <w:r>
        <w:t xml:space="preserve">21. Alerstam T, Hedenström A, Akesson S. Long-distance migration: Evolution and determinants. Oikos. 2003;103:247–60.</w:t>
      </w:r>
    </w:p>
    <w:bookmarkEnd w:id="94"/>
    <w:bookmarkStart w:id="96" w:name="ref-dingle2007"/>
    <w:p>
      <w:pPr>
        <w:pStyle w:val="Bibliography"/>
      </w:pPr>
      <w:r>
        <w:t xml:space="preserve">22. Dingle H, Drake VA.</w:t>
      </w:r>
      <w:r>
        <w:t xml:space="preserve"> </w:t>
      </w:r>
      <w:hyperlink r:id="rId95">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96"/>
    <w:bookmarkStart w:id="98" w:name="ref-chapman2011"/>
    <w:p>
      <w:pPr>
        <w:pStyle w:val="Bibliography"/>
      </w:pPr>
      <w:r>
        <w:t xml:space="preserve">23. Chapman BB, Brönmark C, Nilsson J-Å, Hansson L-A.</w:t>
      </w:r>
      <w:r>
        <w:t xml:space="preserve"> </w:t>
      </w:r>
      <w:hyperlink r:id="rId97">
        <w:r>
          <w:rPr>
            <w:rStyle w:val="Hyperlink"/>
          </w:rPr>
          <w:t xml:space="preserve">The ecology and evolution of partial migration</w:t>
        </w:r>
      </w:hyperlink>
      <w:r>
        <w:t xml:space="preserve">. Oikos. 2011;120:1764–75.</w:t>
      </w:r>
    </w:p>
    <w:bookmarkEnd w:id="98"/>
    <w:bookmarkStart w:id="100" w:name="ref-dawson2000"/>
    <w:p>
      <w:pPr>
        <w:pStyle w:val="Bibliography"/>
      </w:pPr>
      <w:r>
        <w:t xml:space="preserve">24. Dawson RD, Clark RG.</w:t>
      </w:r>
      <w:r>
        <w:t xml:space="preserve"> </w:t>
      </w:r>
      <w:hyperlink r:id="rId99">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00"/>
    <w:bookmarkStart w:id="102"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01">
        <w:r>
          <w:rPr>
            <w:rStyle w:val="Hyperlink"/>
          </w:rPr>
          <w:t xml:space="preserve">https://www.jstor.org/stable/3803090</w:t>
        </w:r>
      </w:hyperlink>
    </w:p>
    <w:bookmarkEnd w:id="102"/>
    <w:bookmarkStart w:id="104" w:name="ref-blums2002"/>
    <w:p>
      <w:pPr>
        <w:pStyle w:val="Bibliography"/>
      </w:pPr>
      <w:r>
        <w:t xml:space="preserve">26. Blums P, Clark RG, Mednis A.</w:t>
      </w:r>
      <w:r>
        <w:t xml:space="preserve"> </w:t>
      </w:r>
      <w:hyperlink r:id="rId103">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04"/>
    <w:bookmarkStart w:id="106" w:name="ref-lok2017"/>
    <w:p>
      <w:pPr>
        <w:pStyle w:val="Bibliography"/>
      </w:pPr>
      <w:r>
        <w:t xml:space="preserve">27. Lok T, Veldhoen L, Overdijk O, Tinbergen JM, Piersma T.</w:t>
      </w:r>
      <w:r>
        <w:t xml:space="preserve"> </w:t>
      </w:r>
      <w:hyperlink r:id="rId105">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06"/>
    <w:bookmarkStart w:id="108" w:name="ref-winger2021"/>
    <w:p>
      <w:pPr>
        <w:pStyle w:val="Bibliography"/>
      </w:pPr>
      <w:r>
        <w:t xml:space="preserve">28. Winger BM, Pegan TM.</w:t>
      </w:r>
      <w:r>
        <w:t xml:space="preserve"> </w:t>
      </w:r>
      <w:hyperlink r:id="rId107">
        <w:r>
          <w:rPr>
            <w:rStyle w:val="Hyperlink"/>
          </w:rPr>
          <w:t xml:space="preserve">Migration distance is a fundamental axis of the slow-fast continuum of life history in boreal birds</w:t>
        </w:r>
      </w:hyperlink>
      <w:r>
        <w:t xml:space="preserve">. Ornithology. 2021;138:ukab043.</w:t>
      </w:r>
    </w:p>
    <w:bookmarkEnd w:id="108"/>
    <w:bookmarkStart w:id="110" w:name="ref-sillett2002"/>
    <w:p>
      <w:pPr>
        <w:pStyle w:val="Bibliography"/>
      </w:pPr>
      <w:r>
        <w:t xml:space="preserve">29. Sillett TS, Holmes RT.</w:t>
      </w:r>
      <w:r>
        <w:t xml:space="preserve"> </w:t>
      </w:r>
      <w:hyperlink r:id="rId109">
        <w:r>
          <w:rPr>
            <w:rStyle w:val="Hyperlink"/>
          </w:rPr>
          <w:t xml:space="preserve">Variation in survivorship of a migratory songbird throughout its annual cycle</w:t>
        </w:r>
      </w:hyperlink>
      <w:r>
        <w:t xml:space="preserve">. Journal of Animal Ecology. 2002;71:296–308.</w:t>
      </w:r>
    </w:p>
    <w:bookmarkEnd w:id="110"/>
    <w:bookmarkStart w:id="112" w:name="ref-rushing2017"/>
    <w:p>
      <w:pPr>
        <w:pStyle w:val="Bibliography"/>
      </w:pPr>
      <w:r>
        <w:t xml:space="preserve">30. Rushing CS, Hostetler JA, Sillett TS, Marra PP, Rotenberg JA, Ryder TB.</w:t>
      </w:r>
      <w:r>
        <w:t xml:space="preserve"> </w:t>
      </w:r>
      <w:hyperlink r:id="rId111">
        <w:r>
          <w:rPr>
            <w:rStyle w:val="Hyperlink"/>
          </w:rPr>
          <w:t xml:space="preserve">Spatial and temporal drivers of avian population dynamics across the annual cycle</w:t>
        </w:r>
      </w:hyperlink>
      <w:r>
        <w:t xml:space="preserve">. Ecology. 2017;98:2837–50.</w:t>
      </w:r>
    </w:p>
    <w:bookmarkEnd w:id="112"/>
    <w:bookmarkStart w:id="114" w:name="ref-somveille2015"/>
    <w:p>
      <w:pPr>
        <w:pStyle w:val="Bibliography"/>
      </w:pPr>
      <w:r>
        <w:t xml:space="preserve">31. Somveille M, Rodrigues ASL, Manica A.</w:t>
      </w:r>
      <w:r>
        <w:t xml:space="preserve"> </w:t>
      </w:r>
      <w:hyperlink r:id="rId113">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14"/>
    <w:bookmarkStart w:id="115"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15"/>
    <w:bookmarkStart w:id="117" w:name="ref-lasorte2014"/>
    <w:p>
      <w:pPr>
        <w:pStyle w:val="Bibliography"/>
      </w:pPr>
      <w:r>
        <w:t xml:space="preserve">33. La Sorte FA, Fink D, Hochachka WM, DeLong JP, Kelling S.</w:t>
      </w:r>
      <w:r>
        <w:t xml:space="preserve"> </w:t>
      </w:r>
      <w:hyperlink r:id="rId116">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17"/>
    <w:bookmarkStart w:id="119" w:name="ref-lasorte2021"/>
    <w:p>
      <w:pPr>
        <w:pStyle w:val="Bibliography"/>
      </w:pPr>
      <w:r>
        <w:t xml:space="preserve">34. La Sorte FA, Graham CH.</w:t>
      </w:r>
      <w:r>
        <w:t xml:space="preserve"> </w:t>
      </w:r>
      <w:hyperlink r:id="rId118">
        <w:r>
          <w:rPr>
            <w:rStyle w:val="Hyperlink"/>
          </w:rPr>
          <w:t xml:space="preserve">Phenological synchronization of seasonal bird migration with vegetation greenness across dietary guilds</w:t>
        </w:r>
      </w:hyperlink>
      <w:r>
        <w:t xml:space="preserve">. Journal of Animal Ecology. 2021;90:343–55.</w:t>
      </w:r>
    </w:p>
    <w:bookmarkEnd w:id="119"/>
    <w:bookmarkStart w:id="121" w:name="ref-schummer2010"/>
    <w:p>
      <w:pPr>
        <w:pStyle w:val="Bibliography"/>
      </w:pPr>
      <w:r>
        <w:t xml:space="preserve">35. Schummer ML, Kaminski RM, Raedeke AH, Graber DA.</w:t>
      </w:r>
      <w:r>
        <w:t xml:space="preserve"> </w:t>
      </w:r>
      <w:hyperlink r:id="rId120">
        <w:r>
          <w:rPr>
            <w:rStyle w:val="Hyperlink"/>
          </w:rPr>
          <w:t xml:space="preserve">Weather-</w:t>
        </w:r>
        <w:r>
          <w:rPr>
            <w:rStyle w:val="Hyperlink"/>
          </w:rPr>
          <w:t xml:space="preserve">Related Indices</w:t>
        </w:r>
        <w:r>
          <w:rPr>
            <w:rStyle w:val="Hyperlink"/>
          </w:rPr>
          <w:t xml:space="preserve"> </w:t>
        </w:r>
        <w:r>
          <w:rPr>
            <w:rStyle w:val="Hyperlink"/>
          </w:rPr>
          <w:t xml:space="preserve">of</w:t>
        </w:r>
        <w:r>
          <w:rPr>
            <w:rStyle w:val="Hyperlink"/>
          </w:rPr>
          <w:t xml:space="preserve"> </w:t>
        </w:r>
        <w:r>
          <w:rPr>
            <w:rStyle w:val="Hyperlink"/>
          </w:rPr>
          <w:t xml:space="preserve">Autumn</w:t>
        </w:r>
        <w:r>
          <w:rPr>
            <w:rStyle w:val="Hyperlink"/>
          </w:rPr>
          <w:t xml:space="preserve"> </w:t>
        </w:r>
        <w:r>
          <w:rPr>
            <w:rStyle w:val="Hyperlink"/>
          </w:rPr>
          <w:t xml:space="preserve">Winter Dabbling Duck Abundance</w:t>
        </w:r>
        <w:r>
          <w:rPr>
            <w:rStyle w:val="Hyperlink"/>
          </w:rPr>
          <w:t xml:space="preserve"> </w:t>
        </w:r>
        <w:r>
          <w:rPr>
            <w:rStyle w:val="Hyperlink"/>
          </w:rPr>
          <w:t xml:space="preserve">in</w:t>
        </w:r>
        <w:r>
          <w:rPr>
            <w:rStyle w:val="Hyperlink"/>
          </w:rPr>
          <w:t xml:space="preserve"> </w:t>
        </w:r>
        <w:r>
          <w:rPr>
            <w:rStyle w:val="Hyperlink"/>
          </w:rPr>
          <w:t xml:space="preserve">Middle North America</w:t>
        </w:r>
      </w:hyperlink>
      <w:r>
        <w:t xml:space="preserve">. The Journal of Wildlife Management. 2010;74:94–101.</w:t>
      </w:r>
    </w:p>
    <w:bookmarkEnd w:id="121"/>
    <w:bookmarkStart w:id="123" w:name="ref-xu2019a"/>
    <w:p>
      <w:pPr>
        <w:pStyle w:val="Bibliography"/>
      </w:pPr>
      <w:r>
        <w:t xml:space="preserve">36. Xu F, Si Y.</w:t>
      </w:r>
      <w:r>
        <w:t xml:space="preserve"> </w:t>
      </w:r>
      <w:hyperlink r:id="rId122">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23"/>
    <w:bookmarkStart w:id="124" w:name="ref-stafford2014a"/>
    <w:p>
      <w:pPr>
        <w:pStyle w:val="Bibliography"/>
      </w:pPr>
      <w:r>
        <w:t xml:space="preserve">37. Stafford JD, Janke AK, Anteau MJ, Pearse AT, Fox AD, Elmberg J, et al. Spring migration of waterfowl in the northern hemisphere: A conservation perspective. Wildfowl. 2014;70.</w:t>
      </w:r>
    </w:p>
    <w:bookmarkEnd w:id="124"/>
    <w:bookmarkStart w:id="126" w:name="ref-lundberg1988"/>
    <w:p>
      <w:pPr>
        <w:pStyle w:val="Bibliography"/>
      </w:pPr>
      <w:r>
        <w:t xml:space="preserve">38. Lundberg P.</w:t>
      </w:r>
      <w:r>
        <w:t xml:space="preserve"> </w:t>
      </w:r>
      <w:hyperlink r:id="rId125">
        <w:r>
          <w:rPr>
            <w:rStyle w:val="Hyperlink"/>
          </w:rPr>
          <w:t xml:space="preserve">The evolution of partial migration in</w:t>
        </w:r>
        <w:r>
          <w:rPr>
            <w:rStyle w:val="Hyperlink"/>
          </w:rPr>
          <w:t xml:space="preserve"> </w:t>
        </w:r>
        <w:r>
          <w:rPr>
            <w:rStyle w:val="Hyperlink"/>
          </w:rPr>
          <w:t xml:space="preserve">Birds</w:t>
        </w:r>
      </w:hyperlink>
      <w:r>
        <w:t xml:space="preserve">. Trends in Ecology &amp; Evolution. 1988;3:172–5.</w:t>
      </w:r>
    </w:p>
    <w:bookmarkEnd w:id="126"/>
    <w:bookmarkStart w:id="128" w:name="ref-lundberg2013"/>
    <w:p>
      <w:pPr>
        <w:pStyle w:val="Bibliography"/>
      </w:pPr>
      <w:r>
        <w:t xml:space="preserve">39. Lundberg P.</w:t>
      </w:r>
      <w:r>
        <w:t xml:space="preserve"> </w:t>
      </w:r>
      <w:hyperlink r:id="rId127">
        <w:r>
          <w:rPr>
            <w:rStyle w:val="Hyperlink"/>
          </w:rPr>
          <w:t xml:space="preserve">On the evolutionary stability of partial migration</w:t>
        </w:r>
      </w:hyperlink>
      <w:r>
        <w:t xml:space="preserve">. Journal of Theoretical Biology. 2013;321:36–9.</w:t>
      </w:r>
    </w:p>
    <w:bookmarkEnd w:id="128"/>
    <w:bookmarkStart w:id="129"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29"/>
    <w:bookmarkStart w:id="131" w:name="ref-eltringham1978"/>
    <w:p>
      <w:pPr>
        <w:pStyle w:val="Bibliography"/>
      </w:pPr>
      <w:r>
        <w:t xml:space="preserve">41. Eltringham SK.</w:t>
      </w:r>
      <w:r>
        <w:t xml:space="preserve"> </w:t>
      </w:r>
      <w:hyperlink r:id="rId130">
        <w:r>
          <w:rPr>
            <w:rStyle w:val="Hyperlink"/>
          </w:rPr>
          <w:t xml:space="preserve">Methods of capturing wild animals for marking purposes</w:t>
        </w:r>
      </w:hyperlink>
      <w:r>
        <w:t xml:space="preserve">. In: Stonehouse B,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London</w:t>
      </w:r>
      <w:r>
        <w:t xml:space="preserve">:</w:t>
      </w:r>
      <w:r>
        <w:t xml:space="preserve"> </w:t>
      </w:r>
      <w:r>
        <w:t xml:space="preserve">Macmillan Education UK</w:t>
      </w:r>
      <w:r>
        <w:t xml:space="preserve">; 1978. p. 13–23.</w:t>
      </w:r>
    </w:p>
    <w:bookmarkEnd w:id="131"/>
    <w:bookmarkStart w:id="132" w:name="ref-hindman2016"/>
    <w:p>
      <w:pPr>
        <w:pStyle w:val="Bibliography"/>
      </w:pPr>
      <w:r>
        <w:t xml:space="preserve">42. Hindman LJ, Iv WFH, Walbridge HR, Hooper M, Driscoll CP.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32"/>
    <w:bookmarkStart w:id="133"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33"/>
    <w:bookmarkStart w:id="135" w:name="ref-soriano-redondo2020"/>
    <w:p>
      <w:pPr>
        <w:pStyle w:val="Bibliography"/>
      </w:pPr>
      <w:r>
        <w:t xml:space="preserve">44. Soriano-Redondo A, Acácio M, Franco AMA, Martins BH, Moreira F, Rogerson K, et al.</w:t>
      </w:r>
      <w:r>
        <w:t xml:space="preserve"> </w:t>
      </w:r>
      <w:hyperlink r:id="rId134">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35"/>
    <w:bookmarkStart w:id="137" w:name="ref-vandekerk2021"/>
    <w:p>
      <w:pPr>
        <w:pStyle w:val="Bibliography"/>
      </w:pPr>
      <w:r>
        <w:t xml:space="preserve">45. van de Kerk M, Larsen RT, Olson DD, Hersey KR, McMillan BR.</w:t>
      </w:r>
      <w:r>
        <w:t xml:space="preserve"> </w:t>
      </w:r>
      <w:hyperlink r:id="rId136">
        <w:r>
          <w:rPr>
            <w:rStyle w:val="Hyperlink"/>
          </w:rPr>
          <w:t xml:space="preserve">Variation in movement patterns of mule deer: Have we oversimplified migration?</w:t>
        </w:r>
      </w:hyperlink>
      <w:r>
        <w:t xml:space="preserve"> Movement Ecology. 2021;9:44.</w:t>
      </w:r>
    </w:p>
    <w:bookmarkEnd w:id="137"/>
    <w:bookmarkStart w:id="139" w:name="ref-wolfson2022"/>
    <w:p>
      <w:pPr>
        <w:pStyle w:val="Bibliography"/>
      </w:pPr>
      <w:r>
        <w:t xml:space="preserve">46. Wolfson DW, Andersen DE, Fieberg JR.</w:t>
      </w:r>
      <w:r>
        <w:t xml:space="preserve"> </w:t>
      </w:r>
      <w:hyperlink r:id="rId138">
        <w:r>
          <w:rPr>
            <w:rStyle w:val="Hyperlink"/>
          </w:rPr>
          <w:t xml:space="preserve">Using piecewise regression to identify biological phenomena in biotelemetry datasets</w:t>
        </w:r>
      </w:hyperlink>
      <w:r>
        <w:t xml:space="preserve">. Journal of Animal Ecology. 2022;1365–2656.13779.</w:t>
      </w:r>
    </w:p>
    <w:bookmarkEnd w:id="139"/>
    <w:bookmarkStart w:id="140" w:name="ref-plummer2003"/>
    <w:p>
      <w:pPr>
        <w:pStyle w:val="Bibliography"/>
      </w:pPr>
      <w:r>
        <w:t xml:space="preserve">47.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40"/>
    <w:bookmarkStart w:id="142" w:name="ref-lindelov2020"/>
    <w:p>
      <w:pPr>
        <w:pStyle w:val="Bibliography"/>
      </w:pPr>
      <w:r>
        <w:t xml:space="preserve">48. Lindeløv JK.</w:t>
      </w:r>
      <w:r>
        <w:t xml:space="preserve"> </w:t>
      </w:r>
      <w:hyperlink r:id="rId141">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42"/>
    <w:bookmarkStart w:id="143" w:name="ref-rcoredevelopmentteam2022"/>
    <w:p>
      <w:pPr>
        <w:pStyle w:val="Bibliography"/>
      </w:pPr>
      <w:r>
        <w:t xml:space="preserve">49.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43"/>
    <w:bookmarkStart w:id="145" w:name="ref-bengtsson2021"/>
    <w:p>
      <w:pPr>
        <w:pStyle w:val="Bibliography"/>
      </w:pPr>
      <w:r>
        <w:t xml:space="preserve">50. Bengtsson H.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[Internet]. 2021 [cited 2022 Dec 29];13:208. Available from:</w:t>
      </w:r>
      <w:r>
        <w:t xml:space="preserve"> </w:t>
      </w:r>
      <w:hyperlink r:id="rId144">
        <w:r>
          <w:rPr>
            <w:rStyle w:val="Hyperlink"/>
          </w:rPr>
          <w:t xml:space="preserve">https://arxiv.org/abs/2008.00553</w:t>
        </w:r>
      </w:hyperlink>
    </w:p>
    <w:bookmarkEnd w:id="145"/>
    <w:bookmarkStart w:id="147" w:name="ref-brooks1998"/>
    <w:p>
      <w:pPr>
        <w:pStyle w:val="Bibliography"/>
      </w:pPr>
      <w:r>
        <w:t xml:space="preserve">51. Brooks SP, Gelman A.</w:t>
      </w:r>
      <w:r>
        <w:t xml:space="preserve"> </w:t>
      </w:r>
      <w:hyperlink r:id="rId146">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1998;7:434–55.</w:t>
      </w:r>
    </w:p>
    <w:bookmarkEnd w:id="147"/>
    <w:bookmarkStart w:id="149" w:name="ref-gelman2014"/>
    <w:p>
      <w:pPr>
        <w:pStyle w:val="Bibliography"/>
      </w:pPr>
      <w:r>
        <w:t xml:space="preserve">52. Gelman A, Hwang J, Vehtari A.</w:t>
      </w:r>
      <w:r>
        <w:t xml:space="preserve"> </w:t>
      </w:r>
      <w:hyperlink r:id="rId148">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2014;24:997–1016.</w:t>
      </w:r>
    </w:p>
    <w:bookmarkEnd w:id="149"/>
    <w:bookmarkStart w:id="151" w:name="ref-vehtari2017"/>
    <w:p>
      <w:pPr>
        <w:pStyle w:val="Bibliography"/>
      </w:pPr>
      <w:r>
        <w:t xml:space="preserve">53. Vehtari A, Gelman A, Gabry J.</w:t>
      </w:r>
      <w:r>
        <w:t xml:space="preserve"> </w:t>
      </w:r>
      <w:hyperlink r:id="rId150">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2017;27:1413–32.</w:t>
      </w:r>
    </w:p>
    <w:bookmarkEnd w:id="151"/>
    <w:bookmarkStart w:id="152" w:name="ref-su2021b"/>
    <w:p>
      <w:pPr>
        <w:pStyle w:val="Bibliography"/>
      </w:pPr>
      <w:r>
        <w:t xml:space="preserve">54.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52"/>
    <w:bookmarkStart w:id="153" w:name="ref-bates2014"/>
    <w:p>
      <w:pPr>
        <w:pStyle w:val="Bibliography"/>
      </w:pPr>
      <w:r>
        <w:t xml:space="preserve">55. Bates D, Mächler M, Bolker B, Walker S. Fitting</w:t>
      </w:r>
      <w:r>
        <w:t xml:space="preserve"> </w:t>
      </w:r>
      <w:r>
        <w:t xml:space="preserve">Linear Mixed-Effects Models</w:t>
      </w:r>
      <w:r>
        <w:t xml:space="preserve"> </w:t>
      </w:r>
      <w:r>
        <w:t xml:space="preserve">using Lme4. arXiv. 2014;</w:t>
      </w:r>
    </w:p>
    <w:bookmarkEnd w:id="153"/>
    <w:bookmarkStart w:id="155" w:name="ref-conklin2010"/>
    <w:p>
      <w:pPr>
        <w:pStyle w:val="Bibliography"/>
      </w:pPr>
      <w:r>
        <w:t xml:space="preserve">56. Conklin JR, Battley PF, Potter MA, Fox JW.</w:t>
      </w:r>
      <w:r>
        <w:t xml:space="preserve"> </w:t>
      </w:r>
      <w:hyperlink r:id="rId154">
        <w:r>
          <w:rPr>
            <w:rStyle w:val="Hyperlink"/>
          </w:rPr>
          <w:t xml:space="preserve">Breeding latitude drives individual schedules in a trans-hemispheric migrant bird</w:t>
        </w:r>
      </w:hyperlink>
      <w:r>
        <w:t xml:space="preserve">. Nature Communications. 2010;1:67.</w:t>
      </w:r>
    </w:p>
    <w:bookmarkEnd w:id="155"/>
    <w:bookmarkStart w:id="157" w:name="ref-vanwijk2012b"/>
    <w:p>
      <w:pPr>
        <w:pStyle w:val="Bibliography"/>
      </w:pPr>
      <w:r>
        <w:t xml:space="preserve">57. van Wijk RE, Kölzsch A, Kruckenberg H, Ebbinge BS, Müskens GJDM, Nolet BA.</w:t>
      </w:r>
      <w:r>
        <w:t xml:space="preserve"> </w:t>
      </w:r>
      <w:hyperlink r:id="rId156">
        <w:r>
          <w:rPr>
            <w:rStyle w:val="Hyperlink"/>
          </w:rPr>
          <w:t xml:space="preserve">Individually tracked geese follow peaks of temperature acceleration during spring migration</w:t>
        </w:r>
      </w:hyperlink>
      <w:r>
        <w:t xml:space="preserve">. Oikos. 2012;121:655–64.</w:t>
      </w:r>
    </w:p>
    <w:bookmarkEnd w:id="157"/>
    <w:bookmarkStart w:id="159" w:name="ref-nilsson2013"/>
    <w:p>
      <w:pPr>
        <w:pStyle w:val="Bibliography"/>
      </w:pPr>
      <w:r>
        <w:t xml:space="preserve">58. Nilsson C, Klaassen RHG, Alerstam T.</w:t>
      </w:r>
      <w:r>
        <w:t xml:space="preserve"> </w:t>
      </w:r>
      <w:hyperlink r:id="rId158">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59"/>
    <w:bookmarkStart w:id="161" w:name="ref-akesson2020"/>
    <w:p>
      <w:pPr>
        <w:pStyle w:val="Bibliography"/>
      </w:pPr>
      <w:r>
        <w:t xml:space="preserve">59. Åkesson S, Helm B.</w:t>
      </w:r>
      <w:r>
        <w:t xml:space="preserve"> </w:t>
      </w:r>
      <w:hyperlink r:id="rId160">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2020;8.</w:t>
      </w:r>
    </w:p>
    <w:bookmarkEnd w:id="161"/>
    <w:bookmarkStart w:id="162" w:name="ref-berthold1991"/>
    <w:p>
      <w:pPr>
        <w:pStyle w:val="Bibliography"/>
      </w:pPr>
      <w:r>
        <w:t xml:space="preserve">60. Berthold P. Genetic control of migratory behaviour in birds. Trends in Ecology &amp; Evolution. 1991;6:254–7.</w:t>
      </w:r>
    </w:p>
    <w:bookmarkEnd w:id="162"/>
    <w:bookmarkStart w:id="164" w:name="ref-sasaki2017"/>
    <w:p>
      <w:pPr>
        <w:pStyle w:val="Bibliography"/>
      </w:pPr>
      <w:r>
        <w:t xml:space="preserve">61. Sasaki T, Biro D.</w:t>
      </w:r>
      <w:r>
        <w:t xml:space="preserve"> </w:t>
      </w:r>
      <w:hyperlink r:id="rId163">
        <w:r>
          <w:rPr>
            <w:rStyle w:val="Hyperlink"/>
          </w:rPr>
          <w:t xml:space="preserve">Cumulative culture can emerge from collective intelligence in animal groups</w:t>
        </w:r>
      </w:hyperlink>
      <w:r>
        <w:t xml:space="preserve">. Nature Communications. 2017;8:15049.</w:t>
      </w:r>
    </w:p>
    <w:bookmarkEnd w:id="164"/>
    <w:bookmarkStart w:id="166" w:name="ref-ransler2011"/>
    <w:p>
      <w:pPr>
        <w:pStyle w:val="Bibliography"/>
      </w:pPr>
      <w:r>
        <w:t xml:space="preserve">62. Ransler FA, Quinn TW, Oyler-McCance SJ.</w:t>
      </w:r>
      <w:r>
        <w:t xml:space="preserve"> </w:t>
      </w:r>
      <w:hyperlink r:id="rId165">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2011;12:257–68.</w:t>
      </w:r>
    </w:p>
    <w:bookmarkEnd w:id="166"/>
    <w:bookmarkStart w:id="168" w:name="ref-pulido2011"/>
    <w:p>
      <w:pPr>
        <w:pStyle w:val="Bibliography"/>
      </w:pPr>
      <w:r>
        <w:t xml:space="preserve">63. Pulido F.</w:t>
      </w:r>
      <w:r>
        <w:t xml:space="preserve"> </w:t>
      </w:r>
      <w:hyperlink r:id="rId167">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2011;120:1776–83.</w:t>
      </w:r>
    </w:p>
    <w:bookmarkEnd w:id="168"/>
    <w:bookmarkStart w:id="170" w:name="ref-ellis1989"/>
    <w:p>
      <w:pPr>
        <w:pStyle w:val="Bibliography"/>
      </w:pPr>
      <w:r>
        <w:t xml:space="preserve">64. Ellis CR, Stefan HG.</w:t>
      </w:r>
      <w:r>
        <w:t xml:space="preserve"> </w:t>
      </w:r>
      <w:hyperlink r:id="rId169">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1989;25:1169–76.</w:t>
      </w:r>
    </w:p>
    <w:bookmarkEnd w:id="170"/>
    <w:bookmarkStart w:id="171" w:name="ref-slater2006"/>
    <w:p>
      <w:pPr>
        <w:pStyle w:val="Bibliography"/>
      </w:pPr>
      <w:r>
        <w:t xml:space="preserve">65. Slater G. Trumpeter</w:t>
      </w:r>
      <w:r>
        <w:t xml:space="preserve"> </w:t>
      </w:r>
      <w:r>
        <w:t xml:space="preserve">Swan</w:t>
      </w:r>
      <w:r>
        <w:t xml:space="preserve"> </w:t>
      </w:r>
      <w:r>
        <w:t xml:space="preserve">(</w:t>
      </w:r>
      <w:r>
        <w:t xml:space="preserve">Cygnus</w:t>
      </w:r>
      <w:r>
        <w:t xml:space="preserve"> </w:t>
      </w:r>
      <w:r>
        <w:t xml:space="preserve">buccinator): A technical conservation assessment.</w:t>
      </w:r>
      <w:r>
        <w:t xml:space="preserve"> </w:t>
      </w:r>
      <w:r>
        <w:t xml:space="preserve">USDA Forest Service, Rocky Mountain Region</w:t>
      </w:r>
      <w:r>
        <w:t xml:space="preserve">; 2006 p. 1–39.</w:t>
      </w:r>
    </w:p>
    <w:bookmarkEnd w:id="171"/>
    <w:bookmarkStart w:id="173" w:name="ref-ballard2021a"/>
    <w:p>
      <w:pPr>
        <w:pStyle w:val="Bibliography"/>
      </w:pPr>
      <w:r>
        <w:t xml:space="preserve">66. Ballard DC, Jones III OE, Janke AK.</w:t>
      </w:r>
      <w:r>
        <w:t xml:space="preserve"> </w:t>
      </w:r>
      <w:hyperlink r:id="rId172">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173"/>
    <w:bookmarkStart w:id="175" w:name="ref-satterfield2018"/>
    <w:p>
      <w:pPr>
        <w:pStyle w:val="Bibliography"/>
      </w:pPr>
      <w:r>
        <w:t xml:space="preserve">67. Satterfield DA, Marra PP, Sillett TS, Altizer S.</w:t>
      </w:r>
      <w:r>
        <w:t xml:space="preserve"> </w:t>
      </w:r>
      <w:hyperlink r:id="rId174">
        <w:r>
          <w:rPr>
            <w:rStyle w:val="Hyperlink"/>
          </w:rPr>
          <w:t xml:space="preserve">Responses of migratory species and their pathogens to supplemental feeding</w:t>
        </w:r>
      </w:hyperlink>
      <w:r>
        <w:t xml:space="preserve">. Philosophical Transactions of the Royal Society B: Biological Sciences. 2018;373:20170094.</w:t>
      </w:r>
    </w:p>
    <w:bookmarkEnd w:id="175"/>
    <w:bookmarkStart w:id="176" w:name="ref-varner2008"/>
    <w:p>
      <w:pPr>
        <w:pStyle w:val="Bibliography"/>
      </w:pPr>
      <w:r>
        <w:t xml:space="preserve">68.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176"/>
    <w:bookmarkStart w:id="177" w:name="ref-baldassarre2014"/>
    <w:p>
      <w:pPr>
        <w:pStyle w:val="Bibliography"/>
      </w:pPr>
      <w:r>
        <w:t xml:space="preserve">69.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177"/>
    <w:bookmarkStart w:id="179" w:name="ref-reese2017"/>
    <w:p>
      <w:pPr>
        <w:pStyle w:val="Bibliography"/>
      </w:pPr>
      <w:r>
        <w:t xml:space="preserve">70. Reese GC, Skagen SK.</w:t>
      </w:r>
      <w:r>
        <w:t xml:space="preserve"> </w:t>
      </w:r>
      <w:hyperlink r:id="rId178">
        <w:r>
          <w:rPr>
            <w:rStyle w:val="Hyperlink"/>
          </w:rPr>
          <w:t xml:space="preserve">Modeling nonbreeding distributions of shorebirds and waterfowl in response to climate change</w:t>
        </w:r>
      </w:hyperlink>
      <w:r>
        <w:t xml:space="preserve">. Ecology and Evolution. 2017;7:1497–513.</w:t>
      </w:r>
    </w:p>
    <w:bookmarkEnd w:id="179"/>
    <w:bookmarkStart w:id="181" w:name="ref-nussey2005"/>
    <w:p>
      <w:pPr>
        <w:pStyle w:val="Bibliography"/>
      </w:pPr>
      <w:r>
        <w:t xml:space="preserve">71. Nussey DH, Postma E, Gienapp P, Visser ME.</w:t>
      </w:r>
      <w:r>
        <w:t xml:space="preserve"> </w:t>
      </w:r>
      <w:hyperlink r:id="rId180">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181"/>
    <w:bookmarkEnd w:id="182"/>
    <w:bookmarkEnd w:id="183"/>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tiff" /><Relationship Type="http://schemas.openxmlformats.org/officeDocument/2006/relationships/image" Id="rId26" Target="media/rId26.png" /><Relationship Type="http://schemas.openxmlformats.org/officeDocument/2006/relationships/image" Id="rId31" Target="media/rId31.tiff" /><Relationship Type="http://schemas.openxmlformats.org/officeDocument/2006/relationships/image" Id="rId48" Target="media/rId48.tiff" /><Relationship Type="http://schemas.openxmlformats.org/officeDocument/2006/relationships/image" Id="rId42" Target="media/rId42.tiff" /><Relationship Type="http://schemas.openxmlformats.org/officeDocument/2006/relationships/image" Id="rId38" Target="media/rId38.tiff" /><Relationship Type="http://schemas.openxmlformats.org/officeDocument/2006/relationships/hyperlink" Id="rId144" Target="https://arxiv.org/abs/2008.00553" TargetMode="External" /><Relationship Type="http://schemas.openxmlformats.org/officeDocument/2006/relationships/hyperlink" Id="rId178" Target="https://doi.org/10.1002/ece3.2755" TargetMode="External" /><Relationship Type="http://schemas.openxmlformats.org/officeDocument/2006/relationships/hyperlink" Id="rId111" Target="https://doi.org/10.1002/ecy.1967" TargetMode="External" /><Relationship Type="http://schemas.openxmlformats.org/officeDocument/2006/relationships/hyperlink" Id="rId172" Target="https://doi.org/10.1002/jwmg.22096" TargetMode="External" /><Relationship Type="http://schemas.openxmlformats.org/officeDocument/2006/relationships/hyperlink" Id="rId130" Target="https://doi.org/10.1007/978-1-349-03711-7_2" TargetMode="External" /><Relationship Type="http://schemas.openxmlformats.org/officeDocument/2006/relationships/hyperlink" Id="rId91" Target="https://doi.org/10.1007/s10592-006-9282-y" TargetMode="External" /><Relationship Type="http://schemas.openxmlformats.org/officeDocument/2006/relationships/hyperlink" Id="rId165" Target="https://doi.org/10.1007/s10592-010-0137-1" TargetMode="External" /><Relationship Type="http://schemas.openxmlformats.org/officeDocument/2006/relationships/hyperlink" Id="rId148" Target="https://doi.org/10.1007/s11222-013-9416-2" TargetMode="External" /><Relationship Type="http://schemas.openxmlformats.org/officeDocument/2006/relationships/hyperlink" Id="rId150" Target="https://doi.org/10.1007/s11222-016-9696-4" TargetMode="External" /><Relationship Type="http://schemas.openxmlformats.org/officeDocument/2006/relationships/hyperlink" Id="rId125" Target="https://doi.org/10.1016/0169-5347(88)90035-3" TargetMode="External" /><Relationship Type="http://schemas.openxmlformats.org/officeDocument/2006/relationships/hyperlink" Id="rId122" Target="https://doi.org/10.1016/j.ecolind.2019.02.024" TargetMode="External" /><Relationship Type="http://schemas.openxmlformats.org/officeDocument/2006/relationships/hyperlink" Id="rId127" Target="https://doi.org/10.1016/j.jtbi.2012.12.017" TargetMode="External" /><Relationship Type="http://schemas.openxmlformats.org/officeDocument/2006/relationships/hyperlink" Id="rId154" Target="https://doi.org/10.1038/ncomms1072" TargetMode="External" /><Relationship Type="http://schemas.openxmlformats.org/officeDocument/2006/relationships/hyperlink" Id="rId163" Target="https://doi.org/10.1038/ncomms15049" TargetMode="External" /><Relationship Type="http://schemas.openxmlformats.org/officeDocument/2006/relationships/hyperlink" Id="rId68" Target="https://doi.org/10.1038/s41467-021-27626-5" TargetMode="External" /><Relationship Type="http://schemas.openxmlformats.org/officeDocument/2006/relationships/hyperlink" Id="rId103" Target="https://doi.org/10.1046/j.1365-2656.2002.00598.x" TargetMode="External" /><Relationship Type="http://schemas.openxmlformats.org/officeDocument/2006/relationships/hyperlink" Id="rId109" Target="https://doi.org/10.1046/j.1365-2656.2002.00599.x" TargetMode="External" /><Relationship Type="http://schemas.openxmlformats.org/officeDocument/2006/relationships/hyperlink" Id="rId146" Target="https://doi.org/10.1080/10618600.1998.10474787" TargetMode="External" /><Relationship Type="http://schemas.openxmlformats.org/officeDocument/2006/relationships/hyperlink" Id="rId61" Target="https://doi.org/10.1086/284822" TargetMode="External" /><Relationship Type="http://schemas.openxmlformats.org/officeDocument/2006/relationships/hyperlink" Id="rId158" Target="https://doi.org/10.1086/670335" TargetMode="External" /><Relationship Type="http://schemas.openxmlformats.org/officeDocument/2006/relationships/hyperlink" Id="rId99" Target="https://doi.org/10.1093/condor/102.4.930" TargetMode="External" /><Relationship Type="http://schemas.openxmlformats.org/officeDocument/2006/relationships/hyperlink" Id="rId107" Target="https://doi.org/10.1093/ornithology/ukab043" TargetMode="External" /><Relationship Type="http://schemas.openxmlformats.org/officeDocument/2006/relationships/hyperlink" Id="rId116" Target="https://doi.org/10.1098/rspb.2014.0984" TargetMode="External" /><Relationship Type="http://schemas.openxmlformats.org/officeDocument/2006/relationships/hyperlink" Id="rId174" Target="https://doi.org/10.1098/rstb.2017.0094" TargetMode="External" /><Relationship Type="http://schemas.openxmlformats.org/officeDocument/2006/relationships/hyperlink" Id="rId105" Target="https://doi.org/10.1111/1365-2656.12706" TargetMode="External" /><Relationship Type="http://schemas.openxmlformats.org/officeDocument/2006/relationships/hyperlink" Id="rId118" Target="https://doi.org/10.1111/1365-2656.13345" TargetMode="External" /><Relationship Type="http://schemas.openxmlformats.org/officeDocument/2006/relationships/hyperlink" Id="rId138" Target="https://doi.org/10.1111/1365-2656.13779" TargetMode="External" /><Relationship Type="http://schemas.openxmlformats.org/officeDocument/2006/relationships/hyperlink" Id="rId64" Target="https://doi.org/10.1111/brv.12476" TargetMode="External" /><Relationship Type="http://schemas.openxmlformats.org/officeDocument/2006/relationships/hyperlink" Id="rId66" Target="https://doi.org/10.1111/conl.12850" TargetMode="External" /><Relationship Type="http://schemas.openxmlformats.org/officeDocument/2006/relationships/hyperlink" Id="rId113" Target="https://doi.org/10.1111/geb.12298" TargetMode="External" /><Relationship Type="http://schemas.openxmlformats.org/officeDocument/2006/relationships/hyperlink" Id="rId134" Target="https://doi.org/10.1111/ibi.12809" TargetMode="External" /><Relationship Type="http://schemas.openxmlformats.org/officeDocument/2006/relationships/hyperlink" Id="rId70" Target="https://doi.org/10.1111/j.1466-8238.2010.00638.x" TargetMode="External" /><Relationship Type="http://schemas.openxmlformats.org/officeDocument/2006/relationships/hyperlink" Id="rId80" Target="https://doi.org/10.1111/j.1600-048X.2011.05395.x" TargetMode="External" /><Relationship Type="http://schemas.openxmlformats.org/officeDocument/2006/relationships/hyperlink" Id="rId167" Target="https://doi.org/10.1111/j.1600-0706.2011.19844.x" TargetMode="External" /><Relationship Type="http://schemas.openxmlformats.org/officeDocument/2006/relationships/hyperlink" Id="rId156" Target="https://doi.org/10.1111/j.1600-0706.2011.20083.x" TargetMode="External" /><Relationship Type="http://schemas.openxmlformats.org/officeDocument/2006/relationships/hyperlink" Id="rId97" Target="https://doi.org/10.1111/j.1600-0706.2011.20131.x" TargetMode="External" /><Relationship Type="http://schemas.openxmlformats.org/officeDocument/2006/relationships/hyperlink" Id="rId169" Target="https://doi.org/10.1111/j.1752-1688.1989.tb01329.x" TargetMode="External" /><Relationship Type="http://schemas.openxmlformats.org/officeDocument/2006/relationships/hyperlink" Id="rId180" Target="https://doi.org/10.1126/science.1117004" TargetMode="External" /><Relationship Type="http://schemas.openxmlformats.org/officeDocument/2006/relationships/hyperlink" Id="rId76" Target="https://doi.org/10.1126/science.1237139" TargetMode="External" /><Relationship Type="http://schemas.openxmlformats.org/officeDocument/2006/relationships/hyperlink" Id="rId82" Target="https://doi.org/10.1126/science.aat0985" TargetMode="External" /><Relationship Type="http://schemas.openxmlformats.org/officeDocument/2006/relationships/hyperlink" Id="rId136" Target="https://doi.org/10.1186/s40462-021-00281-7" TargetMode="External" /><Relationship Type="http://schemas.openxmlformats.org/officeDocument/2006/relationships/hyperlink" Id="rId74" Target="https://doi.org/10.1242/jeb.00853" TargetMode="External" /><Relationship Type="http://schemas.openxmlformats.org/officeDocument/2006/relationships/hyperlink" Id="rId95" Target="https://doi.org/10.1641/B570206" TargetMode="External" /><Relationship Type="http://schemas.openxmlformats.org/officeDocument/2006/relationships/hyperlink" Id="rId120" Target="https://doi.org/10.2193/2008-524" TargetMode="External" /><Relationship Type="http://schemas.openxmlformats.org/officeDocument/2006/relationships/hyperlink" Id="rId89" Target="https://doi.org/10.2307/1311967" TargetMode="External" /><Relationship Type="http://schemas.openxmlformats.org/officeDocument/2006/relationships/hyperlink" Id="rId141" Target="https://doi.org/10.31219/osf.io/fzqxv" TargetMode="External" /><Relationship Type="http://schemas.openxmlformats.org/officeDocument/2006/relationships/hyperlink" Id="rId160" Target="https://doi.org/10.3389/fevo.2020.00078" TargetMode="External" /><Relationship Type="http://schemas.openxmlformats.org/officeDocument/2006/relationships/hyperlink" Id="rId72" Target="https://doi.org/10.3389/fevo.2020.00111" TargetMode="External" /><Relationship Type="http://schemas.openxmlformats.org/officeDocument/2006/relationships/hyperlink" Id="rId54" Target="https://github.com/dwwolfson/annual_mvmt" TargetMode="External" /><Relationship Type="http://schemas.openxmlformats.org/officeDocument/2006/relationships/hyperlink" Id="rId78" Target="https://www.jstor.org/stable/3677163" TargetMode="External" /><Relationship Type="http://schemas.openxmlformats.org/officeDocument/2006/relationships/hyperlink" Id="rId101"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44" Target="https://arxiv.org/abs/2008.00553" TargetMode="External" /><Relationship Type="http://schemas.openxmlformats.org/officeDocument/2006/relationships/hyperlink" Id="rId178" Target="https://doi.org/10.1002/ece3.2755" TargetMode="External" /><Relationship Type="http://schemas.openxmlformats.org/officeDocument/2006/relationships/hyperlink" Id="rId111" Target="https://doi.org/10.1002/ecy.1967" TargetMode="External" /><Relationship Type="http://schemas.openxmlformats.org/officeDocument/2006/relationships/hyperlink" Id="rId172" Target="https://doi.org/10.1002/jwmg.22096" TargetMode="External" /><Relationship Type="http://schemas.openxmlformats.org/officeDocument/2006/relationships/hyperlink" Id="rId130" Target="https://doi.org/10.1007/978-1-349-03711-7_2" TargetMode="External" /><Relationship Type="http://schemas.openxmlformats.org/officeDocument/2006/relationships/hyperlink" Id="rId91" Target="https://doi.org/10.1007/s10592-006-9282-y" TargetMode="External" /><Relationship Type="http://schemas.openxmlformats.org/officeDocument/2006/relationships/hyperlink" Id="rId165" Target="https://doi.org/10.1007/s10592-010-0137-1" TargetMode="External" /><Relationship Type="http://schemas.openxmlformats.org/officeDocument/2006/relationships/hyperlink" Id="rId148" Target="https://doi.org/10.1007/s11222-013-9416-2" TargetMode="External" /><Relationship Type="http://schemas.openxmlformats.org/officeDocument/2006/relationships/hyperlink" Id="rId150" Target="https://doi.org/10.1007/s11222-016-9696-4" TargetMode="External" /><Relationship Type="http://schemas.openxmlformats.org/officeDocument/2006/relationships/hyperlink" Id="rId125" Target="https://doi.org/10.1016/0169-5347(88)90035-3" TargetMode="External" /><Relationship Type="http://schemas.openxmlformats.org/officeDocument/2006/relationships/hyperlink" Id="rId122" Target="https://doi.org/10.1016/j.ecolind.2019.02.024" TargetMode="External" /><Relationship Type="http://schemas.openxmlformats.org/officeDocument/2006/relationships/hyperlink" Id="rId127" Target="https://doi.org/10.1016/j.jtbi.2012.12.017" TargetMode="External" /><Relationship Type="http://schemas.openxmlformats.org/officeDocument/2006/relationships/hyperlink" Id="rId154" Target="https://doi.org/10.1038/ncomms1072" TargetMode="External" /><Relationship Type="http://schemas.openxmlformats.org/officeDocument/2006/relationships/hyperlink" Id="rId163" Target="https://doi.org/10.1038/ncomms15049" TargetMode="External" /><Relationship Type="http://schemas.openxmlformats.org/officeDocument/2006/relationships/hyperlink" Id="rId68" Target="https://doi.org/10.1038/s41467-021-27626-5" TargetMode="External" /><Relationship Type="http://schemas.openxmlformats.org/officeDocument/2006/relationships/hyperlink" Id="rId103" Target="https://doi.org/10.1046/j.1365-2656.2002.00598.x" TargetMode="External" /><Relationship Type="http://schemas.openxmlformats.org/officeDocument/2006/relationships/hyperlink" Id="rId109" Target="https://doi.org/10.1046/j.1365-2656.2002.00599.x" TargetMode="External" /><Relationship Type="http://schemas.openxmlformats.org/officeDocument/2006/relationships/hyperlink" Id="rId146" Target="https://doi.org/10.1080/10618600.1998.10474787" TargetMode="External" /><Relationship Type="http://schemas.openxmlformats.org/officeDocument/2006/relationships/hyperlink" Id="rId61" Target="https://doi.org/10.1086/284822" TargetMode="External" /><Relationship Type="http://schemas.openxmlformats.org/officeDocument/2006/relationships/hyperlink" Id="rId158" Target="https://doi.org/10.1086/670335" TargetMode="External" /><Relationship Type="http://schemas.openxmlformats.org/officeDocument/2006/relationships/hyperlink" Id="rId99" Target="https://doi.org/10.1093/condor/102.4.930" TargetMode="External" /><Relationship Type="http://schemas.openxmlformats.org/officeDocument/2006/relationships/hyperlink" Id="rId107" Target="https://doi.org/10.1093/ornithology/ukab043" TargetMode="External" /><Relationship Type="http://schemas.openxmlformats.org/officeDocument/2006/relationships/hyperlink" Id="rId116" Target="https://doi.org/10.1098/rspb.2014.0984" TargetMode="External" /><Relationship Type="http://schemas.openxmlformats.org/officeDocument/2006/relationships/hyperlink" Id="rId174" Target="https://doi.org/10.1098/rstb.2017.0094" TargetMode="External" /><Relationship Type="http://schemas.openxmlformats.org/officeDocument/2006/relationships/hyperlink" Id="rId105" Target="https://doi.org/10.1111/1365-2656.12706" TargetMode="External" /><Relationship Type="http://schemas.openxmlformats.org/officeDocument/2006/relationships/hyperlink" Id="rId118" Target="https://doi.org/10.1111/1365-2656.13345" TargetMode="External" /><Relationship Type="http://schemas.openxmlformats.org/officeDocument/2006/relationships/hyperlink" Id="rId138" Target="https://doi.org/10.1111/1365-2656.13779" TargetMode="External" /><Relationship Type="http://schemas.openxmlformats.org/officeDocument/2006/relationships/hyperlink" Id="rId64" Target="https://doi.org/10.1111/brv.12476" TargetMode="External" /><Relationship Type="http://schemas.openxmlformats.org/officeDocument/2006/relationships/hyperlink" Id="rId66" Target="https://doi.org/10.1111/conl.12850" TargetMode="External" /><Relationship Type="http://schemas.openxmlformats.org/officeDocument/2006/relationships/hyperlink" Id="rId113" Target="https://doi.org/10.1111/geb.12298" TargetMode="External" /><Relationship Type="http://schemas.openxmlformats.org/officeDocument/2006/relationships/hyperlink" Id="rId134" Target="https://doi.org/10.1111/ibi.12809" TargetMode="External" /><Relationship Type="http://schemas.openxmlformats.org/officeDocument/2006/relationships/hyperlink" Id="rId70" Target="https://doi.org/10.1111/j.1466-8238.2010.00638.x" TargetMode="External" /><Relationship Type="http://schemas.openxmlformats.org/officeDocument/2006/relationships/hyperlink" Id="rId80" Target="https://doi.org/10.1111/j.1600-048X.2011.05395.x" TargetMode="External" /><Relationship Type="http://schemas.openxmlformats.org/officeDocument/2006/relationships/hyperlink" Id="rId167" Target="https://doi.org/10.1111/j.1600-0706.2011.19844.x" TargetMode="External" /><Relationship Type="http://schemas.openxmlformats.org/officeDocument/2006/relationships/hyperlink" Id="rId156" Target="https://doi.org/10.1111/j.1600-0706.2011.20083.x" TargetMode="External" /><Relationship Type="http://schemas.openxmlformats.org/officeDocument/2006/relationships/hyperlink" Id="rId97" Target="https://doi.org/10.1111/j.1600-0706.2011.20131.x" TargetMode="External" /><Relationship Type="http://schemas.openxmlformats.org/officeDocument/2006/relationships/hyperlink" Id="rId169" Target="https://doi.org/10.1111/j.1752-1688.1989.tb01329.x" TargetMode="External" /><Relationship Type="http://schemas.openxmlformats.org/officeDocument/2006/relationships/hyperlink" Id="rId180" Target="https://doi.org/10.1126/science.1117004" TargetMode="External" /><Relationship Type="http://schemas.openxmlformats.org/officeDocument/2006/relationships/hyperlink" Id="rId76" Target="https://doi.org/10.1126/science.1237139" TargetMode="External" /><Relationship Type="http://schemas.openxmlformats.org/officeDocument/2006/relationships/hyperlink" Id="rId82" Target="https://doi.org/10.1126/science.aat0985" TargetMode="External" /><Relationship Type="http://schemas.openxmlformats.org/officeDocument/2006/relationships/hyperlink" Id="rId136" Target="https://doi.org/10.1186/s40462-021-00281-7" TargetMode="External" /><Relationship Type="http://schemas.openxmlformats.org/officeDocument/2006/relationships/hyperlink" Id="rId74" Target="https://doi.org/10.1242/jeb.00853" TargetMode="External" /><Relationship Type="http://schemas.openxmlformats.org/officeDocument/2006/relationships/hyperlink" Id="rId95" Target="https://doi.org/10.1641/B570206" TargetMode="External" /><Relationship Type="http://schemas.openxmlformats.org/officeDocument/2006/relationships/hyperlink" Id="rId120" Target="https://doi.org/10.2193/2008-524" TargetMode="External" /><Relationship Type="http://schemas.openxmlformats.org/officeDocument/2006/relationships/hyperlink" Id="rId89" Target="https://doi.org/10.2307/1311967" TargetMode="External" /><Relationship Type="http://schemas.openxmlformats.org/officeDocument/2006/relationships/hyperlink" Id="rId141" Target="https://doi.org/10.31219/osf.io/fzqxv" TargetMode="External" /><Relationship Type="http://schemas.openxmlformats.org/officeDocument/2006/relationships/hyperlink" Id="rId160" Target="https://doi.org/10.3389/fevo.2020.00078" TargetMode="External" /><Relationship Type="http://schemas.openxmlformats.org/officeDocument/2006/relationships/hyperlink" Id="rId72" Target="https://doi.org/10.3389/fevo.2020.00111" TargetMode="External" /><Relationship Type="http://schemas.openxmlformats.org/officeDocument/2006/relationships/hyperlink" Id="rId54" Target="https://github.com/dwwolfson/annual_mvmt" TargetMode="External" /><Relationship Type="http://schemas.openxmlformats.org/officeDocument/2006/relationships/hyperlink" Id="rId78" Target="https://www.jstor.org/stable/3677163" TargetMode="External" /><Relationship Type="http://schemas.openxmlformats.org/officeDocument/2006/relationships/hyperlink" Id="rId101"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 derived from migratory and non-migratory founders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2024-01-18T21:12:07Z</dcterms:created>
  <dcterms:modified xsi:type="dcterms:W3CDTF">2024-01-18T21:12:07Z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18 January,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