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tiff" ContentType="image/tiff"/>
  <Override PartName="/word/media/rId48.tiff" ContentType="image/tiff"/>
  <Override PartName="/word/media/rId51.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Relearning</w:t>
      </w:r>
      <w:r>
        <w:t xml:space="preserve"> </w:t>
      </w:r>
      <w:r>
        <w:t xml:space="preserve">migration:</w:t>
      </w:r>
      <w:r>
        <w:t xml:space="preserve"> </w:t>
      </w:r>
      <w:r>
        <w:t xml:space="preserve">patterns</w:t>
      </w:r>
      <w:r>
        <w:t xml:space="preserve"> </w:t>
      </w:r>
      <w:r>
        <w:t xml:space="preserve">of</w:t>
      </w:r>
      <w:r>
        <w:t xml:space="preserve"> </w:t>
      </w:r>
      <w:r>
        <w:t xml:space="preserve">annual</w:t>
      </w:r>
      <w:r>
        <w:t xml:space="preserve"> </w:t>
      </w:r>
      <w:r>
        <w:t xml:space="preserve">movement</w:t>
      </w:r>
      <w:r>
        <w:t xml:space="preserve"> </w:t>
      </w:r>
      <w:r>
        <w:t xml:space="preserve">for</w:t>
      </w:r>
      <w:r>
        <w:t xml:space="preserve"> </w:t>
      </w:r>
      <w:r>
        <w:t xml:space="preserve">a</w:t>
      </w:r>
      <w:r>
        <w:t xml:space="preserve"> </w:t>
      </w:r>
      <w:r>
        <w:t xml:space="preserve">reintroduced</w:t>
      </w:r>
      <w:r>
        <w:t xml:space="preserve"> </w:t>
      </w:r>
      <w:r>
        <w:t xml:space="preserve">long-lived</w:t>
      </w:r>
      <w:r>
        <w:t xml:space="preserve"> </w:t>
      </w:r>
      <w:r>
        <w:t xml:space="preserve">avian</w:t>
      </w:r>
      <w:r>
        <w:t xml:space="preserve"> </w:t>
      </w:r>
      <w:r>
        <w:t xml:space="preserve">species</w:t>
      </w:r>
    </w:p>
    <w:p>
      <w:pPr>
        <w:pStyle w:val="Author"/>
      </w:pPr>
      <w:r>
        <w:t xml:space="preserve">David</w:t>
      </w:r>
      <w:r>
        <w:t xml:space="preserve"> </w:t>
      </w:r>
      <w:r>
        <w:t xml:space="preserve">W.</w:t>
      </w:r>
      <w:r>
        <w:t xml:space="preserve"> </w:t>
      </w:r>
      <w:r>
        <w:t xml:space="preserve">Wolfson</w:t>
      </w:r>
      <w:r>
        <w:rPr>
          <w:rStyle w:val="FootnoteReference"/>
        </w:rPr>
        <w:footnoteReference w:id="20"/>
      </w:r>
      <w:r>
        <w:t xml:space="preserve">,</w:t>
      </w:r>
      <w:r>
        <w:t xml:space="preserve"> </w:t>
      </w:r>
      <w:r>
        <w:t xml:space="preserve">John</w:t>
      </w:r>
      <w:r>
        <w:t xml:space="preserve"> </w:t>
      </w:r>
      <w:r>
        <w:t xml:space="preserve">R.</w:t>
      </w:r>
      <w:r>
        <w:t xml:space="preserve"> </w:t>
      </w:r>
      <w:r>
        <w:t xml:space="preserve">Fieberg</w:t>
      </w:r>
      <w:r>
        <w:rPr>
          <w:rStyle w:val="FootnoteReference"/>
        </w:rPr>
        <w:footnoteReference w:id="21"/>
      </w:r>
      <w:r>
        <w:t xml:space="preserve">,</w:t>
      </w:r>
      <w:r>
        <w:t xml:space="preserve"> </w:t>
      </w:r>
      <w:r>
        <w:t xml:space="preserve">Thomas</w:t>
      </w:r>
      <w:r>
        <w:t xml:space="preserve"> </w:t>
      </w:r>
      <w:r>
        <w:t xml:space="preserve">R.</w:t>
      </w:r>
      <w:r>
        <w:t xml:space="preserve"> </w:t>
      </w:r>
      <w:r>
        <w:t xml:space="preserve">Cooper</w:t>
      </w:r>
      <w:r>
        <w:rPr>
          <w:rStyle w:val="FootnoteReference"/>
        </w:rPr>
        <w:footnoteReference w:id="22"/>
      </w:r>
      <w:r>
        <w:t xml:space="preserve">,</w:t>
      </w:r>
      <w:r>
        <w:t xml:space="preserve"> </w:t>
      </w:r>
      <w:r>
        <w:t xml:space="preserve">Steven</w:t>
      </w:r>
      <w:r>
        <w:t xml:space="preserve"> </w:t>
      </w:r>
      <w:r>
        <w:t xml:space="preserve">Cordts</w:t>
      </w:r>
      <w:r>
        <w:rPr>
          <w:rStyle w:val="FootnoteReference"/>
        </w:rPr>
        <w:footnoteReference w:id="23"/>
      </w:r>
      <w:r>
        <w:t xml:space="preserve">,</w:t>
      </w:r>
      <w:r>
        <w:t xml:space="preserve"> </w:t>
      </w:r>
      <w:r>
        <w:t xml:space="preserve">Christine</w:t>
      </w:r>
      <w:r>
        <w:t xml:space="preserve"> </w:t>
      </w:r>
      <w:r>
        <w:t xml:space="preserve">Herwig</w:t>
      </w:r>
      <w:r>
        <w:rPr>
          <w:rStyle w:val="FootnoteReference"/>
        </w:rPr>
        <w:footnoteReference w:id="24"/>
      </w:r>
      <w:r>
        <w:t xml:space="preserve">,</w:t>
      </w:r>
      <w:r>
        <w:t xml:space="preserve"> </w:t>
      </w:r>
      <w:r>
        <w:t xml:space="preserve">John</w:t>
      </w:r>
      <w:r>
        <w:t xml:space="preserve"> </w:t>
      </w:r>
      <w:r>
        <w:t xml:space="preserve">Moriarty</w:t>
      </w:r>
      <w:r>
        <w:rPr>
          <w:rStyle w:val="FootnoteReference"/>
        </w:rPr>
        <w:footnoteReference w:id="25"/>
      </w:r>
      <w:r>
        <w:t xml:space="preserve">,</w:t>
      </w:r>
      <w:r>
        <w:t xml:space="preserve"> </w:t>
      </w:r>
      <w:r>
        <w:t xml:space="preserve">Margaret</w:t>
      </w:r>
      <w:r>
        <w:t xml:space="preserve"> </w:t>
      </w:r>
      <w:r>
        <w:t xml:space="preserve">Smith</w:t>
      </w:r>
      <w:r>
        <w:rPr>
          <w:rStyle w:val="FootnoteReference"/>
        </w:rPr>
        <w:footnoteReference w:id="26"/>
      </w:r>
      <w:r>
        <w:t xml:space="preserve">,</w:t>
      </w:r>
      <w:r>
        <w:t xml:space="preserve"> </w:t>
      </w:r>
      <w:r>
        <w:t xml:space="preserve">Randall</w:t>
      </w:r>
      <w:r>
        <w:t xml:space="preserve"> </w:t>
      </w:r>
      <w:r>
        <w:t xml:space="preserve">T.</w:t>
      </w:r>
      <w:r>
        <w:t xml:space="preserve"> </w:t>
      </w:r>
      <w:r>
        <w:t xml:space="preserve">Knapik</w:t>
      </w:r>
      <w:r>
        <w:rPr>
          <w:rStyle w:val="FootnoteReference"/>
        </w:rPr>
        <w:footnoteReference w:id="27"/>
      </w:r>
      <w:r>
        <w:t xml:space="preserve">,</w:t>
      </w:r>
      <w:r>
        <w:t xml:space="preserve"> </w:t>
      </w:r>
      <w:r>
        <w:t xml:space="preserve">Anna</w:t>
      </w:r>
      <w:r>
        <w:t xml:space="preserve"> </w:t>
      </w:r>
      <w:r>
        <w:t xml:space="preserve">Buckardt-Thomas</w:t>
      </w:r>
      <w:r>
        <w:rPr>
          <w:rStyle w:val="FootnoteReference"/>
        </w:rPr>
        <w:footnoteReference w:id="28"/>
      </w:r>
      <w:r>
        <w:t xml:space="preserve">,</w:t>
      </w:r>
      <w:r>
        <w:t xml:space="preserve"> </w:t>
      </w:r>
      <w:r>
        <w:t xml:space="preserve">Tyler</w:t>
      </w:r>
      <w:r>
        <w:t xml:space="preserve"> </w:t>
      </w:r>
      <w:r>
        <w:t xml:space="preserve">Harms</w:t>
      </w:r>
      <w:r>
        <w:rPr>
          <w:rStyle w:val="FootnoteReference"/>
        </w:rPr>
        <w:footnoteReference w:id="29"/>
      </w:r>
      <w:r>
        <w:t xml:space="preserve">,</w:t>
      </w:r>
      <w:r>
        <w:t xml:space="preserve"> </w:t>
      </w:r>
      <w:r>
        <w:t xml:space="preserve">Taylor</w:t>
      </w:r>
      <w:r>
        <w:t xml:space="preserve"> </w:t>
      </w:r>
      <w:r>
        <w:t xml:space="preserve">Finger</w:t>
      </w:r>
      <w:r>
        <w:rPr>
          <w:rStyle w:val="FootnoteReference"/>
        </w:rPr>
        <w:footnoteReference w:id="30"/>
      </w:r>
      <w:r>
        <w:t xml:space="preserve">,</w:t>
      </w:r>
      <w:r>
        <w:t xml:space="preserve"> </w:t>
      </w:r>
      <w:r>
        <w:t xml:space="preserve">Sumner</w:t>
      </w:r>
      <w:r>
        <w:t xml:space="preserve"> </w:t>
      </w:r>
      <w:r>
        <w:t xml:space="preserve">Matteson</w:t>
      </w:r>
      <w:r>
        <w:rPr>
          <w:rStyle w:val="FootnoteReference"/>
        </w:rPr>
        <w:footnoteReference w:id="31"/>
      </w:r>
      <w:r>
        <w:t xml:space="preserve">,</w:t>
      </w:r>
      <w:r>
        <w:t xml:space="preserve"> </w:t>
      </w:r>
      <w:r>
        <w:t xml:space="preserve">Laura</w:t>
      </w:r>
      <w:r>
        <w:t xml:space="preserve"> </w:t>
      </w:r>
      <w:r>
        <w:t xml:space="preserve">Kearns</w:t>
      </w:r>
      <w:r>
        <w:rPr>
          <w:rStyle w:val="FootnoteReference"/>
        </w:rPr>
        <w:footnoteReference w:id="32"/>
      </w:r>
      <w:r>
        <w:t xml:space="preserve">,</w:t>
      </w:r>
      <w:r>
        <w:t xml:space="preserve"> </w:t>
      </w:r>
      <w:r>
        <w:t xml:space="preserve">Tiffany</w:t>
      </w:r>
      <w:r>
        <w:t xml:space="preserve"> </w:t>
      </w:r>
      <w:r>
        <w:t xml:space="preserve">Mayo</w:t>
      </w:r>
      <w:r>
        <w:rPr>
          <w:rStyle w:val="FootnoteReference"/>
        </w:rPr>
        <w:footnoteReference w:id="33"/>
      </w:r>
      <w:r>
        <w:t xml:space="preserve">,</w:t>
      </w:r>
      <w:r>
        <w:t xml:space="preserve"> </w:t>
      </w:r>
      <w:r>
        <w:t xml:space="preserve">Brian</w:t>
      </w:r>
      <w:r>
        <w:t xml:space="preserve"> </w:t>
      </w:r>
      <w:r>
        <w:t xml:space="preserve">Kiss</w:t>
      </w:r>
      <w:r>
        <w:rPr>
          <w:rStyle w:val="FootnoteReference"/>
        </w:rPr>
        <w:footnoteReference w:id="34"/>
      </w:r>
      <w:r>
        <w:t xml:space="preserve">,</w:t>
      </w:r>
      <w:r>
        <w:t xml:space="preserve"> </w:t>
      </w:r>
      <w:r>
        <w:t xml:space="preserve">Timothy</w:t>
      </w:r>
      <w:r>
        <w:t xml:space="preserve"> </w:t>
      </w:r>
      <w:r>
        <w:t xml:space="preserve">Poole</w:t>
      </w:r>
      <w:r>
        <w:rPr>
          <w:rStyle w:val="FootnoteReference"/>
        </w:rPr>
        <w:footnoteReference w:id="35"/>
      </w:r>
      <w:r>
        <w:t xml:space="preserve">,</w:t>
      </w:r>
      <w:r>
        <w:t xml:space="preserve"> </w:t>
      </w:r>
      <w:r>
        <w:t xml:space="preserve">Drew</w:t>
      </w:r>
      <w:r>
        <w:t xml:space="preserve"> </w:t>
      </w:r>
      <w:r>
        <w:t xml:space="preserve">Fowler</w:t>
      </w:r>
      <w:r>
        <w:rPr>
          <w:rStyle w:val="FootnoteReference"/>
        </w:rPr>
        <w:footnoteReference w:id="36"/>
      </w:r>
      <w:r>
        <w:t xml:space="preserve">,</w:t>
      </w:r>
      <w:r>
        <w:t xml:space="preserve"> </w:t>
      </w:r>
      <w:r>
        <w:t xml:space="preserve">David</w:t>
      </w:r>
      <w:r>
        <w:t xml:space="preserve"> </w:t>
      </w:r>
      <w:r>
        <w:t xml:space="preserve">E.</w:t>
      </w:r>
      <w:r>
        <w:t xml:space="preserve"> </w:t>
      </w:r>
      <w:r>
        <w:t xml:space="preserve">Andersen</w:t>
      </w:r>
      <w:r>
        <w:rPr>
          <w:rStyle w:val="FootnoteReference"/>
        </w:rPr>
        <w:footnoteReference w:id="37"/>
      </w:r>
    </w:p>
    <w:p>
      <w:pPr>
        <w:pStyle w:val="Date"/>
      </w:pPr>
      <w:r>
        <w:t xml:space="preserve">20</w:t>
      </w:r>
      <w:r>
        <w:t xml:space="preserve"> </w:t>
      </w:r>
      <w:r>
        <w:t xml:space="preserve">June,</w:t>
      </w:r>
      <w:r>
        <w:t xml:space="preserve"> </w:t>
      </w:r>
      <w:r>
        <w:t xml:space="preserve">2023</w:t>
      </w:r>
    </w:p>
    <w:bookmarkStart w:id="38" w:name="abstract"/>
    <w:p>
      <w:pPr>
        <w:pStyle w:val="Heading2"/>
      </w:pPr>
      <w:r>
        <w:rPr>
          <w:rStyle w:val="SectionNumber"/>
        </w:rPr>
        <w:t xml:space="preserve">0.1</w:t>
      </w:r>
      <w:r>
        <w:tab/>
      </w:r>
      <w:r>
        <w:t xml:space="preserve">Abstract</w:t>
      </w:r>
    </w:p>
    <w:bookmarkEnd w:id="38"/>
    <w:bookmarkStart w:id="39" w:name="introduction"/>
    <w:p>
      <w:pPr>
        <w:pStyle w:val="Heading2"/>
      </w:pPr>
      <w:r>
        <w:rPr>
          <w:rStyle w:val="SectionNumber"/>
        </w:rPr>
        <w:t xml:space="preserve">0.2</w:t>
      </w:r>
      <w:r>
        <w:tab/>
      </w:r>
      <w:r>
        <w:t xml:space="preserve">Introduction</w:t>
      </w:r>
    </w:p>
    <w:p>
      <w:pPr>
        <w:pStyle w:val="FirstParagraph"/>
      </w:pPr>
      <w:r>
        <w:t xml:space="preserve">History of IP TRUS decline in NA:</w:t>
      </w:r>
      <w:r>
        <w:br/>
      </w:r>
      <w:r>
        <w:t xml:space="preserve">Trumpeter swans (</w:t>
      </w:r>
      <w:r>
        <w:rPr>
          <w:iCs/>
          <w:i/>
        </w:rPr>
        <w:t xml:space="preserve">Cygnus buccinator</w:t>
      </w:r>
      <w:r>
        <w:t xml:space="preserve">), the largest waterfowl species in North America, were widespread throughout the continent prior to European colonization during the</w:t>
      </w:r>
      <w:r>
        <w:t xml:space="preserve"> </w:t>
      </w:r>
      <m:oMath>
        <m:sSup>
          <m:e>
            <m:r>
              <m:t>19</m:t>
            </m:r>
          </m:e>
          <m:sup>
            <m:r>
              <m:t>t</m:t>
            </m:r>
            <m:r>
              <m:t>h</m:t>
            </m:r>
          </m:sup>
        </m:sSup>
      </m:oMath>
      <w:r>
        <w:t xml:space="preserve"> </w:t>
      </w:r>
      <w:r>
        <w:t xml:space="preserve">century</w:t>
      </w:r>
      <w:r>
        <w:t xml:space="preserve"> </w:t>
      </w:r>
      <w:r>
        <w:t xml:space="preserve">(</w:t>
      </w:r>
      <w:hyperlink w:anchor="ref-banko1960">
        <w:r>
          <w:rPr>
            <w:rStyle w:val="Hyperlink"/>
          </w:rPr>
          <w:t xml:space="preserve">Banko 1960</w:t>
        </w:r>
      </w:hyperlink>
      <w:r>
        <w:t xml:space="preserve">)</w:t>
      </w:r>
      <w:r>
        <w:t xml:space="preserve">.</w:t>
      </w:r>
      <w:r>
        <w:t xml:space="preserve"> </w:t>
      </w:r>
      <w:r>
        <w:t xml:space="preserve">Due to widespread hunting for meat, skins for powder puffs, and feather quills for writing, trumpeter swans were nearly extirpated in the lower 48 states and reached an estimated low of 70 individuals in the 1930s.</w:t>
      </w:r>
      <w:r>
        <w:t xml:space="preserve"> </w:t>
      </w:r>
      <w:r>
        <w:t xml:space="preserve">Critically low numbers of trumpeter swans led to the establishment of Red Rock Lakes National Wildlife Refuge (RRLNWR) in the confluence of Montana, Wyoming, and Idaho (also know as the Tri-State region) in 1935, which was the last vestige of a sizable breeding swan population in the lower 48 states (is this sentence necessary and helpful?).</w:t>
      </w:r>
    </w:p>
    <w:p>
      <w:pPr>
        <w:pStyle w:val="BodyText"/>
      </w:pPr>
      <w:r>
        <w:t xml:space="preserve">History of IP TRUS comeback in NA:</w:t>
      </w:r>
      <w:r>
        <w:br/>
      </w:r>
      <w:r>
        <w:t xml:space="preserve">As trumpeter swan numbers at RRLNWR started to rise, this flock was used as a source population for reintroduction efforts in other parts of the historical breeding range.</w:t>
      </w:r>
      <w:r>
        <w:t xml:space="preserve"> </w:t>
      </w:r>
      <w:r>
        <w:t xml:space="preserve">Many states translocated trumpeter swans from RRLNWR to augment and boost the abundance and distribution of the diminshed Rocky Mountain Population (RMP) or to restore the Interior Population (IP), which had been completely extirpated.</w:t>
      </w:r>
      <w:r>
        <w:t xml:space="preserve"> </w:t>
      </w:r>
      <w:r>
        <w:t xml:space="preserve">[[As reintroduction programs further expanded, demand for trumpeter swans outpaced the number available in the Tri-State area and forced managers to search for an alternative source.</w:t>
      </w:r>
      <w:r>
        <w:t xml:space="preserve"> </w:t>
      </w:r>
      <w:r>
        <w:t xml:space="preserve">In 1959, initial aerial surveys in Alaska discovered over a thousand Pacific Coast Population (PCP) swans</w:t>
      </w:r>
      <w:r>
        <w:t xml:space="preserve"> </w:t>
      </w:r>
      <w:r>
        <w:t xml:space="preserve">(</w:t>
      </w:r>
      <w:hyperlink w:anchor="ref-hansen1971">
        <w:r>
          <w:rPr>
            <w:rStyle w:val="Hyperlink"/>
          </w:rPr>
          <w:t xml:space="preserve">Hansen et al. 1971</w:t>
        </w:r>
      </w:hyperlink>
      <w:r>
        <w:t xml:space="preserve">)</w:t>
      </w:r>
      <w:r>
        <w:t xml:space="preserve">.</w:t>
      </w:r>
      <w:r>
        <w:t xml:space="preserve"> </w:t>
      </w:r>
      <w:r>
        <w:t xml:space="preserve">Additional surveys in 1968 tallied 2,848 swans, confirming that the population was growing, and that there were sufficient abundance to provide swans for translocations, including to states conducting reintroduction efforts within the IP</w:t>
      </w:r>
      <w:r>
        <w:t xml:space="preserve"> </w:t>
      </w:r>
      <w:r>
        <w:t xml:space="preserve">(</w:t>
      </w:r>
      <w:hyperlink w:anchor="ref-matteson1988">
        <w:r>
          <w:rPr>
            <w:rStyle w:val="Hyperlink"/>
          </w:rPr>
          <w:t xml:space="preserve">Matteson et al. 1988</w:t>
        </w:r>
      </w:hyperlink>
      <w:r>
        <w:t xml:space="preserve">)</w:t>
      </w:r>
      <w:r>
        <w:t xml:space="preserve">.</w:t>
      </w:r>
      <w:r>
        <w:t xml:space="preserve"> </w:t>
      </w:r>
      <w:r>
        <w:t xml:space="preserve">An important distinction between these source populations is that PCP swans breeding in Alaska migrated to British Columbia, Washington and Oregon for the winter whereas RMP swans from the Tri-State area were considered non-migratory since they remained resident to the same area throughout the year</w:t>
      </w:r>
      <w:r>
        <w:t xml:space="preserve"> </w:t>
      </w:r>
      <w:r>
        <w:t xml:space="preserve">(</w:t>
      </w:r>
      <w:hyperlink w:anchor="ref-oyler-mccance2007">
        <w:r>
          <w:rPr>
            <w:rStyle w:val="Hyperlink"/>
          </w:rPr>
          <w:t xml:space="preserve">Oyler-McCance et al. 2007</w:t>
        </w:r>
      </w:hyperlink>
      <w:r>
        <w:t xml:space="preserve">)</w:t>
      </w:r>
      <w:r>
        <w:t xml:space="preserve">.]] (Are the sentences in brackets necessary historical context, or can they be cut? I think I’d like to come back to the different in migratory history during the discussion to point the way for a comparison with genetics as a next step after this paper.)</w:t>
      </w:r>
    </w:p>
    <w:p>
      <w:pPr>
        <w:pStyle w:val="BodyText"/>
      </w:pPr>
      <w:r>
        <w:t xml:space="preserve">Current IP conditions:</w:t>
      </w:r>
      <w:r>
        <w:br/>
      </w:r>
      <w:r>
        <w:t xml:space="preserve">Estimates of IP abundance have increased dramatically since reintroductions began in the 1960s, and both population size and distribution has expanded significantly</w:t>
      </w:r>
      <w:r>
        <w:t xml:space="preserve"> </w:t>
      </w:r>
      <w:r>
        <w:t xml:space="preserve">(</w:t>
      </w:r>
      <w:hyperlink w:anchor="ref-groves2017">
        <w:r>
          <w:rPr>
            <w:rStyle w:val="Hyperlink"/>
          </w:rPr>
          <w:t xml:space="preserve">Groves 2017</w:t>
        </w:r>
      </w:hyperlink>
      <w:r>
        <w:t xml:space="preserve">)</w:t>
      </w:r>
      <w:r>
        <w:t xml:space="preserve">.</w:t>
      </w:r>
      <w:r>
        <w:t xml:space="preserve"> </w:t>
      </w:r>
      <w:r>
        <w:t xml:space="preserve">Trumpeter swans currently breed throughout most of the western Great Lakes region, including in Minnesota, Wisconsin, Michigan, Iowa, Manitoba, Ontario, and Ohio.</w:t>
      </w:r>
      <w:r>
        <w:t xml:space="preserve"> </w:t>
      </w:r>
      <w:r>
        <w:t xml:space="preserve">However, beyond estimates of population size and trends, there is relatively little recent information about their ecology, including seasonal movements and migration patterns, therefore hindering conservation decision-making.</w:t>
      </w:r>
      <w:r>
        <w:t xml:space="preserve"> </w:t>
      </w:r>
      <w:r>
        <w:t xml:space="preserve">Current knowledge gaps include the proportion of the IP that remains resident on their breeding range during the winter, the extent</w:t>
      </w:r>
      <w:r>
        <w:t xml:space="preserve"> </w:t>
      </w:r>
      <w:r>
        <w:rPr>
          <w:bCs/>
          <w:b/>
        </w:rPr>
        <w:t xml:space="preserve">(say distance instead?)</w:t>
      </w:r>
      <w:r>
        <w:t xml:space="preserve"> </w:t>
      </w:r>
      <w:r>
        <w:t xml:space="preserve">of movement for those swans that do leave their territories, the timing of the migratory periods (onset in the fall, settlement during winter, arrival in the spring), and how much intra- and inter-individual variability there is among the population (is this the best wording to use to say how much are swans changing trends between years and how much differences are there among swans?).</w:t>
      </w:r>
    </w:p>
    <w:p>
      <w:pPr>
        <w:pStyle w:val="BodyText"/>
      </w:pPr>
      <w:r>
        <w:t xml:space="preserve">Drivers/Why to migrate (or not):</w:t>
      </w:r>
      <w:r>
        <w:t xml:space="preserve"> </w:t>
      </w:r>
      <w:r>
        <w:t xml:space="preserve">Many factors may influence the decision to leave the summer territory during the non-breeding season, and how far to migrate for those that leave, including energetics of flight, life history requirements, and knowledge transfer of migratory traditions (cite a bunch). Swans are one of the heaviest avian species that migrate despite the high energetic cost of long-distance flight (cite). Conversely, as such a large bird, swans have more thermal tolerance to withstand harsh winter conditions than other waterfowl, though they do require unfrozen water to access food (cite). Additionally, due to the novelty of persisting in relatively unfamiliar landscapes and the high energetic demand of migration, the non-breeding period typically has the lowest survival rates throughout the annual cycle (cite). On the flip side, migrating to a more temperate area during the wintering period can provide accessible food and resources that allow trumpeter swans to avoid the harshness of winter in the breeding territory (cite).</w:t>
      </w:r>
    </w:p>
    <w:p>
      <w:pPr>
        <w:pStyle w:val="BodyText"/>
      </w:pPr>
      <w:r>
        <w:t xml:space="preserve">Differences in migratory habits may also be due to breeding status, which conveys unique life history requirements, such as early arrival in the spring to defend a breeding territory, lay and incubate eggs, and to stay on the territory late enough in the fall that the young of the year can develop enough to migrate south for the winter; all requirements that non-breeding swans will not experience.</w:t>
      </w:r>
    </w:p>
    <w:p>
      <w:pPr>
        <w:pStyle w:val="BodyText"/>
      </w:pPr>
      <w:r>
        <w:t xml:space="preserve">Similar to other large, long-lived avian species such as geese, cranes and storks, adult swans take care of their young for the first year of life, providing food, protections, and guiding them on their first migration cycle</w:t>
      </w:r>
      <w:r>
        <w:t xml:space="preserve"> </w:t>
      </w:r>
      <w:r>
        <w:t xml:space="preserve">(</w:t>
      </w:r>
      <w:hyperlink w:anchor="ref-chernetsov2004a">
        <w:r>
          <w:rPr>
            <w:rStyle w:val="Hyperlink"/>
          </w:rPr>
          <w:t xml:space="preserve">Chernetsov et al. 2004</w:t>
        </w:r>
      </w:hyperlink>
      <w:r>
        <w:t xml:space="preserve">,</w:t>
      </w:r>
      <w:r>
        <w:t xml:space="preserve"> </w:t>
      </w:r>
      <w:hyperlink w:anchor="ref-mueller2013a">
        <w:r>
          <w:rPr>
            <w:rStyle w:val="Hyperlink"/>
          </w:rPr>
          <w:t xml:space="preserve">Mueller et al. 2013</w:t>
        </w:r>
      </w:hyperlink>
      <w:r>
        <w:t xml:space="preserve">)</w:t>
      </w:r>
      <w:r>
        <w:t xml:space="preserve">.</w:t>
      </w:r>
      <w:r>
        <w:t xml:space="preserve"> </w:t>
      </w:r>
      <w:r>
        <w:t xml:space="preserve">As a consequence, cultural transmission during the first year is thought to be the primary mechanism that dictates the learned migration patterns used in subsequent years</w:t>
      </w:r>
      <w:r>
        <w:t xml:space="preserve"> </w:t>
      </w:r>
      <w:r>
        <w:t xml:space="preserve">(</w:t>
      </w:r>
      <w:hyperlink w:anchor="ref-sutherland1998">
        <w:r>
          <w:rPr>
            <w:rStyle w:val="Hyperlink"/>
          </w:rPr>
          <w:t xml:space="preserve">Sutherland 1998</w:t>
        </w:r>
      </w:hyperlink>
      <w:r>
        <w:t xml:space="preserve">)</w:t>
      </w:r>
      <w:r>
        <w:t xml:space="preserve">.</w:t>
      </w:r>
      <w:r>
        <w:t xml:space="preserve"> </w:t>
      </w:r>
      <w:r>
        <w:t xml:space="preserve">Although this transfer of information is an effective mechanism for preserving migratory patterns through generations, it is unknown how flexible large-scale population migration patterns can be in response to a population-level perturbations such as reintroduction on a new landscape, and this is an understudied aspect of migration (cite).</w:t>
      </w:r>
      <w:r>
        <w:t xml:space="preserve"> </w:t>
      </w:r>
      <w:r>
        <w:t xml:space="preserve">Jesmer et al. (</w:t>
      </w:r>
      <w:hyperlink w:anchor="ref-jesmer2018">
        <w:r>
          <w:rPr>
            <w:rStyle w:val="Hyperlink"/>
          </w:rPr>
          <w:t xml:space="preserve">2018</w:t>
        </w:r>
      </w:hyperlink>
      <w:r>
        <w:t xml:space="preserve">)</w:t>
      </w:r>
      <w:r>
        <w:t xml:space="preserve"> </w:t>
      </w:r>
      <w:r>
        <w:t xml:space="preserve">found that newly translocated populations initially lost their migratory tendencies and that it took many generations to re-establish such patterns.</w:t>
      </w:r>
    </w:p>
    <w:p>
      <w:pPr>
        <w:pStyle w:val="BodyText"/>
      </w:pPr>
      <w:r>
        <w:t xml:space="preserve">It is also likely that the drivers of migration vary within the IP based the location of a swan’s summer territory. Swans that spend the summer at different latitudes will experience different environmental conditions such as timing of vegetative greenness</w:t>
      </w:r>
      <w:r>
        <w:t xml:space="preserve"> </w:t>
      </w:r>
      <w:r>
        <w:rPr>
          <w:bCs/>
          <w:b/>
        </w:rPr>
        <w:t xml:space="preserve">(don’t mention if I”m not adding this to the manuscript?)</w:t>
      </w:r>
      <w:r>
        <w:t xml:space="preserve"> </w:t>
      </w:r>
      <w:r>
        <w:t xml:space="preserve">and freeze-up of water on shallow wetlands</w:t>
      </w:r>
      <w:r>
        <w:t xml:space="preserve"> </w:t>
      </w:r>
      <w:r>
        <w:rPr>
          <w:bCs/>
          <w:b/>
        </w:rPr>
        <w:t xml:space="preserve">(same)</w:t>
      </w:r>
      <w:r>
        <w:t xml:space="preserve">.</w:t>
      </w:r>
      <w:r>
        <w:t xml:space="preserve"> </w:t>
      </w:r>
      <w:r>
        <w:t xml:space="preserve">The</w:t>
      </w:r>
      <w:r>
        <w:t xml:space="preserve"> </w:t>
      </w:r>
      <w:r>
        <w:t xml:space="preserve">‘</w:t>
      </w:r>
      <w:r>
        <w:t xml:space="preserve">push</w:t>
      </w:r>
      <w:r>
        <w:t xml:space="preserve">’</w:t>
      </w:r>
      <w:r>
        <w:t xml:space="preserve"> </w:t>
      </w:r>
      <w:r>
        <w:t xml:space="preserve">to avoid the harsh elements of winter will vary substantially throughout different portions of the IP breeding range, and we’d expect the consequences on movement trends to vary concurrently.</w:t>
      </w:r>
    </w:p>
    <w:p>
      <w:pPr>
        <w:pStyle w:val="BodyText"/>
      </w:pPr>
      <w:r>
        <w:t xml:space="preserve">Objectives paragraph</w:t>
      </w:r>
    </w:p>
    <w:p>
      <w:pPr>
        <w:pStyle w:val="BodyText"/>
      </w:pPr>
      <w:r>
        <w:t xml:space="preserve">To address current information needs, we marked a sample of IP swans with GPS-GSM transmitters to evaluate the spatio-temporal patterns of this population throughout the annual cycle.</w:t>
      </w:r>
      <w:r>
        <w:t xml:space="preserve"> </w:t>
      </w:r>
      <w:r>
        <w:t xml:space="preserve">Specifically, we will quantify 1) migration phenology, 2) the duration of migratory movements, 3) the role of breeding status and breeding location on annual movement patterns, and 4) the degree of individual and population variability in migration patterns.</w:t>
      </w:r>
    </w:p>
    <w:bookmarkEnd w:id="39"/>
    <w:bookmarkStart w:id="47" w:name="methods"/>
    <w:p>
      <w:pPr>
        <w:pStyle w:val="Heading2"/>
      </w:pPr>
      <w:r>
        <w:rPr>
          <w:rStyle w:val="SectionNumber"/>
        </w:rPr>
        <w:t xml:space="preserve">0.3</w:t>
      </w:r>
      <w:r>
        <w:tab/>
      </w:r>
      <w:r>
        <w:t xml:space="preserve">Methods</w:t>
      </w:r>
    </w:p>
    <w:bookmarkStart w:id="43" w:name="study-area"/>
    <w:p>
      <w:pPr>
        <w:pStyle w:val="Heading3"/>
      </w:pPr>
      <w:r>
        <w:rPr>
          <w:rStyle w:val="SectionNumber"/>
        </w:rPr>
        <w:t xml:space="preserve">0.3.1</w:t>
      </w:r>
      <w:r>
        <w:tab/>
      </w:r>
      <w:r>
        <w:t xml:space="preserve">Study Area</w:t>
      </w:r>
    </w:p>
    <w:p>
      <w:pPr>
        <w:pStyle w:val="FirstParagraph"/>
      </w:pPr>
      <w:r>
        <w:t xml:space="preserve">Our study area for swan captures is approximately the current breeding and wintering distribution of IP trumpeter swans (Groves 2017).</w:t>
      </w:r>
      <w:r>
        <w:t xml:space="preserve"> </w:t>
      </w:r>
      <w:r>
        <w:t xml:space="preserve">We captured all swans on their breeding range except for 4 swans captured on their wintering grounds in Arkansas (Fig.</w:t>
      </w:r>
      <w:r>
        <w:t xml:space="preserve"> </w:t>
      </w:r>
      <w:r>
        <w:t xml:space="preserve">1</w:t>
      </w:r>
      <w:r>
        <w:t xml:space="preserve">) .</w:t>
      </w:r>
      <w:r>
        <w:t xml:space="preserve"> </w:t>
      </w:r>
      <w:r>
        <w:t xml:space="preserve">We deployed transmitters on IP trumpeter swans as far north and west as southern Manitoba (51.1° N, 99.7° W), as far south as central Arkansas (35.5° N, 91.9° W), and as far east as central Ohio (40.6° N, 82.7° W).</w:t>
      </w:r>
      <w:r>
        <w:t xml:space="preserve"> </w:t>
      </w:r>
      <w:r>
        <w:t xml:space="preserve">Capture locations occurred in a mix of Laurentian Mixed Forest, Prairie Parkland, Eastern Broadleaf Forest, and Aspen Parklands</w:t>
      </w:r>
      <w:r>
        <w:t xml:space="preserve"> </w:t>
      </w:r>
      <w:r>
        <w:t xml:space="preserve">(</w:t>
      </w:r>
      <w:hyperlink w:anchor="ref-cleland1997">
        <w:r>
          <w:rPr>
            <w:rStyle w:val="Hyperlink"/>
          </w:rPr>
          <w:t xml:space="preserve">Cleland et al. 1997</w:t>
        </w:r>
      </w:hyperlink>
      <w:r>
        <w:t xml:space="preserve">)</w:t>
      </w:r>
      <w:r>
        <w:t xml:space="preserve">.</w:t>
      </w:r>
    </w:p>
    <w:p>
      <w:pPr>
        <w:pStyle w:val="CaptionedFigure"/>
      </w:pPr>
      <w:r>
        <w:drawing>
          <wp:inline>
            <wp:extent cx="3810000" cy="2540000"/>
            <wp:effectExtent b="0" l="0" r="0" t="0"/>
            <wp:docPr descr="Figure 1: Insert caption for capture location map here…" title="" id="41" name="Picture"/>
            <a:graphic>
              <a:graphicData uri="http://schemas.openxmlformats.org/drawingml/2006/picture">
                <pic:pic>
                  <pic:nvPicPr>
                    <pic:cNvPr descr="../figures/figs_for_manuscript/capture_locations_with_ar.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Insert caption for capture location map here…</w:t>
      </w:r>
    </w:p>
    <w:bookmarkEnd w:id="43"/>
    <w:bookmarkStart w:id="44" w:name="capture-and-handling"/>
    <w:p>
      <w:pPr>
        <w:pStyle w:val="Heading3"/>
      </w:pPr>
      <w:r>
        <w:rPr>
          <w:rStyle w:val="SectionNumber"/>
        </w:rPr>
        <w:t xml:space="preserve">0.3.2</w:t>
      </w:r>
      <w:r>
        <w:tab/>
      </w:r>
      <w:r>
        <w:t xml:space="preserve">Capture and Handling</w:t>
      </w:r>
    </w:p>
    <w:p>
      <w:pPr>
        <w:pStyle w:val="FirstParagraph"/>
      </w:pPr>
      <w:r>
        <w:t xml:space="preserve">We captured most</w:t>
      </w:r>
      <w:r>
        <w:rPr>
          <w:bCs/>
          <w:b/>
        </w:rPr>
        <w:t xml:space="preserve">either take out most or also add in description of arkansas captures?</w:t>
      </w:r>
      <w:r>
        <w:t xml:space="preserve"> </w:t>
      </w:r>
      <w:r>
        <w:t xml:space="preserve">swans during the definitive prebasic molt period when adult swans replace remiges, and are therefore flightless, using a combination of jon boats, airboats, step deck transom boats, square-stern canoes, and kayaks.</w:t>
      </w:r>
      <w:r>
        <w:t xml:space="preserve"> </w:t>
      </w:r>
      <w:r>
        <w:t xml:space="preserve">We primarily used long-tail mud motors to navigate shallow wetlands where swans were located (Powell Performance Fab, Hutchinson, Minnesota, USA), although some swans were captured using surface-drive motors (Gator-Tail, Loreauville, Louisiana, USA).</w:t>
      </w:r>
      <w:r>
        <w:rPr>
          <w:bCs/>
          <w:b/>
        </w:rPr>
        <w:t xml:space="preserve">need to mention? I would’ve found it useful before starting..</w:t>
      </w:r>
      <w:r>
        <w:t xml:space="preserve"> </w:t>
      </w:r>
      <w:r>
        <w:t xml:space="preserve">We hand-captured swans using a shepherd’s crook pole</w:t>
      </w:r>
      <w:r>
        <w:t xml:space="preserve"> </w:t>
      </w:r>
      <w:r>
        <w:t xml:space="preserve">(</w:t>
      </w:r>
      <w:hyperlink w:anchor="ref-eltringham1978">
        <w:r>
          <w:rPr>
            <w:rStyle w:val="Hyperlink"/>
          </w:rPr>
          <w:t xml:space="preserve">Eltringham 1978</w:t>
        </w:r>
      </w:hyperlink>
      <w:r>
        <w:t xml:space="preserve">,</w:t>
      </w:r>
      <w:r>
        <w:t xml:space="preserve"> </w:t>
      </w:r>
      <w:hyperlink w:anchor="ref-hindman2016">
        <w:r>
          <w:rPr>
            <w:rStyle w:val="Hyperlink"/>
          </w:rPr>
          <w:t xml:space="preserve">Hindman et al. 2016</w:t>
        </w:r>
      </w:hyperlink>
      <w:r>
        <w:t xml:space="preserve">)</w:t>
      </w:r>
      <w:r>
        <w:t xml:space="preserve">.</w:t>
      </w:r>
      <w:r>
        <w:t xml:space="preserve"> </w:t>
      </w:r>
      <w:r>
        <w:t xml:space="preserve">We predominantly targeted adult swans, which have higher survival rates than juveniles, to maximize the longevity of telemetry data collection</w:t>
      </w:r>
      <w:r>
        <w:t xml:space="preserve"> </w:t>
      </w:r>
      <w:r>
        <w:rPr>
          <w:bCs/>
          <w:b/>
        </w:rPr>
        <w:t xml:space="preserve">citation we can use from other swan population?</w:t>
      </w:r>
      <w:r>
        <w:t xml:space="preserve">.</w:t>
      </w:r>
    </w:p>
    <w:p>
      <w:pPr>
        <w:pStyle w:val="BodyText"/>
      </w:pPr>
      <w:r>
        <w:t xml:space="preserve">We marked swans with two types of neck collars; 55-g neck collars with GPS-GSM transmitters incorporated into the collar housing (Model OrniTrack-N62 3G, Ornitela, Vilnius, Lithuania) and 140-g GPS transmitters (Model CTT-ES400, Cellular Tracking Technologies, Rio Grande, New Jersey, USA) that were adhered to 64-mm neck collars (Haggie Engraving, Crumpton, Maryland, USA).</w:t>
      </w:r>
      <w:r>
        <w:t xml:space="preserve"> </w:t>
      </w:r>
      <w:r>
        <w:t xml:space="preserve">Both types of neck collars contained a unique alpha-numeric code for visual identification.</w:t>
      </w:r>
      <w:r>
        <w:t xml:space="preserve"> </w:t>
      </w:r>
      <w:r>
        <w:t xml:space="preserve">Swans captured in Michigan were fit with Cellular Tracking Technologies collars and all other swans in the study were fit with Ornitela collars.</w:t>
      </w:r>
      <w:r>
        <w:t xml:space="preserve"> </w:t>
      </w:r>
      <w:r>
        <w:t xml:space="preserve">All transmitters were programmed to collect GPS locations at 15-min intervals throughout the 24-hr daily period.</w:t>
      </w:r>
      <w:r>
        <w:t xml:space="preserve"> </w:t>
      </w:r>
      <w:r>
        <w:t xml:space="preserve">We leg-banded each swan with a U.S.</w:t>
      </w:r>
      <w:r>
        <w:t xml:space="preserve"> </w:t>
      </w:r>
      <w:r>
        <w:t xml:space="preserve">Geological Survey butt-end aluminum band.</w:t>
      </w:r>
    </w:p>
    <w:p>
      <w:pPr>
        <w:pStyle w:val="BodyText"/>
      </w:pPr>
      <w:r>
        <w:t xml:space="preserve">Protocols for capturing and marking trumpeter swans in U.S. states have been approved by the University of Minnesota Animal Care and Use Committee (protocol no. 1905-37072A), the Minnesota Department of Natural Resources (Special Permit no. 19017), the Michigan Department of Natural Resources (Threatened and Endangered Species Permit TE 175), the U.S.</w:t>
      </w:r>
      <w:r>
        <w:t xml:space="preserve"> </w:t>
      </w:r>
      <w:r>
        <w:t xml:space="preserve">Fish and Wildlife Service (Research &amp; Monitoring Special Use Permit no. K-10-001), and the U.S.</w:t>
      </w:r>
      <w:r>
        <w:t xml:space="preserve"> </w:t>
      </w:r>
      <w:r>
        <w:t xml:space="preserve">Geological Survey Bird Banding Laboratory (Federal Bird Banding Permit no. 21631).</w:t>
      </w:r>
      <w:r>
        <w:t xml:space="preserve"> </w:t>
      </w:r>
      <w:r>
        <w:t xml:space="preserve">All capture and marking of trumpeter swans in Manitoba was conducted under Federal Scientific Permit to Capture and Band Migratory Birds (no. 10271), Federal Animal Care Committee approval (project 20FB02), Provincial Species at Risk Permit (no. SAR20012), and Provincial Park Permit (no. PP-PHQ-20-016).</w:t>
      </w:r>
      <w:r>
        <w:rPr>
          <w:bCs/>
          <w:b/>
        </w:rPr>
        <w:t xml:space="preserve">Need permit info from WI, IA, AR, and OH?</w:t>
      </w:r>
    </w:p>
    <w:bookmarkEnd w:id="44"/>
    <w:bookmarkStart w:id="45" w:name="migration-phenology-classification"/>
    <w:p>
      <w:pPr>
        <w:pStyle w:val="Heading3"/>
      </w:pPr>
      <w:r>
        <w:rPr>
          <w:rStyle w:val="SectionNumber"/>
        </w:rPr>
        <w:t xml:space="preserve">0.3.3</w:t>
      </w:r>
      <w:r>
        <w:tab/>
      </w:r>
      <w:r>
        <w:t xml:space="preserve">Migration Phenology Classification</w:t>
      </w:r>
    </w:p>
    <w:p>
      <w:pPr>
        <w:pStyle w:val="FirstParagraph"/>
      </w:pPr>
      <w:r>
        <w:t xml:space="preserve">To quantify migration phenology throughout the annual cycle, we first calculated yearly time-series of Net-Squared Displacement (NSD) values for swan, using July 1 as a cutoff date between years for individuals with multiple years of GPS data, and then condensed the dataset to a single average NSD value for each day.</w:t>
      </w:r>
      <w:r>
        <w:t xml:space="preserve"> </w:t>
      </w:r>
      <w:r>
        <w:t xml:space="preserve">After excluding swan-year datasets with less than 30 days of data, we iteratively fit a series of 7 intercept-only piecewise regression models to each time-series.</w:t>
      </w:r>
      <w:r>
        <w:t xml:space="preserve"> </w:t>
      </w:r>
      <w:r>
        <w:t xml:space="preserve">The syntax of each model corresponded to an increasing number of intercepts included (1-7) for average NSD values throughout the time series separated by breakpoints in time where the intercept values transitioned, therefore intercepts represent stationary segments in time corresponding to periods of the annual cycle, and breakpoints are the transitions between these segments.</w:t>
      </w:r>
      <w:r>
        <w:t xml:space="preserve"> </w:t>
      </w:r>
      <w:r>
        <w:t xml:space="preserve">We fit all piecewise regression models in JAGS</w:t>
      </w:r>
      <w:r>
        <w:t xml:space="preserve"> </w:t>
      </w:r>
      <w:r>
        <w:t xml:space="preserve">(</w:t>
      </w:r>
      <w:hyperlink w:anchor="ref-plummer2003">
        <w:r>
          <w:rPr>
            <w:rStyle w:val="Hyperlink"/>
          </w:rPr>
          <w:t xml:space="preserve">Plummer 2003</w:t>
        </w:r>
      </w:hyperlink>
      <w:r>
        <w:t xml:space="preserve">)</w:t>
      </w:r>
      <w:r>
        <w:t xml:space="preserve"> </w:t>
      </w:r>
      <w:r>
        <w:t xml:space="preserve">using the mcp package</w:t>
      </w:r>
      <w:r>
        <w:t xml:space="preserve"> </w:t>
      </w:r>
      <w:r>
        <w:t xml:space="preserve">(</w:t>
      </w:r>
      <w:hyperlink w:anchor="ref-lindelov2020">
        <w:r>
          <w:rPr>
            <w:rStyle w:val="Hyperlink"/>
          </w:rPr>
          <w:t xml:space="preserve">Lindeløv 2020</w:t>
        </w:r>
      </w:hyperlink>
      <w:r>
        <w:t xml:space="preserve">)</w:t>
      </w:r>
      <w:r>
        <w:t xml:space="preserve"> </w:t>
      </w:r>
      <w:r>
        <w:t xml:space="preserve">in Program R version 4.0.2</w:t>
      </w:r>
      <w:r>
        <w:t xml:space="preserve"> </w:t>
      </w:r>
      <w:r>
        <w:t xml:space="preserve">(</w:t>
      </w:r>
      <w:hyperlink w:anchor="ref-rcoredevelopmentteam2022">
        <w:r>
          <w:rPr>
            <w:rStyle w:val="Hyperlink"/>
          </w:rPr>
          <w:t xml:space="preserve">Team 2022</w:t>
        </w:r>
      </w:hyperlink>
      <w:r>
        <w:t xml:space="preserve">)</w:t>
      </w:r>
      <w:r>
        <w:t xml:space="preserve">, using 15,000 iterations and a burn-in period of 10,000.</w:t>
      </w:r>
      <w:r>
        <w:t xml:space="preserve"> </w:t>
      </w:r>
      <w:r>
        <w:t xml:space="preserve">We ran all scripts in parallel using the future package on a partition of the Minnesota Supercomputing Institute (MSI) with 48 cores and 50GB RAM per core</w:t>
      </w:r>
      <w:r>
        <w:t xml:space="preserve"> </w:t>
      </w:r>
      <w:r>
        <w:t xml:space="preserve">(</w:t>
      </w:r>
      <w:hyperlink w:anchor="ref-bengtsson2021">
        <w:r>
          <w:rPr>
            <w:rStyle w:val="Hyperlink"/>
          </w:rPr>
          <w:t xml:space="preserve">Bengtsson 2021</w:t>
        </w:r>
      </w:hyperlink>
      <w:r>
        <w:t xml:space="preserve">)</w:t>
      </w:r>
      <w:r>
        <w:t xml:space="preserve">.</w:t>
      </w:r>
      <w:r>
        <w:t xml:space="preserve"> </w:t>
      </w:r>
      <w:r>
        <w:t xml:space="preserve">We evaluated MCMC chain convergence via the Gelman-Rubin convergence diagnostic and excluded any model containing a parameter with a value of</w:t>
      </w:r>
      <w:r>
        <w:t xml:space="preserve"> </w:t>
      </w:r>
      <m:oMath>
        <m:acc>
          <m:accPr>
            <m:chr m:val="̂"/>
          </m:accPr>
          <m:e>
            <m:r>
              <m:t>R</m:t>
            </m:r>
          </m:e>
        </m:acc>
      </m:oMath>
      <w:r>
        <w:t xml:space="preserve"> </w:t>
      </w:r>
      <w:r>
        <w:t xml:space="preserve">&gt;1.1 from further analyses</w:t>
      </w:r>
      <w:r>
        <w:t xml:space="preserve"> </w:t>
      </w:r>
      <w:r>
        <w:t xml:space="preserve">(</w:t>
      </w:r>
      <w:hyperlink w:anchor="ref-brooks1998">
        <w:r>
          <w:rPr>
            <w:rStyle w:val="Hyperlink"/>
          </w:rPr>
          <w:t xml:space="preserve">Brooks and Gelman 1998</w:t>
        </w:r>
      </w:hyperlink>
      <w:r>
        <w:t xml:space="preserve">)</w:t>
      </w:r>
      <w:r>
        <w:t xml:space="preserve">.</w:t>
      </w:r>
      <w:r>
        <w:t xml:space="preserve"> </w:t>
      </w:r>
      <w:r>
        <w:t xml:space="preserve">If all parameters in a model passed the</w:t>
      </w:r>
      <w:r>
        <w:t xml:space="preserve"> </w:t>
      </w:r>
      <m:oMath>
        <m:acc>
          <m:accPr>
            <m:chr m:val="̂"/>
          </m:accPr>
          <m:e>
            <m:r>
              <m:t>R</m:t>
            </m:r>
          </m:e>
        </m:acc>
      </m:oMath>
      <w:r>
        <w:t xml:space="preserve"> </w:t>
      </w:r>
      <w:r>
        <w:t xml:space="preserve">threshold, we evaluated model fit and predictive performance using leave-one-out cross-validation (LOO-CV) with Pareto smoothed importance sampling to estimate the Expected Log Predictive Density (ELPD), using the loo package</w:t>
      </w:r>
      <w:r>
        <w:t xml:space="preserve"> </w:t>
      </w:r>
      <w:r>
        <w:t xml:space="preserve">(</w:t>
      </w:r>
      <w:hyperlink w:anchor="ref-gelman2014">
        <w:r>
          <w:rPr>
            <w:rStyle w:val="Hyperlink"/>
          </w:rPr>
          <w:t xml:space="preserve">Gelman et al. 2014</w:t>
        </w:r>
      </w:hyperlink>
      <w:r>
        <w:t xml:space="preserve">,</w:t>
      </w:r>
      <w:r>
        <w:t xml:space="preserve"> </w:t>
      </w:r>
      <w:hyperlink w:anchor="ref-vehtari2017">
        <w:r>
          <w:rPr>
            <w:rStyle w:val="Hyperlink"/>
          </w:rPr>
          <w:t xml:space="preserve">Vehtari et al. 2017</w:t>
        </w:r>
      </w:hyperlink>
      <w:r>
        <w:t xml:space="preserve">)</w:t>
      </w:r>
      <w:r>
        <w:t xml:space="preserve">.</w:t>
      </w:r>
      <w:r>
        <w:t xml:space="preserve"> </w:t>
      </w:r>
      <w:r>
        <w:t xml:space="preserve">The ELPD values reflect the ability of the model to predict the posterior density of withheld data.</w:t>
      </w:r>
      <w:r>
        <w:t xml:space="preserve"> </w:t>
      </w:r>
      <w:r>
        <w:t xml:space="preserve">We used LOO-CV to choose the ideal number of breakpoints (and thereby segments which correspond to migratory periods) for each swan-year dataset by selecting the model with the best ELPD value.</w:t>
      </w:r>
    </w:p>
    <w:p>
      <w:pPr>
        <w:pStyle w:val="BodyText"/>
      </w:pPr>
      <w:r>
        <w:t xml:space="preserve">We qualitatively inspected the visual fit of each model chosen by ELPD for each swan-year dataset and removed any that were obvious poor fits such that information from the breakpoints and intercepts would not be able to describe the annual migration phenology.</w:t>
      </w:r>
      <w:r>
        <w:t xml:space="preserve"> </w:t>
      </w:r>
      <w:r>
        <w:rPr>
          <w:bCs/>
          <w:b/>
        </w:rPr>
        <w:t xml:space="preserve">(link to supplemental materials giving more text on this process and possibly some example figures; come back to this in the discussion re: automated/semi-automated workflows)</w:t>
      </w:r>
      <w:r>
        <w:t xml:space="preserve"> </w:t>
      </w:r>
      <w:r>
        <w:t xml:space="preserve">For all the models that passed visual inspection,</w:t>
      </w:r>
      <w:r>
        <w:t xml:space="preserve"> </w:t>
      </w:r>
      <w:r>
        <w:rPr>
          <w:bCs/>
          <w:b/>
        </w:rPr>
        <w:t xml:space="preserve">(make sure to mention the ~90% number in the results)</w:t>
      </w:r>
      <w:r>
        <w:t xml:space="preserve"> </w:t>
      </w:r>
      <w:r>
        <w:t xml:space="preserve">we extracted parameter values to represent the movement metrics of interest</w:t>
      </w:r>
      <w:r>
        <w:t xml:space="preserve"> </w:t>
      </w:r>
      <w:r>
        <w:rPr>
          <w:bCs/>
          <w:b/>
        </w:rPr>
        <w:t xml:space="preserve">(reference all of these metrics in a table?)</w:t>
      </w:r>
      <w:r>
        <w:t xml:space="preserve"> </w:t>
      </w:r>
      <w:r>
        <w:t xml:space="preserve">after first applying a series of criteria thresholds to strengthen the biological connection of the breakpoints and intercept values from the fitted models.</w:t>
      </w:r>
      <w:r>
        <w:t xml:space="preserve"> </w:t>
      </w:r>
      <w:r>
        <w:rPr>
          <w:bCs/>
          <w:b/>
        </w:rPr>
        <w:t xml:space="preserve">(include these in the supplemental as well?)</w:t>
      </w:r>
      <w:r>
        <w:t xml:space="preserve">.</w:t>
      </w:r>
    </w:p>
    <w:bookmarkEnd w:id="45"/>
    <w:bookmarkStart w:id="46" w:name="summary-of-migratory-trends"/>
    <w:p>
      <w:pPr>
        <w:pStyle w:val="Heading3"/>
      </w:pPr>
      <w:r>
        <w:rPr>
          <w:rStyle w:val="SectionNumber"/>
        </w:rPr>
        <w:t xml:space="preserve">0.3.4</w:t>
      </w:r>
      <w:r>
        <w:tab/>
      </w:r>
      <w:r>
        <w:t xml:space="preserve">Summary of Migratory Trends</w:t>
      </w:r>
    </w:p>
    <w:p>
      <w:pPr>
        <w:pStyle w:val="FirstParagraph"/>
      </w:pPr>
      <w:r>
        <w:t xml:space="preserve">We devised a flexible workflow that could accommodate a wide breadth of variability in annual movements (because we’re fitting to individual years of data from each swan instead of a bigger pooler dataset) but still allow for population-level inference.</w:t>
      </w:r>
      <w:r>
        <w:t xml:space="preserve"> </w:t>
      </w:r>
      <w:r>
        <w:t xml:space="preserve">For all swan-year datasets that had &gt;30 points and had the best-fitting model pass the</w:t>
      </w:r>
      <w:r>
        <w:t xml:space="preserve"> </w:t>
      </w:r>
      <w:r>
        <w:t xml:space="preserve">‘</w:t>
      </w:r>
      <w:r>
        <w:t xml:space="preserve">eyeball</w:t>
      </w:r>
      <w:r>
        <w:t xml:space="preserve">’</w:t>
      </w:r>
      <w:r>
        <w:t xml:space="preserve"> </w:t>
      </w:r>
      <w:r>
        <w:t xml:space="preserve">test, we pulled out a number of movement metrics to describe the annual movement trends.</w:t>
      </w:r>
      <w:r>
        <w:t xml:space="preserve"> </w:t>
      </w:r>
      <w:r>
        <w:t xml:space="preserve">Before pulling out these metrics, we first established a ruleset to exclude erroneous segments and changepoints that didn’t represent biologically meaningful transitions between different segments of the annual movement cycle.</w:t>
      </w:r>
      <w:r>
        <w:t xml:space="preserve"> </w:t>
      </w:r>
      <w:r>
        <w:rPr>
          <w:bCs/>
          <w:b/>
        </w:rPr>
        <w:t xml:space="preserve">See supplemental methods for more description of rule-based thresholds</w:t>
      </w:r>
    </w:p>
    <w:p>
      <w:pPr>
        <w:pStyle w:val="BodyText"/>
      </w:pPr>
      <w:r>
        <w:rPr>
          <w:bCs/>
          <w:b/>
        </w:rPr>
        <w:t xml:space="preserve">Worth mentioning that for the Arkansas swans the coded workflow couldn’t work because it was designed for summer-winter-summer time series, so I pulled off the migration metric information</w:t>
      </w:r>
      <w:r>
        <w:rPr>
          <w:bCs/>
          <w:b/>
        </w:rPr>
        <w:t xml:space="preserve"> </w:t>
      </w:r>
      <w:r>
        <w:rPr>
          <w:bCs/>
          <w:b/>
        </w:rPr>
        <w:t xml:space="preserve">‘</w:t>
      </w:r>
      <w:r>
        <w:rPr>
          <w:bCs/>
          <w:b/>
        </w:rPr>
        <w:t xml:space="preserve">by hand</w:t>
      </w:r>
      <w:r>
        <w:rPr>
          <w:bCs/>
          <w:b/>
        </w:rPr>
        <w:t xml:space="preserve">’</w:t>
      </w:r>
      <w:r>
        <w:rPr>
          <w:bCs/>
          <w:b/>
        </w:rPr>
        <w:t xml:space="preserve">?</w:t>
      </w:r>
    </w:p>
    <w:p>
      <w:pPr>
        <w:pStyle w:val="BodyText"/>
      </w:pPr>
      <w:r>
        <w:rPr>
          <w:bCs/>
          <w:b/>
        </w:rPr>
        <w:t xml:space="preserve">Include all the summary parameters in a table?</w:t>
      </w:r>
    </w:p>
    <w:p>
      <w:pPr>
        <w:pStyle w:val="BodyText"/>
      </w:pPr>
      <w:r>
        <w:rPr>
          <w:bCs/>
          <w:b/>
        </w:rPr>
        <w:t xml:space="preserve">Include a supplemental file that shows the thresholds for each rule in the script that pulls out the movement summary information. In the main text, briefly allude to the ruleset without laying everything out in a lot of detail?</w:t>
      </w:r>
    </w:p>
    <w:bookmarkEnd w:id="46"/>
    <w:bookmarkEnd w:id="47"/>
    <w:bookmarkStart w:id="57" w:name="results"/>
    <w:p>
      <w:pPr>
        <w:pStyle w:val="Heading2"/>
      </w:pPr>
      <w:r>
        <w:rPr>
          <w:rStyle w:val="SectionNumber"/>
        </w:rPr>
        <w:t xml:space="preserve">0.4</w:t>
      </w:r>
      <w:r>
        <w:tab/>
      </w:r>
      <w:r>
        <w:t xml:space="preserve">Results</w:t>
      </w:r>
    </w:p>
    <w:p>
      <w:pPr>
        <w:pStyle w:val="FirstParagraph"/>
      </w:pPr>
      <w:r>
        <w:rPr>
          <w:bCs/>
          <w:b/>
        </w:rPr>
        <w:t xml:space="preserve">Collar deployment</w:t>
      </w:r>
      <w:r>
        <w:t xml:space="preserve"> </w:t>
      </w:r>
      <w:r>
        <w:t xml:space="preserve">We deployed 113 collars with GPS-GSM transmitters on 126 trumpeter swans (including 13 redeployments using collars recovered from mortalities).</w:t>
      </w:r>
      <w:r>
        <w:t xml:space="preserve"> </w:t>
      </w:r>
      <w:r>
        <w:t xml:space="preserve">Of these, 78 are female and 48 are male; 73 were breeding adults (cygnets present), 22 are adults with mates present but not cygnets at time of capture, 24 were non-breeding adults captured while in large groups, and 6 were cygnets at the time of capture.</w:t>
      </w:r>
    </w:p>
    <w:p>
      <w:pPr>
        <w:pStyle w:val="BodyText"/>
      </w:pPr>
      <w:r>
        <w:rPr>
          <w:bCs/>
          <w:b/>
        </w:rPr>
        <w:t xml:space="preserve">Unnecessary level of detail?</w:t>
      </w:r>
      <w:r>
        <w:t xml:space="preserve"> </w:t>
      </w:r>
      <w:r>
        <w:t xml:space="preserve">In 2019, we deployed 19 transmitters (7 in Minnesota and 12 in Michigan).</w:t>
      </w:r>
      <w:r>
        <w:t xml:space="preserve"> </w:t>
      </w:r>
      <w:r>
        <w:t xml:space="preserve">In 2020, we deployed an additional 78 transmitters (10 in Manitoba, 40 in Minnesota, 9 in Iowa, 5 in Wisconsin, 2 in Michigan, 12 in Ohio).</w:t>
      </w:r>
      <w:r>
        <w:t xml:space="preserve"> </w:t>
      </w:r>
      <w:r>
        <w:t xml:space="preserve">In 2021, we deployed an additional 28 transmitters, 11 of which were re-deployments (1 in Manitoba, 9 in Minnesota, 2 in Iowa, 4 in Wisconsin, 8 in Ohio, and 4 in Arkansas).</w:t>
      </w:r>
      <w:r>
        <w:t xml:space="preserve"> </w:t>
      </w:r>
      <w:r>
        <w:t xml:space="preserve">In 2022 we redeployed 1 transmitter in Iowa.</w:t>
      </w:r>
    </w:p>
    <w:p>
      <w:pPr>
        <w:pStyle w:val="BodyText"/>
      </w:pPr>
      <w:r>
        <w:t xml:space="preserve">We initially had 252 unique</w:t>
      </w:r>
      <w:r>
        <w:t xml:space="preserve"> </w:t>
      </w:r>
      <w:r>
        <w:t xml:space="preserve">‘</w:t>
      </w:r>
      <w:r>
        <w:t xml:space="preserve">swan-year</w:t>
      </w:r>
      <w:r>
        <w:t xml:space="preserve">’</w:t>
      </w:r>
      <w:r>
        <w:t xml:space="preserve"> </w:t>
      </w:r>
      <w:r>
        <w:t xml:space="preserve">datasets of annual movement data.</w:t>
      </w:r>
      <w:r>
        <w:t xml:space="preserve"> </w:t>
      </w:r>
      <w:r>
        <w:t xml:space="preserve">We excluded 11 datasets because they had less than 30 days of locations, and therefore were insufficient to estimate movement trends, and fit mcp models to the remaining 241 swan-year datasets.</w:t>
      </w:r>
    </w:p>
    <w:p>
      <w:pPr>
        <w:pStyle w:val="BodyText"/>
      </w:pPr>
      <w:r>
        <w:t xml:space="preserve">After visually inspecting piecewise regression model fit, we excluded an additional 11 swan-year datasets that didn’t have a good model fit, bringing the number to 230.</w:t>
      </w:r>
    </w:p>
    <w:p>
      <w:pPr>
        <w:pStyle w:val="BodyText"/>
      </w:pPr>
      <w:r>
        <w:t xml:space="preserve">We then excluded xxx number of swan-year datasets that had large dispersal events during the summer, and therefore didn’t conform to the methodology we used to extract info from fitted piecewise regression models.</w:t>
      </w:r>
    </w:p>
    <w:p>
      <w:pPr>
        <w:pStyle w:val="BodyText"/>
      </w:pPr>
      <w:r>
        <w:t xml:space="preserve">Include this figure of collar deployments?</w:t>
      </w:r>
    </w:p>
    <w:p>
      <w:pPr>
        <w:pStyle w:val="CaptionedFigure"/>
      </w:pPr>
      <w:r>
        <w:drawing>
          <wp:inline>
            <wp:extent cx="3810000" cy="2540000"/>
            <wp:effectExtent b="0" l="0" r="0" t="0"/>
            <wp:docPr descr="Figure 2: Insert caption for data deployment figure here…" title="" id="49" name="Picture"/>
            <a:graphic>
              <a:graphicData uri="http://schemas.openxmlformats.org/drawingml/2006/picture">
                <pic:pic>
                  <pic:nvPicPr>
                    <pic:cNvPr descr="../figures/figs_for_manuscript/deployments.tiff"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Insert caption for data deployment figure here…</w:t>
      </w:r>
    </w:p>
    <w:p>
      <w:pPr>
        <w:pStyle w:val="BodyText"/>
      </w:pPr>
      <w:r>
        <w:rPr>
          <w:bCs/>
          <w:b/>
        </w:rPr>
        <w:t xml:space="preserve">Include some/all of the figures for the most important summaries of annual movement. And also include a reference to the full table of all parameter output.</w:t>
      </w:r>
    </w:p>
    <w:p>
      <w:pPr>
        <w:pStyle w:val="CaptionedFigure"/>
      </w:pPr>
      <w:r>
        <w:drawing>
          <wp:inline>
            <wp:extent cx="4620126" cy="3696101"/>
            <wp:effectExtent b="0" l="0" r="0" t="0"/>
            <wp:docPr descr="Figure 3: Insert caption for lat vs duration figure here…" title="" id="52" name="Picture"/>
            <a:graphic>
              <a:graphicData uri="http://schemas.openxmlformats.org/drawingml/2006/picture">
                <pic:pic>
                  <pic:nvPicPr>
                    <pic:cNvPr descr="annual_mvmt_draft_files/figure-docx/mig-duratio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Insert caption for lat vs duration figure here…</w:t>
      </w:r>
    </w:p>
    <w:p>
      <w:pPr>
        <w:pStyle w:val="CaptionedFigure"/>
      </w:pPr>
      <w:r>
        <w:drawing>
          <wp:inline>
            <wp:extent cx="4620126" cy="3696101"/>
            <wp:effectExtent b="0" l="0" r="0" t="0"/>
            <wp:docPr descr="Figure 4: Insert caption for timing vs breeding status figure here…" title="" id="55" name="Picture"/>
            <a:graphic>
              <a:graphicData uri="http://schemas.openxmlformats.org/drawingml/2006/picture">
                <pic:pic>
                  <pic:nvPicPr>
                    <pic:cNvPr descr="annual_mvmt_draft_files/figure-docx/timing-vs-breeding-fi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Insert caption for timing vs breeding status figure here…</w:t>
      </w:r>
    </w:p>
    <w:bookmarkEnd w:id="57"/>
    <w:bookmarkStart w:id="60" w:name="discussion"/>
    <w:p>
      <w:pPr>
        <w:pStyle w:val="Heading2"/>
      </w:pPr>
      <w:r>
        <w:rPr>
          <w:rStyle w:val="SectionNumber"/>
        </w:rPr>
        <w:t xml:space="preserve">0.5</w:t>
      </w:r>
      <w:r>
        <w:tab/>
      </w:r>
      <w:r>
        <w:t xml:space="preserve">Discussion</w:t>
      </w:r>
    </w:p>
    <w:bookmarkStart w:id="58" w:name="X0e7875bebc8dea51159f793725bf2acab1cd2eb"/>
    <w:p>
      <w:pPr>
        <w:pStyle w:val="Heading3"/>
      </w:pPr>
      <w:r>
        <w:rPr>
          <w:rStyle w:val="SectionNumber"/>
        </w:rPr>
        <w:t xml:space="preserve">0.5.1</w:t>
      </w:r>
      <w:r>
        <w:tab/>
      </w:r>
      <w:r>
        <w:t xml:space="preserve">Summarize main take-aways and the bigger relevance</w:t>
      </w:r>
    </w:p>
    <w:bookmarkEnd w:id="58"/>
    <w:bookmarkStart w:id="59" w:name="migration-segmentation-methods"/>
    <w:p>
      <w:pPr>
        <w:pStyle w:val="Heading3"/>
      </w:pPr>
      <w:r>
        <w:rPr>
          <w:rStyle w:val="SectionNumber"/>
        </w:rPr>
        <w:t xml:space="preserve">0.5.2</w:t>
      </w:r>
      <w:r>
        <w:tab/>
      </w:r>
      <w:r>
        <w:t xml:space="preserve">Migration Segmentation methods</w:t>
      </w:r>
    </w:p>
    <w:p>
      <w:pPr>
        <w:pStyle w:val="FirstParagraph"/>
      </w:pPr>
      <w:r>
        <w:t xml:space="preserve">What others have done: – Threshold-based (Rely on arbitrary choices, not generalizable to other species) - Date-based time threshold, distance-based spatial threshold, a combination of both</w:t>
      </w:r>
    </w:p>
    <w:p>
      <w:pPr>
        <w:pStyle w:val="BodyText"/>
      </w:pPr>
      <w:r>
        <w:t xml:space="preserve">– Model-based (objective, but may not be very accurate) - traditional NSD Bunnefeld curve-fitting approach (and the Spitz migrateR package with slightly more flexibility)</w:t>
      </w:r>
    </w:p>
    <w:p>
      <w:pPr>
        <w:pStyle w:val="BodyText"/>
      </w:pPr>
      <w:r>
        <w:t xml:space="preserve">Hybrid approaches - Visual ID based on k-means clustering of distance and elevation</w:t>
      </w:r>
      <w:r>
        <w:t xml:space="preserve"> </w:t>
      </w:r>
      <w:r>
        <w:t xml:space="preserve">(</w:t>
      </w:r>
      <w:hyperlink w:anchor="ref-lowrey2020">
        <w:r>
          <w:rPr>
            <w:rStyle w:val="Hyperlink"/>
          </w:rPr>
          <w:t xml:space="preserve">Lowrey et al. 2020</w:t>
        </w:r>
      </w:hyperlink>
      <w:r>
        <w:t xml:space="preserve">,</w:t>
      </w:r>
      <w:r>
        <w:t xml:space="preserve"> </w:t>
      </w:r>
      <w:hyperlink w:anchor="ref-zuckerman2023">
        <w:r>
          <w:rPr>
            <w:rStyle w:val="Hyperlink"/>
          </w:rPr>
          <w:t xml:space="preserve">Zuckerman et al. 2023</w:t>
        </w:r>
      </w:hyperlink>
      <w:r>
        <w:t xml:space="preserve">)</w:t>
      </w:r>
    </w:p>
    <w:p>
      <w:pPr>
        <w:pStyle w:val="BodyText"/>
      </w:pPr>
      <w:r>
        <w:t xml:space="preserve">How our methods are different from others.</w:t>
      </w:r>
    </w:p>
    <w:p>
      <w:pPr>
        <w:pStyle w:val="BodyText"/>
      </w:pPr>
      <w:r>
        <w:t xml:space="preserve">Our attempt at semi-automated analyses; if there is no human component there is an inevitable level of bias, but this can be reduced with a minimalist human component such as visually inspecting model fits and kicking out obviously bad fits.</w:t>
      </w:r>
      <w:r>
        <w:t xml:space="preserve"> </w:t>
      </w:r>
      <w:r>
        <w:t xml:space="preserve">By adopting a compromise between a purely automated and objective approach that may present more bias if asked to accommodate too much biological variability and a more Trying to consider migration as more of a continuum.</w:t>
      </w:r>
    </w:p>
    <w:p>
      <w:pPr>
        <w:pStyle w:val="BodyText"/>
      </w:pPr>
      <w:r>
        <w:t xml:space="preserve">Net-Squared Displacement has been most commonly used to categorize migration by fitting a small number of non-linear theoretic movement models that represent traditional types of migration and choosing the movement model with the lowest AIC value</w:t>
      </w:r>
      <w:r>
        <w:t xml:space="preserve"> </w:t>
      </w:r>
      <w:r>
        <w:t xml:space="preserve">(</w:t>
      </w:r>
      <w:hyperlink w:anchor="ref-bunnefeld2011">
        <w:r>
          <w:rPr>
            <w:rStyle w:val="Hyperlink"/>
          </w:rPr>
          <w:t xml:space="preserve">Bunnefeld et al. 2011</w:t>
        </w:r>
      </w:hyperlink>
      <w:r>
        <w:t xml:space="preserve">,</w:t>
      </w:r>
      <w:r>
        <w:t xml:space="preserve"> </w:t>
      </w:r>
      <w:hyperlink w:anchor="ref-spitz2017">
        <w:r>
          <w:rPr>
            <w:rStyle w:val="Hyperlink"/>
          </w:rPr>
          <w:t xml:space="preserve">Spitz et al. 2017</w:t>
        </w:r>
      </w:hyperlink>
      <w:r>
        <w:t xml:space="preserve">)</w:t>
      </w:r>
      <w:r>
        <w:t xml:space="preserve">, a relatively straightforward approach, although some studies have shown that it often does not reliably identify migration at an individual level</w:t>
      </w:r>
      <w:r>
        <w:t xml:space="preserve"> </w:t>
      </w:r>
      <w:r>
        <w:t xml:space="preserve">(</w:t>
      </w:r>
      <w:hyperlink w:anchor="ref-cagnacci2016">
        <w:r>
          <w:rPr>
            <w:rStyle w:val="Hyperlink"/>
          </w:rPr>
          <w:t xml:space="preserve">Cagnacci et al. 2016</w:t>
        </w:r>
      </w:hyperlink>
      <w:r>
        <w:t xml:space="preserve">)</w:t>
      </w:r>
      <w:r>
        <w:t xml:space="preserve">.</w:t>
      </w:r>
    </w:p>
    <w:p>
      <w:pPr>
        <w:pStyle w:val="BodyText"/>
      </w:pPr>
      <w:r>
        <w:t xml:space="preserve">Despite the prevalence of this approach, increasing evidence has been provided to suggest that the majority of migration doesn’t fit into these restrictive categories and that migration should instead be considered along a continuous behavioral gradient</w:t>
      </w:r>
      <w:r>
        <w:t xml:space="preserve"> </w:t>
      </w:r>
      <w:r>
        <w:t xml:space="preserve">(</w:t>
      </w:r>
      <w:hyperlink w:anchor="ref-ball2001">
        <w:r>
          <w:rPr>
            <w:rStyle w:val="Hyperlink"/>
          </w:rPr>
          <w:t xml:space="preserve">Ball et al. 2001</w:t>
        </w:r>
      </w:hyperlink>
      <w:r>
        <w:t xml:space="preserve">,</w:t>
      </w:r>
      <w:r>
        <w:t xml:space="preserve"> </w:t>
      </w:r>
      <w:hyperlink w:anchor="ref-dingle2007a">
        <w:r>
          <w:rPr>
            <w:rStyle w:val="Hyperlink"/>
          </w:rPr>
          <w:t xml:space="preserve">Dingle and Drake 2007</w:t>
        </w:r>
      </w:hyperlink>
      <w:r>
        <w:t xml:space="preserve">)</w:t>
      </w:r>
      <w:r>
        <w:t xml:space="preserve">.</w:t>
      </w:r>
    </w:p>
    <w:bookmarkEnd w:id="59"/>
    <w:bookmarkEnd w:id="60"/>
    <w:bookmarkStart w:id="61" w:name="acknowledgements"/>
    <w:p>
      <w:pPr>
        <w:pStyle w:val="Heading2"/>
      </w:pPr>
      <w:r>
        <w:rPr>
          <w:rStyle w:val="SectionNumber"/>
        </w:rPr>
        <w:t xml:space="preserve">0.6</w:t>
      </w:r>
      <w:r>
        <w:tab/>
      </w:r>
      <w:r>
        <w:t xml:space="preserve">Acknowledgements</w:t>
      </w:r>
    </w:p>
    <w:bookmarkEnd w:id="61"/>
    <w:bookmarkStart w:id="107" w:name="references"/>
    <w:p>
      <w:pPr>
        <w:pStyle w:val="Heading2"/>
      </w:pPr>
      <w:r>
        <w:t xml:space="preserve">References</w:t>
      </w:r>
    </w:p>
    <w:bookmarkStart w:id="106" w:name="refs"/>
    <w:bookmarkStart w:id="63" w:name="ref-ball2001"/>
    <w:p>
      <w:pPr>
        <w:pStyle w:val="Bibliography"/>
      </w:pPr>
      <w:r>
        <w:t xml:space="preserve">Ball, J. P., C. Nordengren, and K. Wallin. 2001.</w:t>
      </w:r>
      <w:r>
        <w:t xml:space="preserve"> </w:t>
      </w:r>
      <w:hyperlink r:id="rId62">
        <w:r>
          <w:rPr>
            <w:rStyle w:val="Hyperlink"/>
          </w:rPr>
          <w:t xml:space="preserve">Partial migration by large ungulates: Characteristics of seasonal moose</w:t>
        </w:r>
        <w:r>
          <w:rPr>
            <w:rStyle w:val="Hyperlink"/>
          </w:rPr>
          <w:t xml:space="preserve"> </w:t>
        </w:r>
        <w:r>
          <w:rPr>
            <w:rStyle w:val="Hyperlink"/>
          </w:rPr>
          <w:t xml:space="preserve">Alces</w:t>
        </w:r>
        <w:r>
          <w:rPr>
            <w:rStyle w:val="Hyperlink"/>
          </w:rPr>
          <w:t xml:space="preserve"> </w:t>
        </w:r>
        <w:r>
          <w:rPr>
            <w:rStyle w:val="Hyperlink"/>
          </w:rPr>
          <w:t xml:space="preserve">alces ranges in northern</w:t>
        </w:r>
        <w:r>
          <w:rPr>
            <w:rStyle w:val="Hyperlink"/>
          </w:rPr>
          <w:t xml:space="preserve"> </w:t>
        </w:r>
        <w:r>
          <w:rPr>
            <w:rStyle w:val="Hyperlink"/>
          </w:rPr>
          <w:t xml:space="preserve">Sweden</w:t>
        </w:r>
      </w:hyperlink>
      <w:r>
        <w:t xml:space="preserve">. Wildlife Biology 7:39–47.</w:t>
      </w:r>
    </w:p>
    <w:bookmarkEnd w:id="63"/>
    <w:bookmarkStart w:id="64" w:name="ref-banko1960"/>
    <w:p>
      <w:pPr>
        <w:pStyle w:val="Bibliography"/>
      </w:pPr>
      <w:r>
        <w:t xml:space="preserve">Banko, W. 1960. The trumpeter swan: Its history, habits, and population in the</w:t>
      </w:r>
      <w:r>
        <w:t xml:space="preserve"> </w:t>
      </w:r>
      <w:r>
        <w:t xml:space="preserve">United States</w:t>
      </w:r>
      <w:r>
        <w:t xml:space="preserve">. North American Fauna 1–214.</w:t>
      </w:r>
    </w:p>
    <w:bookmarkEnd w:id="64"/>
    <w:bookmarkStart w:id="66" w:name="ref-bengtsson2021"/>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 The R Journal 13:208. &lt;</w:t>
      </w:r>
      <w:hyperlink r:id="rId65">
        <w:r>
          <w:rPr>
            <w:rStyle w:val="Hyperlink"/>
          </w:rPr>
          <w:t xml:space="preserve">https://arxiv.org/abs/2008.00553</w:t>
        </w:r>
      </w:hyperlink>
      <w:r>
        <w:t xml:space="preserve">&gt;. Accessed 29 Dec 2022.</w:t>
      </w:r>
    </w:p>
    <w:bookmarkEnd w:id="66"/>
    <w:bookmarkStart w:id="68" w:name="ref-brooks1998"/>
    <w:p>
      <w:pPr>
        <w:pStyle w:val="Bibliography"/>
      </w:pPr>
      <w:r>
        <w:t xml:space="preserve">Brooks, S. P., and A. Gelman. 1998.</w:t>
      </w:r>
      <w:r>
        <w:t xml:space="preserve"> </w:t>
      </w:r>
      <w:hyperlink r:id="rId67">
        <w:r>
          <w:rPr>
            <w:rStyle w:val="Hyperlink"/>
          </w:rPr>
          <w:t xml:space="preserve">General</w:t>
        </w:r>
        <w:r>
          <w:rPr>
            <w:rStyle w:val="Hyperlink"/>
          </w:rPr>
          <w:t xml:space="preserve"> </w:t>
        </w:r>
        <w:r>
          <w:rPr>
            <w:rStyle w:val="Hyperlink"/>
          </w:rPr>
          <w:t xml:space="preserve">Methods</w:t>
        </w:r>
        <w:r>
          <w:rPr>
            <w:rStyle w:val="Hyperlink"/>
          </w:rPr>
          <w:t xml:space="preserve"> </w:t>
        </w:r>
        <w:r>
          <w:rPr>
            <w:rStyle w:val="Hyperlink"/>
          </w:rPr>
          <w:t xml:space="preserve">for</w:t>
        </w:r>
        <w:r>
          <w:rPr>
            <w:rStyle w:val="Hyperlink"/>
          </w:rPr>
          <w:t xml:space="preserve"> </w:t>
        </w:r>
        <w:r>
          <w:rPr>
            <w:rStyle w:val="Hyperlink"/>
          </w:rPr>
          <w:t xml:space="preserve">Monitoring Convergence</w:t>
        </w:r>
        <w:r>
          <w:rPr>
            <w:rStyle w:val="Hyperlink"/>
          </w:rPr>
          <w:t xml:space="preserve"> </w:t>
        </w:r>
        <w:r>
          <w:rPr>
            <w:rStyle w:val="Hyperlink"/>
          </w:rPr>
          <w:t xml:space="preserve">of</w:t>
        </w:r>
        <w:r>
          <w:rPr>
            <w:rStyle w:val="Hyperlink"/>
          </w:rPr>
          <w:t xml:space="preserve"> </w:t>
        </w:r>
        <w:r>
          <w:rPr>
            <w:rStyle w:val="Hyperlink"/>
          </w:rPr>
          <w:t xml:space="preserve">Iterative Simulations</w:t>
        </w:r>
      </w:hyperlink>
      <w:r>
        <w:t xml:space="preserve">. Journal of Computational and Graphical Statistics 7:434–455.</w:t>
      </w:r>
    </w:p>
    <w:bookmarkEnd w:id="68"/>
    <w:bookmarkStart w:id="70" w:name="ref-bunnefeld2011"/>
    <w:p>
      <w:pPr>
        <w:pStyle w:val="Bibliography"/>
      </w:pPr>
      <w:r>
        <w:t xml:space="preserve">Bunnefeld, N., L. Börger, B. van Moorter, C. M. Rolandsen, H. Dettki, E. J. Solberg, and G. Ericsson. 2011.</w:t>
      </w:r>
      <w:r>
        <w:t xml:space="preserve"> </w:t>
      </w:r>
      <w:hyperlink r:id="rId69">
        <w:r>
          <w:rPr>
            <w:rStyle w:val="Hyperlink"/>
          </w:rPr>
          <w:t xml:space="preserve">A model-driven approach to quantify migration patterns: Individual, regional and yearly differences:</w:t>
        </w:r>
        <w:r>
          <w:rPr>
            <w:rStyle w:val="Hyperlink"/>
          </w:rPr>
          <w:t xml:space="preserve"> </w:t>
        </w:r>
        <w:r>
          <w:rPr>
            <w:rStyle w:val="Hyperlink"/>
          </w:rPr>
          <w:t xml:space="preserve">Quantifying</w:t>
        </w:r>
        <w:r>
          <w:rPr>
            <w:rStyle w:val="Hyperlink"/>
          </w:rPr>
          <w:t xml:space="preserve"> </w:t>
        </w:r>
        <w:r>
          <w:rPr>
            <w:rStyle w:val="Hyperlink"/>
          </w:rPr>
          <w:t xml:space="preserve">migration patterns</w:t>
        </w:r>
      </w:hyperlink>
      <w:r>
        <w:t xml:space="preserve">. Journal of Animal Ecology 80:466–476.</w:t>
      </w:r>
    </w:p>
    <w:bookmarkEnd w:id="70"/>
    <w:bookmarkStart w:id="72" w:name="ref-cagnacci2016"/>
    <w:p>
      <w:pPr>
        <w:pStyle w:val="Bibliography"/>
      </w:pPr>
      <w:r>
        <w:t xml:space="preserve">Cagnacci, F., S. Focardi, A. Ghisla, B. van Moorter, E. H. Merrill, E. Gurarie, M. Heurich, A. Mysterud, J. Linnell, M. Panzacchi, R. May, T. Nygård, C. Rolandsen, and M. Hebblewhite. 2016.</w:t>
      </w:r>
      <w:r>
        <w:t xml:space="preserve"> </w:t>
      </w:r>
      <w:hyperlink r:id="rId71">
        <w:r>
          <w:rPr>
            <w:rStyle w:val="Hyperlink"/>
          </w:rPr>
          <w:t xml:space="preserve">How many routes lead to migration?</w:t>
        </w:r>
        <w:r>
          <w:rPr>
            <w:rStyle w:val="Hyperlink"/>
          </w:rPr>
          <w:t xml:space="preserve"> </w:t>
        </w:r>
        <w:r>
          <w:rPr>
            <w:rStyle w:val="Hyperlink"/>
          </w:rPr>
          <w:t xml:space="preserve">Comparison</w:t>
        </w:r>
        <w:r>
          <w:rPr>
            <w:rStyle w:val="Hyperlink"/>
          </w:rPr>
          <w:t xml:space="preserve"> </w:t>
        </w:r>
        <w:r>
          <w:rPr>
            <w:rStyle w:val="Hyperlink"/>
          </w:rPr>
          <w:t xml:space="preserve">of methods to assess and characterize migratory movements</w:t>
        </w:r>
      </w:hyperlink>
      <w:r>
        <w:t xml:space="preserve">. L. Börger, editor. Journal of Animal Ecology 85:54–68.</w:t>
      </w:r>
    </w:p>
    <w:bookmarkEnd w:id="72"/>
    <w:bookmarkStart w:id="74" w:name="ref-chernetsov2004a"/>
    <w:p>
      <w:pPr>
        <w:pStyle w:val="Bibliography"/>
      </w:pPr>
      <w:r>
        <w:t xml:space="preserve">Chernetsov, N., P. Berthold, and U. Querner. 2004.</w:t>
      </w:r>
      <w:r>
        <w:t xml:space="preserve"> </w:t>
      </w:r>
      <w:hyperlink r:id="rId73">
        <w:r>
          <w:rPr>
            <w:rStyle w:val="Hyperlink"/>
          </w:rPr>
          <w:t xml:space="preserve">Migratory orientation of first-year white storks (</w:t>
        </w:r>
        <w:r>
          <w:rPr>
            <w:rStyle w:val="Hyperlink"/>
          </w:rPr>
          <w:t xml:space="preserve">Ciconia</w:t>
        </w:r>
        <w:r>
          <w:rPr>
            <w:rStyle w:val="Hyperlink"/>
          </w:rPr>
          <w:t xml:space="preserve"> </w:t>
        </w:r>
        <w:r>
          <w:rPr>
            <w:rStyle w:val="Hyperlink"/>
          </w:rPr>
          <w:t xml:space="preserve">ciconia): Inherited information and social interactions</w:t>
        </w:r>
      </w:hyperlink>
      <w:r>
        <w:t xml:space="preserve">. Journal of Experimental Biology 207:937–943.</w:t>
      </w:r>
    </w:p>
    <w:bookmarkEnd w:id="74"/>
    <w:bookmarkStart w:id="75" w:name="ref-cleland1997"/>
    <w:p>
      <w:pPr>
        <w:pStyle w:val="Bibliography"/>
      </w:pPr>
      <w:r>
        <w:t xml:space="preserve">Cleland, D. T., P. E. Avers, W. H. McNab, M. E. Jensen, R. G. Bailey, T. King, and W. E. Russell. 1997. National</w:t>
      </w:r>
      <w:r>
        <w:t xml:space="preserve"> </w:t>
      </w:r>
      <w:r>
        <w:t xml:space="preserve">Hierarchical Framework</w:t>
      </w:r>
      <w:r>
        <w:t xml:space="preserve"> </w:t>
      </w:r>
      <w:r>
        <w:t xml:space="preserve">of</w:t>
      </w:r>
      <w:r>
        <w:t xml:space="preserve"> </w:t>
      </w:r>
      <w:r>
        <w:t xml:space="preserve">Ecological Units</w:t>
      </w:r>
      <w:r>
        <w:t xml:space="preserve">. Pages 181–200</w:t>
      </w:r>
      <w:r>
        <w:t xml:space="preserve"> </w:t>
      </w:r>
      <w:r>
        <w:rPr>
          <w:iCs/>
          <w:i/>
        </w:rPr>
        <w:t xml:space="preserve">in</w:t>
      </w:r>
      <w:r>
        <w:t xml:space="preserve">. Ecosystem</w:t>
      </w:r>
      <w:r>
        <w:t xml:space="preserve"> </w:t>
      </w:r>
      <w:r>
        <w:t xml:space="preserve">Management Applications</w:t>
      </w:r>
      <w:r>
        <w:t xml:space="preserve"> </w:t>
      </w:r>
      <w:r>
        <w:t xml:space="preserve">for</w:t>
      </w:r>
      <w:r>
        <w:t xml:space="preserve"> </w:t>
      </w:r>
      <w:r>
        <w:t xml:space="preserve">Sustainable Forest</w:t>
      </w:r>
      <w:r>
        <w:t xml:space="preserve"> </w:t>
      </w:r>
      <w:r>
        <w:t xml:space="preserve">and</w:t>
      </w:r>
      <w:r>
        <w:t xml:space="preserve"> </w:t>
      </w:r>
      <w:r>
        <w:t xml:space="preserve">Wildlife Resources</w:t>
      </w:r>
      <w:r>
        <w:t xml:space="preserve">.</w:t>
      </w:r>
      <w:r>
        <w:t xml:space="preserve"> </w:t>
      </w:r>
      <w:r>
        <w:t xml:space="preserve">Yale University Press</w:t>
      </w:r>
      <w:r>
        <w:t xml:space="preserve">,</w:t>
      </w:r>
      <w:r>
        <w:t xml:space="preserve"> </w:t>
      </w:r>
      <w:r>
        <w:t xml:space="preserve">New Haven, CT</w:t>
      </w:r>
      <w:r>
        <w:t xml:space="preserve">.</w:t>
      </w:r>
    </w:p>
    <w:bookmarkEnd w:id="75"/>
    <w:bookmarkStart w:id="77" w:name="ref-dingle2007a"/>
    <w:p>
      <w:pPr>
        <w:pStyle w:val="Bibliography"/>
      </w:pPr>
      <w:r>
        <w:t xml:space="preserve">Dingle, H., and V. A. Drake. 2007.</w:t>
      </w:r>
      <w:r>
        <w:t xml:space="preserve"> </w:t>
      </w:r>
      <w:hyperlink r:id="rId76">
        <w:r>
          <w:rPr>
            <w:rStyle w:val="Hyperlink"/>
          </w:rPr>
          <w:t xml:space="preserve">What</w:t>
        </w:r>
        <w:r>
          <w:rPr>
            <w:rStyle w:val="Hyperlink"/>
          </w:rPr>
          <w:t xml:space="preserve"> </w:t>
        </w:r>
        <w:r>
          <w:rPr>
            <w:rStyle w:val="Hyperlink"/>
          </w:rPr>
          <w:t xml:space="preserve">Is Migration</w:t>
        </w:r>
        <w:r>
          <w:rPr>
            <w:rStyle w:val="Hyperlink"/>
          </w:rPr>
          <w:t xml:space="preserve">?</w:t>
        </w:r>
      </w:hyperlink>
      <w:r>
        <w:t xml:space="preserve"> BioScience 57:113–121.</w:t>
      </w:r>
    </w:p>
    <w:bookmarkEnd w:id="77"/>
    <w:bookmarkStart w:id="79" w:name="ref-eltringham1978"/>
    <w:p>
      <w:pPr>
        <w:pStyle w:val="Bibliography"/>
      </w:pPr>
      <w:r>
        <w:t xml:space="preserve">Eltringham, S. K. 1978.</w:t>
      </w:r>
      <w:r>
        <w:t xml:space="preserve"> </w:t>
      </w:r>
      <w:hyperlink r:id="rId78">
        <w:r>
          <w:rPr>
            <w:rStyle w:val="Hyperlink"/>
          </w:rPr>
          <w:t xml:space="preserve">Methods of capturing wild animals for marking purposes</w:t>
        </w:r>
      </w:hyperlink>
      <w:r>
        <w:t xml:space="preserve">. Pages 13–23</w:t>
      </w:r>
      <w:r>
        <w:t xml:space="preserve"> </w:t>
      </w:r>
      <w:r>
        <w:rPr>
          <w:iCs/>
          <w:i/>
        </w:rPr>
        <w:t xml:space="preserve">in</w:t>
      </w:r>
      <w:r>
        <w:t xml:space="preserve"> </w:t>
      </w:r>
      <w:r>
        <w:t xml:space="preserve">B. Stonehouse, editor. Animal</w:t>
      </w:r>
      <w:r>
        <w:t xml:space="preserve"> </w:t>
      </w:r>
      <w:r>
        <w:t xml:space="preserve">Marking</w:t>
      </w:r>
      <w:r>
        <w:t xml:space="preserve">:</w:t>
      </w:r>
      <w:r>
        <w:t xml:space="preserve"> </w:t>
      </w:r>
      <w:r>
        <w:t xml:space="preserve">Recognition Marking</w:t>
      </w:r>
      <w:r>
        <w:t xml:space="preserve"> </w:t>
      </w:r>
      <w:r>
        <w:t xml:space="preserve">of</w:t>
      </w:r>
      <w:r>
        <w:t xml:space="preserve"> </w:t>
      </w:r>
      <w:r>
        <w:t xml:space="preserve">Animals</w:t>
      </w:r>
      <w:r>
        <w:t xml:space="preserve"> </w:t>
      </w:r>
      <w:r>
        <w:t xml:space="preserve">in</w:t>
      </w:r>
      <w:r>
        <w:t xml:space="preserve"> </w:t>
      </w:r>
      <w:r>
        <w:t xml:space="preserve">Research</w:t>
      </w:r>
      <w:r>
        <w:t xml:space="preserve">.</w:t>
      </w:r>
      <w:r>
        <w:t xml:space="preserve"> </w:t>
      </w:r>
      <w:r>
        <w:t xml:space="preserve">Macmillan Education UK</w:t>
      </w:r>
      <w:r>
        <w:t xml:space="preserve">,</w:t>
      </w:r>
      <w:r>
        <w:t xml:space="preserve"> </w:t>
      </w:r>
      <w:r>
        <w:t xml:space="preserve">London</w:t>
      </w:r>
      <w:r>
        <w:t xml:space="preserve">.</w:t>
      </w:r>
    </w:p>
    <w:bookmarkEnd w:id="79"/>
    <w:bookmarkStart w:id="81" w:name="ref-gelman2014"/>
    <w:p>
      <w:pPr>
        <w:pStyle w:val="Bibliography"/>
      </w:pPr>
      <w:r>
        <w:t xml:space="preserve">Gelman, A., J. Hwang, and A. Vehtari. 2014.</w:t>
      </w:r>
      <w:r>
        <w:t xml:space="preserve"> </w:t>
      </w:r>
      <w:hyperlink r:id="rId80">
        <w:r>
          <w:rPr>
            <w:rStyle w:val="Hyperlink"/>
          </w:rPr>
          <w:t xml:space="preserve">Understanding predictive information criteria for</w:t>
        </w:r>
        <w:r>
          <w:rPr>
            <w:rStyle w:val="Hyperlink"/>
          </w:rPr>
          <w:t xml:space="preserve"> </w:t>
        </w:r>
        <w:r>
          <w:rPr>
            <w:rStyle w:val="Hyperlink"/>
          </w:rPr>
          <w:t xml:space="preserve">Bayesian</w:t>
        </w:r>
        <w:r>
          <w:rPr>
            <w:rStyle w:val="Hyperlink"/>
          </w:rPr>
          <w:t xml:space="preserve"> </w:t>
        </w:r>
        <w:r>
          <w:rPr>
            <w:rStyle w:val="Hyperlink"/>
          </w:rPr>
          <w:t xml:space="preserve">models</w:t>
        </w:r>
      </w:hyperlink>
      <w:r>
        <w:t xml:space="preserve">. Statistics and Computing 24:997–1016.</w:t>
      </w:r>
    </w:p>
    <w:bookmarkEnd w:id="81"/>
    <w:bookmarkStart w:id="82" w:name="ref-groves2017"/>
    <w:p>
      <w:pPr>
        <w:pStyle w:val="Bibliography"/>
      </w:pPr>
      <w:r>
        <w:t xml:space="preserve">Groves, D. J. 2017. The 2015</w:t>
      </w:r>
      <w:r>
        <w:t xml:space="preserve"> </w:t>
      </w:r>
      <w:r>
        <w:t xml:space="preserve">North American Trumpeter Swan Survey</w:t>
      </w:r>
      <w:r>
        <w:t xml:space="preserve">.</w:t>
      </w:r>
      <w:r>
        <w:t xml:space="preserve"> </w:t>
      </w:r>
      <w:r>
        <w:t xml:space="preserve">U.S. Fish and Wildlife Service</w:t>
      </w:r>
      <w:r>
        <w:t xml:space="preserve">.</w:t>
      </w:r>
    </w:p>
    <w:bookmarkEnd w:id="82"/>
    <w:bookmarkStart w:id="83" w:name="ref-hansen1971"/>
    <w:p>
      <w:pPr>
        <w:pStyle w:val="Bibliography"/>
      </w:pPr>
      <w:r>
        <w:t xml:space="preserve">Hansen, H. A., P. E. K. Shepherd, J. G. King, and W. A. Troyer. 1971. The</w:t>
      </w:r>
      <w:r>
        <w:t xml:space="preserve"> </w:t>
      </w:r>
      <w:r>
        <w:t xml:space="preserve">Trumpeter Swan</w:t>
      </w:r>
      <w:r>
        <w:t xml:space="preserve"> </w:t>
      </w:r>
      <w:r>
        <w:t xml:space="preserve">in</w:t>
      </w:r>
      <w:r>
        <w:t xml:space="preserve"> </w:t>
      </w:r>
      <w:r>
        <w:t xml:space="preserve">Alaska</w:t>
      </w:r>
      <w:r>
        <w:t xml:space="preserve">. 82.</w:t>
      </w:r>
    </w:p>
    <w:bookmarkEnd w:id="83"/>
    <w:bookmarkStart w:id="84" w:name="ref-hindman2016"/>
    <w:p>
      <w:pPr>
        <w:pStyle w:val="Bibliography"/>
      </w:pPr>
      <w:r>
        <w:t xml:space="preserve">Hindman, L. J., W. F. H. Iv, H. R. Walbridge, M. Hooper, and C. P. Driscoll. 2016. Efficient</w:t>
      </w:r>
      <w:r>
        <w:t xml:space="preserve"> </w:t>
      </w:r>
      <w:r>
        <w:t xml:space="preserve">Method</w:t>
      </w:r>
      <w:r>
        <w:t xml:space="preserve"> </w:t>
      </w:r>
      <w:r>
        <w:t xml:space="preserve">of</w:t>
      </w:r>
      <w:r>
        <w:t xml:space="preserve"> </w:t>
      </w:r>
      <w:r>
        <w:t xml:space="preserve">Capture</w:t>
      </w:r>
      <w:r>
        <w:t xml:space="preserve"> </w:t>
      </w:r>
      <w:r>
        <w:t xml:space="preserve">and</w:t>
      </w:r>
      <w:r>
        <w:t xml:space="preserve"> </w:t>
      </w:r>
      <w:r>
        <w:t xml:space="preserve">Field Euthanasia</w:t>
      </w:r>
      <w:r>
        <w:t xml:space="preserve"> </w:t>
      </w:r>
      <w:r>
        <w:t xml:space="preserve">of</w:t>
      </w:r>
      <w:r>
        <w:t xml:space="preserve"> </w:t>
      </w:r>
      <w:r>
        <w:t xml:space="preserve">Flightless Mute Swans</w:t>
      </w:r>
      <w:r>
        <w:t xml:space="preserve">. Pages 55–64</w:t>
      </w:r>
      <w:r>
        <w:t xml:space="preserve"> </w:t>
      </w:r>
      <w:r>
        <w:rPr>
          <w:iCs/>
          <w:i/>
        </w:rPr>
        <w:t xml:space="preserve">in</w:t>
      </w:r>
      <w:r>
        <w:t xml:space="preserve">. Proceedings of the 16th</w:t>
      </w:r>
      <w:r>
        <w:t xml:space="preserve"> </w:t>
      </w:r>
      <w:r>
        <w:t xml:space="preserve">Wildlife Damage Management Conference</w:t>
      </w:r>
      <w:r>
        <w:t xml:space="preserve">.</w:t>
      </w:r>
      <w:r>
        <w:t xml:space="preserve"> </w:t>
      </w:r>
      <w:r>
        <w:t xml:space="preserve">Auburn, Alabama, USA</w:t>
      </w:r>
      <w:r>
        <w:t xml:space="preserve">.</w:t>
      </w:r>
    </w:p>
    <w:bookmarkEnd w:id="84"/>
    <w:bookmarkStart w:id="86" w:name="ref-jesmer2018"/>
    <w:p>
      <w:pPr>
        <w:pStyle w:val="Bibliography"/>
      </w:pPr>
      <w:r>
        <w:t xml:space="preserve">Jesmer, B. R., J. A. Merkle, J. R. Goheen, E. O. Aikens, J. L. Beck, A. B. Courtemanch, M. A. Hurley, D. E. McWhirter, H. M. Miyasaki, K. L. Monteith, and Matthew. J. Kauffman. 2018.</w:t>
      </w:r>
      <w:r>
        <w:t xml:space="preserve"> </w:t>
      </w:r>
      <w:hyperlink r:id="rId85">
        <w:r>
          <w:rPr>
            <w:rStyle w:val="Hyperlink"/>
          </w:rPr>
          <w:t xml:space="preserve">Is ungulate migration culturally transmitted?</w:t>
        </w:r>
        <w:r>
          <w:rPr>
            <w:rStyle w:val="Hyperlink"/>
          </w:rPr>
          <w:t xml:space="preserve"> </w:t>
        </w:r>
        <w:r>
          <w:rPr>
            <w:rStyle w:val="Hyperlink"/>
          </w:rPr>
          <w:t xml:space="preserve">Evidence</w:t>
        </w:r>
        <w:r>
          <w:rPr>
            <w:rStyle w:val="Hyperlink"/>
          </w:rPr>
          <w:t xml:space="preserve"> </w:t>
        </w:r>
        <w:r>
          <w:rPr>
            <w:rStyle w:val="Hyperlink"/>
          </w:rPr>
          <w:t xml:space="preserve">of social learning from translocated animals</w:t>
        </w:r>
      </w:hyperlink>
      <w:r>
        <w:t xml:space="preserve">. Science 361:1023–1025.</w:t>
      </w:r>
    </w:p>
    <w:bookmarkEnd w:id="86"/>
    <w:bookmarkStart w:id="88" w:name="ref-lindelov2020"/>
    <w:p>
      <w:pPr>
        <w:pStyle w:val="Bibliography"/>
      </w:pPr>
      <w:r>
        <w:t xml:space="preserve">Lindeløv, J. K. 2020.</w:t>
      </w:r>
      <w:r>
        <w:t xml:space="preserve"> </w:t>
      </w:r>
      <w:hyperlink r:id="rId87">
        <w:r>
          <w:rPr>
            <w:rStyle w:val="Hyperlink"/>
          </w:rPr>
          <w:t xml:space="preserve">Mcp:</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Regression With Multiple Change Points</w:t>
        </w:r>
      </w:hyperlink>
      <w:r>
        <w:t xml:space="preserve">.</w:t>
      </w:r>
      <w:r>
        <w:t xml:space="preserve"> </w:t>
      </w:r>
      <w:r>
        <w:t xml:space="preserve">OSF Preprints</w:t>
      </w:r>
      <w:r>
        <w:t xml:space="preserve">.</w:t>
      </w:r>
    </w:p>
    <w:bookmarkEnd w:id="88"/>
    <w:bookmarkStart w:id="90" w:name="ref-lowrey2020"/>
    <w:p>
      <w:pPr>
        <w:pStyle w:val="Bibliography"/>
      </w:pPr>
      <w:r>
        <w:t xml:space="preserve">Lowrey, B., D. E. McWhirter, K. M. Proffitt, K. L. Monteith, A. B. Courtemanch, P. J. White, J. T. Paterson, S. R. Dewey, and R. A. Garrott. 2020.</w:t>
      </w:r>
      <w:r>
        <w:t xml:space="preserve"> </w:t>
      </w:r>
      <w:hyperlink r:id="rId89">
        <w:r>
          <w:rPr>
            <w:rStyle w:val="Hyperlink"/>
          </w:rPr>
          <w:t xml:space="preserve">Individual variation creates diverse migratory portfolios in native populations of a mountain ungulate</w:t>
        </w:r>
      </w:hyperlink>
      <w:r>
        <w:t xml:space="preserve">. Ecological Applications 30:e2106.</w:t>
      </w:r>
    </w:p>
    <w:bookmarkEnd w:id="90"/>
    <w:bookmarkStart w:id="91" w:name="ref-matteson1988"/>
    <w:p>
      <w:pPr>
        <w:pStyle w:val="Bibliography"/>
      </w:pPr>
      <w:r>
        <w:t xml:space="preserve">Matteson, S., T. Andryk, and Wetzel. 1988. Wisconsin</w:t>
      </w:r>
      <w:r>
        <w:t xml:space="preserve"> </w:t>
      </w:r>
      <w:r>
        <w:t xml:space="preserve">Trumpeter Swan Recovery Plan</w:t>
      </w:r>
      <w:r>
        <w:t xml:space="preserve">.pdf. The Passenger Pigeon 50:119–130.</w:t>
      </w:r>
    </w:p>
    <w:bookmarkEnd w:id="91"/>
    <w:bookmarkStart w:id="93" w:name="ref-mueller2013a"/>
    <w:p>
      <w:pPr>
        <w:pStyle w:val="Bibliography"/>
      </w:pPr>
      <w:r>
        <w:t xml:space="preserve">Mueller, T., R. B. O’Hara, S. J. Converse, R. P. Urbanek, and W. F. Fagan. 2013.</w:t>
      </w:r>
      <w:r>
        <w:t xml:space="preserve"> </w:t>
      </w:r>
      <w:hyperlink r:id="rId92">
        <w:r>
          <w:rPr>
            <w:rStyle w:val="Hyperlink"/>
          </w:rPr>
          <w:t xml:space="preserve">Social</w:t>
        </w:r>
        <w:r>
          <w:rPr>
            <w:rStyle w:val="Hyperlink"/>
          </w:rPr>
          <w:t xml:space="preserve"> </w:t>
        </w:r>
        <w:r>
          <w:rPr>
            <w:rStyle w:val="Hyperlink"/>
          </w:rPr>
          <w:t xml:space="preserve">Learning</w:t>
        </w:r>
        <w:r>
          <w:rPr>
            <w:rStyle w:val="Hyperlink"/>
          </w:rPr>
          <w:t xml:space="preserve"> </w:t>
        </w:r>
        <w:r>
          <w:rPr>
            <w:rStyle w:val="Hyperlink"/>
          </w:rPr>
          <w:t xml:space="preserve">of</w:t>
        </w:r>
        <w:r>
          <w:rPr>
            <w:rStyle w:val="Hyperlink"/>
          </w:rPr>
          <w:t xml:space="preserve"> </w:t>
        </w:r>
        <w:r>
          <w:rPr>
            <w:rStyle w:val="Hyperlink"/>
          </w:rPr>
          <w:t xml:space="preserve">Migratory Performance</w:t>
        </w:r>
      </w:hyperlink>
      <w:r>
        <w:t xml:space="preserve">. Science 341:999–1002.</w:t>
      </w:r>
    </w:p>
    <w:bookmarkEnd w:id="93"/>
    <w:bookmarkStart w:id="95" w:name="ref-oyler-mccance2007"/>
    <w:p>
      <w:pPr>
        <w:pStyle w:val="Bibliography"/>
      </w:pPr>
      <w:r>
        <w:t xml:space="preserve">Oyler-McCance, S. J., F. A. Ransler, L. K. Berkman, and T. W. Quinn. 2007.</w:t>
      </w:r>
      <w:r>
        <w:t xml:space="preserve"> </w:t>
      </w:r>
      <w:hyperlink r:id="rId94">
        <w:r>
          <w:rPr>
            <w:rStyle w:val="Hyperlink"/>
          </w:rPr>
          <w:t xml:space="preserve">A rangewide population genetic study of trumpeter swans</w:t>
        </w:r>
      </w:hyperlink>
      <w:r>
        <w:t xml:space="preserve">. Conservation Genetics 8:1339–1353.</w:t>
      </w:r>
    </w:p>
    <w:bookmarkEnd w:id="95"/>
    <w:bookmarkStart w:id="96" w:name="ref-plummer2003"/>
    <w:p>
      <w:pPr>
        <w:pStyle w:val="Bibliography"/>
      </w:pPr>
      <w:r>
        <w:t xml:space="preserve">Plummer, M. 2003.</w:t>
      </w:r>
      <w:r>
        <w:t xml:space="preserve"> </w:t>
      </w:r>
      <w:r>
        <w:t xml:space="preserve">JAGS</w:t>
      </w:r>
      <w:r>
        <w:t xml:space="preserve">:</w:t>
      </w:r>
      <w:r>
        <w:t xml:space="preserve"> </w:t>
      </w:r>
      <w:r>
        <w:t xml:space="preserve">A</w:t>
      </w:r>
      <w:r>
        <w:t xml:space="preserve"> </w:t>
      </w:r>
      <w:r>
        <w:t xml:space="preserve">program for analysis of</w:t>
      </w:r>
      <w:r>
        <w:t xml:space="preserve"> </w:t>
      </w:r>
      <w:r>
        <w:t xml:space="preserve">Bayesian</w:t>
      </w:r>
      <w:r>
        <w:t xml:space="preserve"> </w:t>
      </w:r>
      <w:r>
        <w:t xml:space="preserve">graphical models using</w:t>
      </w:r>
      <w:r>
        <w:t xml:space="preserve"> </w:t>
      </w:r>
      <w:r>
        <w:t xml:space="preserve">Gibbs</w:t>
      </w:r>
      <w:r>
        <w:t xml:space="preserve"> </w:t>
      </w:r>
      <w:r>
        <w:t xml:space="preserve">sampling. Working Papers 8.</w:t>
      </w:r>
    </w:p>
    <w:bookmarkEnd w:id="96"/>
    <w:bookmarkStart w:id="98" w:name="ref-spitz2017"/>
    <w:p>
      <w:pPr>
        <w:pStyle w:val="Bibliography"/>
      </w:pPr>
      <w:r>
        <w:t xml:space="preserve">Spitz, D. B., M. Hebblewhite, and T. R. Stephenson. 2017.</w:t>
      </w:r>
      <w:r>
        <w:t xml:space="preserve"> </w:t>
      </w:r>
      <w:hyperlink r:id="rId97">
        <w:r>
          <w:rPr>
            <w:rStyle w:val="Hyperlink"/>
          </w:rPr>
          <w:t xml:space="preserve">“</w:t>
        </w:r>
        <w:r>
          <w:rPr>
            <w:rStyle w:val="Hyperlink"/>
          </w:rPr>
          <w:t xml:space="preserve">MigrateR</w:t>
        </w:r>
        <w:r>
          <w:rPr>
            <w:rStyle w:val="Hyperlink"/>
          </w:rPr>
          <w:t xml:space="preserve">”</w:t>
        </w:r>
        <w:r>
          <w:rPr>
            <w:rStyle w:val="Hyperlink"/>
          </w:rPr>
          <w:t xml:space="preserve">: Extending model-driven methods for classifying and quantifying animal movement behavior</w:t>
        </w:r>
      </w:hyperlink>
      <w:r>
        <w:t xml:space="preserve">. Ecography 40:788–799.</w:t>
      </w:r>
    </w:p>
    <w:bookmarkEnd w:id="98"/>
    <w:bookmarkStart w:id="100" w:name="ref-sutherland1998"/>
    <w:p>
      <w:pPr>
        <w:pStyle w:val="Bibliography"/>
      </w:pPr>
      <w:r>
        <w:t xml:space="preserve">Sutherland, W. J. 1998. Evidence for</w:t>
      </w:r>
      <w:r>
        <w:t xml:space="preserve"> </w:t>
      </w:r>
      <w:r>
        <w:t xml:space="preserve">Flexibility</w:t>
      </w:r>
      <w:r>
        <w:t xml:space="preserve"> </w:t>
      </w:r>
      <w:r>
        <w:t xml:space="preserve">and</w:t>
      </w:r>
      <w:r>
        <w:t xml:space="preserve"> </w:t>
      </w:r>
      <w:r>
        <w:t xml:space="preserve">Constraint</w:t>
      </w:r>
      <w:r>
        <w:t xml:space="preserve"> </w:t>
      </w:r>
      <w:r>
        <w:t xml:space="preserve">in</w:t>
      </w:r>
      <w:r>
        <w:t xml:space="preserve"> </w:t>
      </w:r>
      <w:r>
        <w:t xml:space="preserve">Migration Systems</w:t>
      </w:r>
      <w:r>
        <w:t xml:space="preserve">. Journal of Avian Biology 29:441. &lt;</w:t>
      </w:r>
      <w:hyperlink r:id="rId99">
        <w:r>
          <w:rPr>
            <w:rStyle w:val="Hyperlink"/>
          </w:rPr>
          <w:t xml:space="preserve">https://www.jstor.org/stable/3677163</w:t>
        </w:r>
      </w:hyperlink>
      <w:r>
        <w:t xml:space="preserve">&gt;. Accessed 20 Jun 2023.</w:t>
      </w:r>
    </w:p>
    <w:bookmarkEnd w:id="100"/>
    <w:bookmarkStart w:id="101" w:name="ref-rcoredevelopmentteam2022"/>
    <w:p>
      <w:pPr>
        <w:pStyle w:val="Bibliography"/>
      </w:pPr>
      <w:r>
        <w:t xml:space="preserve">Team, R. C. D.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https://www.r-project.org/.</w:t>
      </w:r>
    </w:p>
    <w:bookmarkEnd w:id="101"/>
    <w:bookmarkStart w:id="103" w:name="ref-vehtari2017"/>
    <w:p>
      <w:pPr>
        <w:pStyle w:val="Bibliography"/>
      </w:pPr>
      <w:r>
        <w:t xml:space="preserve">Vehtari, A., A. Gelman, and J. Gabry. 2017.</w:t>
      </w:r>
      <w:r>
        <w:t xml:space="preserve"> </w:t>
      </w:r>
      <w:hyperlink r:id="rId102">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103"/>
    <w:bookmarkStart w:id="105" w:name="ref-zuckerman2023"/>
    <w:p>
      <w:pPr>
        <w:pStyle w:val="Bibliography"/>
      </w:pPr>
      <w:r>
        <w:t xml:space="preserve">Zuckerman, G. R., K. J. Barker, L. C. Gigliotti, E. K. Cole, J. A. Gude, M. A. Hurley, M. J. Kauffman, D. Lutz, D. R. MacNulty, E. J. Maichak, D. McWhirter, T. W. Mong, K. Proffitt, B. M. Scurlock, D. R. Stahler, B. Wise, and A. D. Middleton. 2023.</w:t>
      </w:r>
      <w:r>
        <w:t xml:space="preserve"> </w:t>
      </w:r>
      <w:hyperlink r:id="rId104">
        <w:r>
          <w:rPr>
            <w:rStyle w:val="Hyperlink"/>
          </w:rPr>
          <w:t xml:space="preserve">Diverse migratory portfolios drive inter-annual switching behavior of elk across the</w:t>
        </w:r>
        <w:r>
          <w:rPr>
            <w:rStyle w:val="Hyperlink"/>
          </w:rPr>
          <w:t xml:space="preserve"> </w:t>
        </w:r>
        <w:r>
          <w:rPr>
            <w:rStyle w:val="Hyperlink"/>
          </w:rPr>
          <w:t xml:space="preserve">Greater Yellowstone Ecosystem</w:t>
        </w:r>
      </w:hyperlink>
      <w:r>
        <w:t xml:space="preserve">. Ecosphere 14:e4502.</w:t>
      </w:r>
    </w:p>
    <w:bookmarkEnd w:id="105"/>
    <w:bookmarkEnd w:id="106"/>
    <w:bookmarkEnd w:id="107"/>
    <w:sectPr w:rsidR="005F2DED" w:rsidSect="0051437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p>
  </w:footnote>
  <w:footnote w:id="22">
    <w:p>
      <w:pPr>
        <w:pStyle w:val="FootnoteText"/>
      </w:pPr>
      <w:r>
        <w:rPr>
          <w:rStyle w:val="FootnoteReference"/>
        </w:rPr>
        <w:footnoteRef/>
      </w:r>
      <w:r>
        <w:t xml:space="preserve"> </w:t>
      </w:r>
      <w:r>
        <w:t xml:space="preserve">U.S.</w:t>
      </w:r>
      <w:r>
        <w:t xml:space="preserve"> </w:t>
      </w:r>
      <w:r>
        <w:t xml:space="preserve">Fish</w:t>
      </w:r>
      <w:r>
        <w:t xml:space="preserve"> </w:t>
      </w:r>
      <w:r>
        <w:t xml:space="preserve">and</w:t>
      </w:r>
      <w:r>
        <w:t xml:space="preserve"> </w:t>
      </w:r>
      <w:r>
        <w:t xml:space="preserve">Wildlife</w:t>
      </w:r>
      <w:r>
        <w:t xml:space="preserve"> </w:t>
      </w:r>
      <w:r>
        <w:t xml:space="preserve">Service</w:t>
      </w:r>
    </w:p>
  </w:footnote>
  <w:footnote w:id="23">
    <w:p>
      <w:pPr>
        <w:pStyle w:val="FootnoteText"/>
      </w:pPr>
      <w:r>
        <w:rPr>
          <w:rStyle w:val="FootnoteReference"/>
        </w:rPr>
        <w:footnoteRef/>
      </w:r>
      <w:r>
        <w:t xml:space="preserve"> </w:t>
      </w:r>
      <w:r>
        <w:t xml:space="preserve">Minnesota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4">
    <w:p>
      <w:pPr>
        <w:pStyle w:val="FootnoteText"/>
      </w:pPr>
      <w:r>
        <w:rPr>
          <w:rStyle w:val="FootnoteReference"/>
        </w:rPr>
        <w:footnoteRef/>
      </w:r>
      <w:r>
        <w:t xml:space="preserve"> </w:t>
      </w:r>
      <w:r>
        <w:t xml:space="preserve">Minnesota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5">
    <w:p>
      <w:pPr>
        <w:pStyle w:val="FootnoteText"/>
      </w:pPr>
      <w:r>
        <w:rPr>
          <w:rStyle w:val="FootnoteReference"/>
        </w:rPr>
        <w:footnoteRef/>
      </w:r>
      <w:r>
        <w:t xml:space="preserve"> </w:t>
      </w:r>
      <w:r>
        <w:t xml:space="preserve">Three</w:t>
      </w:r>
      <w:r>
        <w:t xml:space="preserve"> </w:t>
      </w:r>
      <w:r>
        <w:t xml:space="preserve">Rivers</w:t>
      </w:r>
      <w:r>
        <w:t xml:space="preserve"> </w:t>
      </w:r>
      <w:r>
        <w:t xml:space="preserve">Park</w:t>
      </w:r>
      <w:r>
        <w:t xml:space="preserve"> </w:t>
      </w:r>
      <w:r>
        <w:t xml:space="preserve">District</w:t>
      </w:r>
    </w:p>
  </w:footnote>
  <w:footnote w:id="26">
    <w:p>
      <w:pPr>
        <w:pStyle w:val="FootnoteText"/>
      </w:pPr>
      <w:r>
        <w:rPr>
          <w:rStyle w:val="FootnoteReference"/>
        </w:rPr>
        <w:footnoteRef/>
      </w:r>
      <w:r>
        <w:t xml:space="preserve"> </w:t>
      </w:r>
      <w:r>
        <w:t xml:space="preserve">Trumpeter</w:t>
      </w:r>
      <w:r>
        <w:t xml:space="preserve"> </w:t>
      </w:r>
      <w:r>
        <w:t xml:space="preserve">Swan</w:t>
      </w:r>
      <w:r>
        <w:t xml:space="preserve"> </w:t>
      </w:r>
      <w:r>
        <w:t xml:space="preserve">Society</w:t>
      </w:r>
    </w:p>
  </w:footnote>
  <w:footnote w:id="27">
    <w:p>
      <w:pPr>
        <w:pStyle w:val="FootnoteText"/>
      </w:pPr>
      <w:r>
        <w:rPr>
          <w:rStyle w:val="FootnoteReference"/>
        </w:rPr>
        <w:footnoteRef/>
      </w:r>
      <w:r>
        <w:t xml:space="preserve"> </w:t>
      </w:r>
      <w:r>
        <w:t xml:space="preserve">Michigan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8">
    <w:p>
      <w:pPr>
        <w:pStyle w:val="FootnoteText"/>
      </w:pPr>
      <w:r>
        <w:rPr>
          <w:rStyle w:val="FootnoteReference"/>
        </w:rPr>
        <w:footnoteRef/>
      </w:r>
      <w:r>
        <w:t xml:space="preserve"> </w:t>
      </w:r>
      <w:r>
        <w:t xml:space="preserve">Iowa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9">
    <w:p>
      <w:pPr>
        <w:pStyle w:val="FootnoteText"/>
      </w:pPr>
      <w:r>
        <w:rPr>
          <w:rStyle w:val="FootnoteReference"/>
        </w:rPr>
        <w:footnoteRef/>
      </w:r>
      <w:r>
        <w:t xml:space="preserve"> </w:t>
      </w:r>
      <w:r>
        <w:t xml:space="preserve">Iowa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0">
    <w:p>
      <w:pPr>
        <w:pStyle w:val="FootnoteText"/>
      </w:pPr>
      <w:r>
        <w:rPr>
          <w:rStyle w:val="FootnoteReference"/>
        </w:rPr>
        <w:footnoteRef/>
      </w:r>
      <w:r>
        <w:t xml:space="preserve"> </w:t>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1">
    <w:p>
      <w:pPr>
        <w:pStyle w:val="FootnoteText"/>
      </w:pPr>
      <w:r>
        <w:rPr>
          <w:rStyle w:val="FootnoteReference"/>
        </w:rPr>
        <w:footnoteRef/>
      </w:r>
      <w:r>
        <w:t xml:space="preserve"> </w:t>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2">
    <w:p>
      <w:pPr>
        <w:pStyle w:val="FootnoteText"/>
      </w:pPr>
      <w:r>
        <w:rPr>
          <w:rStyle w:val="FootnoteReference"/>
        </w:rPr>
        <w:footnoteRef/>
      </w:r>
      <w:r>
        <w:t xml:space="preserve"> </w:t>
      </w:r>
      <w:r>
        <w:t xml:space="preserve">Ohio</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3">
    <w:p>
      <w:pPr>
        <w:pStyle w:val="FootnoteText"/>
      </w:pPr>
      <w:r>
        <w:rPr>
          <w:rStyle w:val="FootnoteReference"/>
        </w:rPr>
        <w:footnoteRef/>
      </w:r>
      <w:r>
        <w:t xml:space="preserve"> </w:t>
      </w:r>
      <w:r>
        <w:t xml:space="preserve">Cleveland</w:t>
      </w:r>
      <w:r>
        <w:t xml:space="preserve"> </w:t>
      </w:r>
      <w:r>
        <w:t xml:space="preserve">Metroparks</w:t>
      </w:r>
      <w:r>
        <w:t xml:space="preserve"> </w:t>
      </w:r>
      <w:r>
        <w:t xml:space="preserve">Zoo</w:t>
      </w:r>
    </w:p>
  </w:footnote>
  <w:footnote w:id="34">
    <w:p>
      <w:pPr>
        <w:pStyle w:val="FootnoteText"/>
      </w:pPr>
      <w:r>
        <w:rPr>
          <w:rStyle w:val="FootnoteReference"/>
        </w:rPr>
        <w:footnoteRef/>
      </w:r>
      <w:r>
        <w:t xml:space="preserve"> </w:t>
      </w:r>
      <w:r>
        <w:t xml:space="preserve">Manitoba</w:t>
      </w:r>
      <w:r>
        <w:t xml:space="preserve"> </w:t>
      </w:r>
      <w:r>
        <w:t xml:space="preserve">Wildlife</w:t>
      </w:r>
      <w:r>
        <w:t xml:space="preserve"> </w:t>
      </w:r>
      <w:r>
        <w:t xml:space="preserve">and</w:t>
      </w:r>
      <w:r>
        <w:t xml:space="preserve"> </w:t>
      </w:r>
      <w:r>
        <w:t xml:space="preserve">Fisheries</w:t>
      </w:r>
      <w:r>
        <w:t xml:space="preserve"> </w:t>
      </w:r>
      <w:r>
        <w:t xml:space="preserve">Branch</w:t>
      </w:r>
    </w:p>
  </w:footnote>
  <w:footnote w:id="35">
    <w:p>
      <w:pPr>
        <w:pStyle w:val="FootnoteText"/>
      </w:pPr>
      <w:r>
        <w:rPr>
          <w:rStyle w:val="FootnoteReference"/>
        </w:rPr>
        <w:footnoteRef/>
      </w:r>
      <w:r>
        <w:t xml:space="preserve"> </w:t>
      </w:r>
      <w:r>
        <w:t xml:space="preserve">Manitoba</w:t>
      </w:r>
      <w:r>
        <w:t xml:space="preserve"> </w:t>
      </w:r>
      <w:r>
        <w:t xml:space="preserve">Wildlife</w:t>
      </w:r>
      <w:r>
        <w:t xml:space="preserve"> </w:t>
      </w:r>
      <w:r>
        <w:t xml:space="preserve">and</w:t>
      </w:r>
      <w:r>
        <w:t xml:space="preserve"> </w:t>
      </w:r>
      <w:r>
        <w:t xml:space="preserve">Fisheries</w:t>
      </w:r>
      <w:r>
        <w:t xml:space="preserve"> </w:t>
      </w:r>
      <w:r>
        <w:t xml:space="preserve">Branch</w:t>
      </w:r>
    </w:p>
  </w:footnote>
  <w:footnote w:id="36">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Louisiana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37">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079C5A4A"/>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5234F50A"/>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71D8E838"/>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F96C5878"/>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C870065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7AEAED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98D0F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95C658C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2C47BC0"/>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0CE29862"/>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45593222" w:numId="1">
    <w:abstractNumId w:val="2"/>
  </w:num>
  <w:num w16cid:durableId="1863132896" w:numId="2">
    <w:abstractNumId w:val="13"/>
  </w:num>
  <w:num w16cid:durableId="920531198" w:numId="3">
    <w:abstractNumId w:val="0"/>
  </w:num>
  <w:num w16cid:durableId="350765032"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63458766" w:numId="5">
    <w:abstractNumId w:val="0"/>
  </w:num>
  <w:num w16cid:durableId="729110229"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895430679" w:numId="7">
    <w:abstractNumId w:val="0"/>
  </w:num>
  <w:num w16cid:durableId="1815876294"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429887676"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29247218" w:numId="10">
    <w:abstractNumId w:val="3"/>
  </w:num>
  <w:num w16cid:durableId="1267613984" w:numId="11">
    <w:abstractNumId w:val="4"/>
  </w:num>
  <w:num w16cid:durableId="1790926631" w:numId="12">
    <w:abstractNumId w:val="5"/>
  </w:num>
  <w:num w16cid:durableId="823278616" w:numId="13">
    <w:abstractNumId w:val="6"/>
  </w:num>
  <w:num w16cid:durableId="704059326" w:numId="14">
    <w:abstractNumId w:val="11"/>
  </w:num>
  <w:num w16cid:durableId="784544538" w:numId="15">
    <w:abstractNumId w:val="7"/>
  </w:num>
  <w:num w16cid:durableId="1554271967" w:numId="16">
    <w:abstractNumId w:val="8"/>
  </w:num>
  <w:num w16cid:durableId="1050035614" w:numId="17">
    <w:abstractNumId w:val="9"/>
  </w:num>
  <w:num w16cid:durableId="920455419" w:numId="18">
    <w:abstractNumId w:val="10"/>
  </w:num>
  <w:num w16cid:durableId="287509482" w:numId="19">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571E"/>
  </w:style>
  <w:style w:styleId="Heading1" w:type="paragraph">
    <w:name w:val="heading 1"/>
    <w:basedOn w:val="Normal"/>
    <w:next w:val="BodyText"/>
    <w:uiPriority w:val="9"/>
    <w:qFormat/>
    <w:rsid w:val="005A6804"/>
    <w:pPr>
      <w:keepNext/>
      <w:keepLines/>
      <w:spacing w:after="24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rsid w:val="005A6804"/>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0CD4"/>
    <w:pPr>
      <w:spacing w:after="180" w:before="180" w:line="480" w:lineRule="auto"/>
      <w:ind w:firstLine="720"/>
    </w:pPr>
  </w:style>
  <w:style w:customStyle="1" w:styleId="FirstParagraph" w:type="paragraph">
    <w:name w:val="First Paragraph"/>
    <w:basedOn w:val="BodyText"/>
    <w:next w:val="BodyText"/>
    <w:qFormat/>
    <w:rsid w:val="005D0CD4"/>
    <w:pPr>
      <w:ind w:firstLine="0"/>
    </w:pPr>
  </w:style>
  <w:style w:customStyle="1" w:styleId="Compact" w:type="paragraph">
    <w:name w:val="Compact"/>
    <w:basedOn w:val="BodyText"/>
    <w:qFormat/>
    <w:rsid w:val="005D0CD4"/>
    <w:pPr>
      <w:spacing w:after="36" w:before="36" w:line="240" w:lineRule="auto"/>
      <w:ind w:firstLine="0"/>
    </w:pPr>
  </w:style>
  <w:style w:styleId="Title" w:type="paragraph">
    <w:name w:val="Title"/>
    <w:basedOn w:val="Normal"/>
    <w:next w:val="BodyText"/>
    <w:qFormat/>
    <w:rsid w:val="005A6804"/>
    <w:pPr>
      <w:keepNext/>
      <w:keepLines/>
      <w:spacing w:after="240" w:before="480"/>
      <w:jc w:val="center"/>
    </w:pPr>
    <w:rPr>
      <w:rFonts w:cstheme="majorBidi" w:eastAsiaTheme="majorEastAsia"/>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D0CD4"/>
    <w:pPr>
      <w:spacing w:line="480" w:lineRule="auto"/>
      <w:ind w:hanging="720" w:left="72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ImageCaption"/>
    <w:rsid w:val="008F0DAE"/>
  </w:style>
  <w:style w:customStyle="1" w:styleId="ImageCaption" w:type="paragraph">
    <w:name w:val="Image Caption"/>
    <w:basedOn w:val="Caption"/>
    <w:rsid w:val="0017571E"/>
    <w:rPr>
      <w:i w:val="0"/>
    </w:rPr>
  </w:style>
  <w:style w:customStyle="1" w:styleId="Figure" w:type="paragraph">
    <w:name w:val="Figure"/>
    <w:basedOn w:val="Normal"/>
  </w:style>
  <w:style w:customStyle="1" w:styleId="FigurewithCaption" w:type="paragraph">
    <w:name w:val="Figure with Caption"/>
    <w:basedOn w:val="Figure"/>
    <w:rsid w:val="005D1ED8"/>
    <w:pPr>
      <w:keepNext/>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0CD4"/>
  </w:style>
  <w:style w:styleId="LineNumber" w:type="character">
    <w:name w:val="line number"/>
    <w:basedOn w:val="DefaultParagraphFont"/>
    <w:semiHidden/>
    <w:unhideWhenUsed/>
    <w:rsid w:val="0051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tiff" /><Relationship Type="http://schemas.openxmlformats.org/officeDocument/2006/relationships/image" Id="rId48" Target="media/rId48.tiff"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65" Target="https://arxiv.org/abs/2008.00553" TargetMode="External" /><Relationship Type="http://schemas.openxmlformats.org/officeDocument/2006/relationships/hyperlink" Id="rId89" Target="https://doi.org/10.1002/eap.2106" TargetMode="External" /><Relationship Type="http://schemas.openxmlformats.org/officeDocument/2006/relationships/hyperlink" Id="rId104" Target="https://doi.org/10.1002/ecs2.4502" TargetMode="External" /><Relationship Type="http://schemas.openxmlformats.org/officeDocument/2006/relationships/hyperlink" Id="rId78" Target="https://doi.org/10.1007/978-1-349-03711-7_2" TargetMode="External" /><Relationship Type="http://schemas.openxmlformats.org/officeDocument/2006/relationships/hyperlink" Id="rId94" Target="https://doi.org/10.1007/s10592-006-9282-y" TargetMode="External" /><Relationship Type="http://schemas.openxmlformats.org/officeDocument/2006/relationships/hyperlink" Id="rId80" Target="https://doi.org/10.1007/s11222-013-9416-2" TargetMode="External" /><Relationship Type="http://schemas.openxmlformats.org/officeDocument/2006/relationships/hyperlink" Id="rId102" Target="https://doi.org/10.1007/s11222-016-9696-4" TargetMode="External" /><Relationship Type="http://schemas.openxmlformats.org/officeDocument/2006/relationships/hyperlink" Id="rId67" Target="https://doi.org/10.1080/10618600.1998.10474787" TargetMode="External" /><Relationship Type="http://schemas.openxmlformats.org/officeDocument/2006/relationships/hyperlink" Id="rId71" Target="https://doi.org/10.1111/1365-2656.12449" TargetMode="External" /><Relationship Type="http://schemas.openxmlformats.org/officeDocument/2006/relationships/hyperlink" Id="rId97" Target="https://doi.org/10.1111/ecog.02587" TargetMode="External" /><Relationship Type="http://schemas.openxmlformats.org/officeDocument/2006/relationships/hyperlink" Id="rId69" Target="https://doi.org/10.1111/j.1365-2656.2010.01776.x" TargetMode="External" /><Relationship Type="http://schemas.openxmlformats.org/officeDocument/2006/relationships/hyperlink" Id="rId92" Target="https://doi.org/10.1126/science.1237139" TargetMode="External" /><Relationship Type="http://schemas.openxmlformats.org/officeDocument/2006/relationships/hyperlink" Id="rId85" Target="https://doi.org/10.1126/science.aat0985" TargetMode="External" /><Relationship Type="http://schemas.openxmlformats.org/officeDocument/2006/relationships/hyperlink" Id="rId73" Target="https://doi.org/10.1242/jeb.00853" TargetMode="External" /><Relationship Type="http://schemas.openxmlformats.org/officeDocument/2006/relationships/hyperlink" Id="rId76" Target="https://doi.org/10.1641/B570206" TargetMode="External" /><Relationship Type="http://schemas.openxmlformats.org/officeDocument/2006/relationships/hyperlink" Id="rId62" Target="https://doi.org/10.2981/wlb.2001.007" TargetMode="External" /><Relationship Type="http://schemas.openxmlformats.org/officeDocument/2006/relationships/hyperlink" Id="rId87" Target="https://doi.org/10.31219/osf.io/fzqxv" TargetMode="External" /><Relationship Type="http://schemas.openxmlformats.org/officeDocument/2006/relationships/hyperlink" Id="rId99" Target="https://www.jstor.org/stable/3677163" TargetMode="External" /></Relationships>
</file>

<file path=word/_rels/footnotes.xml.rels><?xml version="1.0" encoding="UTF-8"?><Relationships xmlns="http://schemas.openxmlformats.org/package/2006/relationships"><Relationship Type="http://schemas.openxmlformats.org/officeDocument/2006/relationships/hyperlink" Id="rId65" Target="https://arxiv.org/abs/2008.00553" TargetMode="External" /><Relationship Type="http://schemas.openxmlformats.org/officeDocument/2006/relationships/hyperlink" Id="rId89" Target="https://doi.org/10.1002/eap.2106" TargetMode="External" /><Relationship Type="http://schemas.openxmlformats.org/officeDocument/2006/relationships/hyperlink" Id="rId104" Target="https://doi.org/10.1002/ecs2.4502" TargetMode="External" /><Relationship Type="http://schemas.openxmlformats.org/officeDocument/2006/relationships/hyperlink" Id="rId78" Target="https://doi.org/10.1007/978-1-349-03711-7_2" TargetMode="External" /><Relationship Type="http://schemas.openxmlformats.org/officeDocument/2006/relationships/hyperlink" Id="rId94" Target="https://doi.org/10.1007/s10592-006-9282-y" TargetMode="External" /><Relationship Type="http://schemas.openxmlformats.org/officeDocument/2006/relationships/hyperlink" Id="rId80" Target="https://doi.org/10.1007/s11222-013-9416-2" TargetMode="External" /><Relationship Type="http://schemas.openxmlformats.org/officeDocument/2006/relationships/hyperlink" Id="rId102" Target="https://doi.org/10.1007/s11222-016-9696-4" TargetMode="External" /><Relationship Type="http://schemas.openxmlformats.org/officeDocument/2006/relationships/hyperlink" Id="rId67" Target="https://doi.org/10.1080/10618600.1998.10474787" TargetMode="External" /><Relationship Type="http://schemas.openxmlformats.org/officeDocument/2006/relationships/hyperlink" Id="rId71" Target="https://doi.org/10.1111/1365-2656.12449" TargetMode="External" /><Relationship Type="http://schemas.openxmlformats.org/officeDocument/2006/relationships/hyperlink" Id="rId97" Target="https://doi.org/10.1111/ecog.02587" TargetMode="External" /><Relationship Type="http://schemas.openxmlformats.org/officeDocument/2006/relationships/hyperlink" Id="rId69" Target="https://doi.org/10.1111/j.1365-2656.2010.01776.x" TargetMode="External" /><Relationship Type="http://schemas.openxmlformats.org/officeDocument/2006/relationships/hyperlink" Id="rId92" Target="https://doi.org/10.1126/science.1237139" TargetMode="External" /><Relationship Type="http://schemas.openxmlformats.org/officeDocument/2006/relationships/hyperlink" Id="rId85" Target="https://doi.org/10.1126/science.aat0985" TargetMode="External" /><Relationship Type="http://schemas.openxmlformats.org/officeDocument/2006/relationships/hyperlink" Id="rId73" Target="https://doi.org/10.1242/jeb.00853" TargetMode="External" /><Relationship Type="http://schemas.openxmlformats.org/officeDocument/2006/relationships/hyperlink" Id="rId76" Target="https://doi.org/10.1641/B570206" TargetMode="External" /><Relationship Type="http://schemas.openxmlformats.org/officeDocument/2006/relationships/hyperlink" Id="rId62" Target="https://doi.org/10.2981/wlb.2001.007" TargetMode="External" /><Relationship Type="http://schemas.openxmlformats.org/officeDocument/2006/relationships/hyperlink" Id="rId87" Target="https://doi.org/10.31219/osf.io/fzqxv" TargetMode="External" /><Relationship Type="http://schemas.openxmlformats.org/officeDocument/2006/relationships/hyperlink" Id="rId99" Target="https://www.jstor.org/stable/3677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Relearning migration: patterns of annual movement for a reintroduced long-lived avian species</dc:title>
  <dc:creator>David W. Wolfson, John R. Fieberg, Thomas R. Cooper, Steven Cordts, Christine Herwig, John Moriarty, Margaret Smith, Randall T. Knapik, Anna Buckardt-Thomas, Tyler Harms, Taylor Finger, Sumner Matteson, Laura Kearns, Tiffany Mayo, Brian Kiss, Timothy Poole, Drew Fowler, David E. Andersen</dc:creator>
  <cp:keywords/>
  <dcterms:created xsi:type="dcterms:W3CDTF">2023-06-20T20:06:45Z</dcterms:created>
  <dcterms:modified xsi:type="dcterms:W3CDTF">2023-06-20T20:06:45Z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Annual_MVMT_manuscript.bib</vt:lpwstr>
  </property>
  <property fmtid="{D5CDD505-2E9C-101B-9397-08002B2CF9AE}" pid="3" name="csl">
    <vt:lpwstr>http://www.zotero.org/styles/the-journal-of-wildlife-management</vt:lpwstr>
  </property>
  <property fmtid="{D5CDD505-2E9C-101B-9397-08002B2CF9AE}" pid="4" name="date">
    <vt:lpwstr>20 June, 2023</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