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tiff" ContentType="image/tiff"/>
  <Override PartName="/word/media/rId44.tiff" ContentType="image/tiff"/>
  <Override PartName="/word/media/rId56.tiff" ContentType="image/tiff"/>
  <Override PartName="/word/media/rId68.tiff" ContentType="image/tiff"/>
  <Override PartName="/word/media/rId49.tiff" ContentType="image/tiff"/>
  <Override PartName="/word/media/rId62.tiff" ContentType="image/tiff"/>
  <Override PartName="/word/media/rId59.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Annual</w:t>
      </w:r>
      <w:r>
        <w:t xml:space="preserve"> </w:t>
      </w:r>
      <w:r>
        <w:t xml:space="preserve">movement</w:t>
      </w:r>
      <w:r>
        <w:t xml:space="preserve"> </w:t>
      </w:r>
      <w:r>
        <w:t xml:space="preserve">trends</w:t>
      </w:r>
      <w:r>
        <w:t xml:space="preserve"> </w:t>
      </w:r>
      <w:r>
        <w:t xml:space="preserve">of</w:t>
      </w:r>
      <w:r>
        <w:t xml:space="preserve"> </w:t>
      </w:r>
      <w:r>
        <w:t xml:space="preserve">Interior</w:t>
      </w:r>
      <w:r>
        <w:t xml:space="preserve"> </w:t>
      </w:r>
      <w:r>
        <w:t xml:space="preserve">Population</w:t>
      </w:r>
      <w:r>
        <w:t xml:space="preserve"> </w:t>
      </w:r>
      <w:r>
        <w:t xml:space="preserve">Trumpeter</w:t>
      </w:r>
      <w:r>
        <w:t xml:space="preserve"> </w:t>
      </w:r>
      <w:r>
        <w:t xml:space="preserve">Swans</w:t>
      </w:r>
      <w:r>
        <w:t xml:space="preserve"> </w:t>
      </w:r>
      <w:r>
        <w:t xml:space="preserve">decades</w:t>
      </w:r>
      <w:r>
        <w:t xml:space="preserve"> </w:t>
      </w:r>
      <w:r>
        <w:t xml:space="preserve">after</w:t>
      </w:r>
      <w:r>
        <w:t xml:space="preserve"> </w:t>
      </w:r>
      <w:r>
        <w:t xml:space="preserve">reintroduction</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populations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Laura</w:t>
      </w:r>
      <w:r>
        <w:t xml:space="preserve"> </w:t>
      </w:r>
      <w:r>
        <w:t xml:space="preserve">Kearns</w:t>
      </w:r>
      <w:r>
        <w:rPr>
          <w:rStyle w:val="FootnoteReference"/>
        </w:rPr>
        <w:footnoteReference w:id="23"/>
      </w:r>
      <w:r>
        <w:t xml:space="preserve">,</w:t>
      </w:r>
      <w:r>
        <w:t xml:space="preserve"> </w:t>
      </w:r>
      <w:r>
        <w:t xml:space="preserve">Brian</w:t>
      </w:r>
      <w:r>
        <w:t xml:space="preserve"> </w:t>
      </w:r>
      <w:r>
        <w:t xml:space="preserve">Kiss</w:t>
      </w:r>
      <w:r>
        <w:rPr>
          <w:rStyle w:val="FootnoteReference"/>
        </w:rPr>
        <w:footnoteReference w:id="24"/>
      </w:r>
      <w:r>
        <w:t xml:space="preserve">,</w:t>
      </w:r>
      <w:r>
        <w:t xml:space="preserve"> </w:t>
      </w:r>
      <w:r>
        <w:t xml:space="preserve">Steven</w:t>
      </w:r>
      <w:r>
        <w:t xml:space="preserve"> </w:t>
      </w:r>
      <w:r>
        <w:t xml:space="preserve">Cordts</w:t>
      </w:r>
      <w:r>
        <w:rPr>
          <w:rStyle w:val="FootnoteReference"/>
        </w:rPr>
        <w:footnoteReference w:id="25"/>
      </w:r>
      <w:r>
        <w:t xml:space="preserve">,</w:t>
      </w:r>
      <w:r>
        <w:t xml:space="preserve"> </w:t>
      </w:r>
      <w:r>
        <w:t xml:space="preserve">Taylor</w:t>
      </w:r>
      <w:r>
        <w:t xml:space="preserve"> </w:t>
      </w:r>
      <w:r>
        <w:t xml:space="preserve">Finger</w:t>
      </w:r>
      <w:r>
        <w:rPr>
          <w:rStyle w:val="FootnoteReference"/>
        </w:rPr>
        <w:footnoteReference w:id="26"/>
      </w:r>
      <w:r>
        <w:t xml:space="preserve">,</w:t>
      </w:r>
      <w:r>
        <w:t xml:space="preserve"> </w:t>
      </w:r>
      <w:r>
        <w:t xml:space="preserve">Tyler</w:t>
      </w:r>
      <w:r>
        <w:t xml:space="preserve"> </w:t>
      </w:r>
      <w:r>
        <w:t xml:space="preserve">Harms</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19</w:t>
      </w:r>
      <w:r>
        <w:t xml:space="preserve"> </w:t>
      </w:r>
      <w:r>
        <w:t xml:space="preserve">December,</w:t>
      </w:r>
      <w:r>
        <w:t xml:space="preserve"> </w:t>
      </w:r>
      <w:r>
        <w:t xml:space="preserve">2023</w:t>
      </w:r>
    </w:p>
    <w:bookmarkStart w:id="42" w:name="abstract"/>
    <w:p>
      <w:pPr>
        <w:pStyle w:val="Heading2"/>
      </w:pPr>
      <w:r>
        <w:rPr>
          <w:rStyle w:val="SectionNumber"/>
        </w:rPr>
        <w:t xml:space="preserve">0.1</w:t>
      </w:r>
      <w:r>
        <w:tab/>
      </w:r>
      <w:r>
        <w:t xml:space="preserve">Abstract</w:t>
      </w:r>
    </w:p>
    <w:bookmarkStart w:id="38" w:name="background"/>
    <w:p>
      <w:pPr>
        <w:pStyle w:val="Heading3"/>
      </w:pPr>
      <w:r>
        <w:rPr>
          <w:rStyle w:val="SectionNumber"/>
        </w:rPr>
        <w:t xml:space="preserve">0.1.1</w:t>
      </w:r>
      <w:r>
        <w:tab/>
      </w:r>
      <w:r>
        <w:t xml:space="preserve">Background</w:t>
      </w:r>
    </w:p>
    <w:p>
      <w:pPr>
        <w:pStyle w:val="FirstParagraph"/>
      </w:pPr>
      <w:r>
        <w:t xml:space="preserve">Population-level migration may include a continuum of individual movement trends that optimize overall fitness over time.</w:t>
      </w:r>
      <w:r>
        <w:t xml:space="preserve"> </w:t>
      </w:r>
      <w:r>
        <w:t xml:space="preserve">Trumpeter swans were historically widespread throughout North America prior to European settlement, but unregulated market hunting decimated trumpeter swan abundance to near extirpation in the lower 48 states.</w:t>
      </w:r>
      <w:r>
        <w:t xml:space="preserve"> </w:t>
      </w:r>
      <w:r>
        <w:t xml:space="preserve">The Interior Population (IP) of trumpeter swans were reintroduced in eastern North America, but their current annual movements are not well understood.</w:t>
      </w:r>
      <w:r>
        <w:t xml:space="preserve"> </w:t>
      </w:r>
      <w:r>
        <w:t xml:space="preserve">Our goal was to quantify the proportion of the IP that is migratory, the extent and phenology (e.g., typical departure and arrival dates) of those movements, the associations between movement patterns and breeding status and breeding location, and the degree of individual and population variability in migration patterns.</w:t>
      </w:r>
    </w:p>
    <w:bookmarkEnd w:id="38"/>
    <w:bookmarkStart w:id="39" w:name="methods"/>
    <w:p>
      <w:pPr>
        <w:pStyle w:val="Heading3"/>
      </w:pPr>
      <w:r>
        <w:rPr>
          <w:rStyle w:val="SectionNumber"/>
        </w:rPr>
        <w:t xml:space="preserve">0.1.2</w:t>
      </w:r>
      <w:r>
        <w:tab/>
      </w:r>
      <w:r>
        <w:t xml:space="preserve">Methods</w:t>
      </w:r>
    </w:p>
    <w:p>
      <w:pPr>
        <w:pStyle w:val="FirstParagraph"/>
      </w:pPr>
      <w:r>
        <w:t xml:space="preserve">We deployed 113 GPS-GSM transmitters on IP trumpeter swans in 6 U.S. states and one Canadian province across the current IP breeding range to quantify annual movement trends.</w:t>
      </w:r>
      <w:r>
        <w:t xml:space="preserve"> </w:t>
      </w:r>
      <w:r>
        <w:t xml:space="preserve">Using data from 252 unique</w:t>
      </w:r>
      <w:r>
        <w:t xml:space="preserve"> </w:t>
      </w:r>
      <w:r>
        <w:t xml:space="preserve">‘</w:t>
      </w:r>
      <w:r>
        <w:t xml:space="preserve">swan-years</w:t>
      </w:r>
      <w:r>
        <w:t xml:space="preserve">’</w:t>
      </w:r>
      <w:r>
        <w:t xml:space="preserve">, we first segmented the annual cycle by fitting piecewise regression models to yearly time-series of displacement from the breeding site, and then extracting dates of migration events.</w:t>
      </w:r>
      <w:r>
        <w:t xml:space="preserve"> </w:t>
      </w:r>
      <w:r>
        <w:t xml:space="preserve">We also fit a latent state model to characterize the relationship between breeding latitude and maximum extent of migration into two migration categories, and linear mixed models to estimate variability in migration phenology and duration.</w:t>
      </w:r>
    </w:p>
    <w:bookmarkEnd w:id="39"/>
    <w:bookmarkStart w:id="40" w:name="results"/>
    <w:p>
      <w:pPr>
        <w:pStyle w:val="Heading3"/>
      </w:pPr>
      <w:r>
        <w:rPr>
          <w:rStyle w:val="SectionNumber"/>
        </w:rPr>
        <w:t xml:space="preserve">0.1.3</w:t>
      </w:r>
      <w:r>
        <w:tab/>
      </w:r>
      <w:r>
        <w:t xml:space="preserve">Results</w:t>
      </w:r>
    </w:p>
    <w:p>
      <w:pPr>
        <w:pStyle w:val="FirstParagraph"/>
      </w:pPr>
      <w:r>
        <w:t xml:space="preserve">Annual movements of IP trumpeter swans were highly variable.</w:t>
      </w:r>
      <w:r>
        <w:t xml:space="preserve"> </w:t>
      </w:r>
      <w:r>
        <w:t xml:space="preserve">For the 60% of swans undergoing long-distance migration (defined as moving &gt;100km from the breeding site) there was a strong association between breeding latitude and the extent of migration.</w:t>
      </w:r>
      <w:r>
        <w:t xml:space="preserve"> </w:t>
      </w:r>
      <w:r>
        <w:t xml:space="preserve">The remaining portion of the population had very local movements during the non-breeding season except those breeding at higher latitudes that showed greater movement.</w:t>
      </w:r>
      <w:r>
        <w:t xml:space="preserve"> </w:t>
      </w:r>
      <w:r>
        <w:t xml:space="preserve">Breeding latitude had no association with fall departure, but a strong correlation with spring arrival.</w:t>
      </w:r>
      <w:r>
        <w:t xml:space="preserve"> </w:t>
      </w:r>
      <w:r>
        <w:t xml:space="preserve">Successfull breeders and paired swans left later in the fall than non-breeders and arrived earlier in the spring.</w:t>
      </w:r>
      <w:r>
        <w:t xml:space="preserve"> </w:t>
      </w:r>
      <w:r>
        <w:t xml:space="preserve">Spring arrival dates had higher repeatability than fall departure, indicating within-individual variation has a stronger role in migration timing at this time of year.</w:t>
      </w:r>
    </w:p>
    <w:bookmarkEnd w:id="40"/>
    <w:bookmarkStart w:id="41" w:name="conclusion"/>
    <w:p>
      <w:pPr>
        <w:pStyle w:val="Heading3"/>
      </w:pPr>
      <w:r>
        <w:rPr>
          <w:rStyle w:val="SectionNumber"/>
        </w:rPr>
        <w:t xml:space="preserve">0.1.4</w:t>
      </w:r>
      <w:r>
        <w:tab/>
      </w:r>
      <w:r>
        <w:t xml:space="preserve">Conclusion</w:t>
      </w:r>
    </w:p>
    <w:p>
      <w:pPr>
        <w:pStyle w:val="FirstParagraph"/>
      </w:pPr>
      <w:r>
        <w:t xml:space="preserve">IP trumpeter swans are a partial migrant population, with a continuum of strategies each year including from residency and local movement to long-distance migration.</w:t>
      </w:r>
      <w:r>
        <w:t xml:space="preserve"> </w:t>
      </w:r>
      <w:r>
        <w:t xml:space="preserve">Much of the variability in movement patterns was related to factors tied to natural history demands and response to environmental conditions such as breeding status and breeding location.</w:t>
      </w:r>
    </w:p>
    <w:p>
      <w:r>
        <w:pict>
          <v:rect style="width:0;height:1.5pt" o:hralign="center" o:hrstd="t" o:hr="t"/>
        </w:pict>
      </w:r>
    </w:p>
    <w:bookmarkEnd w:id="41"/>
    <w:bookmarkEnd w:id="42"/>
    <w:bookmarkStart w:id="43" w:name="introduction"/>
    <w:p>
      <w:pPr>
        <w:pStyle w:val="Heading2"/>
      </w:pPr>
      <w:r>
        <w:rPr>
          <w:rStyle w:val="SectionNumber"/>
        </w:rPr>
        <w:t xml:space="preserve">0.2</w:t>
      </w:r>
      <w:r>
        <w:tab/>
      </w:r>
      <w:r>
        <w:t xml:space="preserve">Introduction</w:t>
      </w:r>
    </w:p>
    <w:p>
      <w:pPr>
        <w:pStyle w:val="FirstParagraph"/>
      </w:pPr>
      <w:r>
        <w:t xml:space="preserve">Migration is a behavioral mechanism widely used by all major vertebrate groups (e.g. birds, fish, mammal, herpetofauna) that allows individuals to optimize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the difficulty of making population-level inference from observations of individuals, quantifying migratory movements along a continuum of variability, and the relative scarcity of successful reintroductions of formerly scarce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10</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population has been re-established on a landscape from which it had been extirpated.</w:t>
      </w:r>
      <w:r>
        <w:t xml:space="preserve"> </w:t>
      </w:r>
      <w:r>
        <w:t xml:space="preserve">Jesmer et al.</w:t>
      </w:r>
      <w:r>
        <w:t xml:space="preserve"> </w:t>
      </w:r>
      <w:r>
        <w:t xml:space="preserve">[</w:t>
      </w:r>
      <w:hyperlink w:anchor="ref-jesmer2018">
        <w:r>
          <w:rPr>
            <w:rStyle w:val="Hyperlink"/>
          </w:rPr>
          <w:t xml:space="preserve">11</w:t>
        </w:r>
      </w:hyperlink>
      <w:r>
        <w:t xml:space="preserve">]</w:t>
      </w:r>
      <w:r>
        <w:t xml:space="preserve"> </w:t>
      </w:r>
      <w:r>
        <w:t xml:space="preserve">found that newly translocated populations initially lost their migratory tendencies and that it took many generations to re-establish such patterns.</w:t>
      </w:r>
    </w:p>
    <w:p>
      <w:pPr>
        <w:pStyle w:val="BodyText"/>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12</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13</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14</w:t>
        </w:r>
      </w:hyperlink>
      <w:r>
        <w:t xml:space="preserve">]</w:t>
      </w:r>
      <w:r>
        <w:t xml:space="preserve">.</w:t>
      </w:r>
      <w:r>
        <w:t xml:space="preserve"> </w:t>
      </w:r>
      <w:r>
        <w:t xml:space="preserve">As trumpeter swan numbers at RRLNWR started to rise, this flock became a source population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completely extirpated, in the Great Lakes region of North America</w:t>
      </w:r>
      <w:r>
        <w:t xml:space="preserve"> </w:t>
      </w:r>
      <w:r>
        <w:t xml:space="preserve">[</w:t>
      </w:r>
      <w:hyperlink w:anchor="ref-shea2002">
        <w:r>
          <w:rPr>
            <w:rStyle w:val="Hyperlink"/>
          </w:rPr>
          <w:t xml:space="preserve">14</w:t>
        </w:r>
      </w:hyperlink>
      <w:r>
        <w:t xml:space="preserve">]</w:t>
      </w:r>
      <w:r>
        <w:t xml:space="preserve">.</w:t>
      </w:r>
      <w:r>
        <w:t xml:space="preserve"> </w:t>
      </w:r>
      <w:r>
        <w:t xml:space="preserve">In 1959, aerial surveys in central Alaska revealed abundant numbers of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15</w:t>
        </w:r>
      </w:hyperlink>
      <w:r>
        <w:t xml:space="preserve">,</w:t>
      </w:r>
      <w:hyperlink w:anchor="ref-matteson1988">
        <w:r>
          <w:rPr>
            <w:rStyle w:val="Hyperlink"/>
          </w:rPr>
          <w:t xml:space="preserve">16</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17</w:t>
        </w:r>
      </w:hyperlink>
      <w:r>
        <w:t xml:space="preserve">,</w:t>
      </w:r>
      <w:hyperlink w:anchor="ref-oyler-mccance2007">
        <w:r>
          <w:rPr>
            <w:rStyle w:val="Hyperlink"/>
          </w:rPr>
          <w:t xml:space="preserve">18</w:t>
        </w:r>
      </w:hyperlink>
      <w:r>
        <w:t xml:space="preserve">]</w:t>
      </w:r>
      <w:r>
        <w:t xml:space="preserve">.</w:t>
      </w:r>
    </w:p>
    <w:p>
      <w:pPr>
        <w:pStyle w:val="BodyText"/>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19</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(onset in the fall, settlement during winter, arrival in the spring), and the magnitude of intra- and inter-individual variability in migration behavior.</w:t>
      </w:r>
      <w:r>
        <w:t xml:space="preserve"> </w:t>
      </w:r>
      <w:r>
        <w:t xml:space="preserve">A better comprehensive understanding of where IP swans move throughout the annual cycle (especially the non-breeding season) and when movements occur will better inform wintering area habitat requirements, optimal study design for surveys to index abundance, and differences in migration trends relating to breeding status and location.</w:t>
      </w:r>
    </w:p>
    <w:p>
      <w:pPr>
        <w:pStyle w:val="BodyText"/>
      </w:pPr>
      <w:r>
        <w:t xml:space="preserve">Many factors likely influence a swan’s decision to leave its breeding territory during the non-breeding season, how far migrating individuals travel, and the degree of among-individual variability in movements for birds breeding at similar locations; these factors include energetics of flight, life history requirements, and knowledge transfer of migratory traditions</w:t>
      </w:r>
      <w:r>
        <w:t xml:space="preserve"> </w:t>
      </w:r>
      <w:r>
        <w:t xml:space="preserve">[</w:t>
      </w:r>
      <w:hyperlink w:anchor="ref-alerstam2003">
        <w:r>
          <w:rPr>
            <w:rStyle w:val="Hyperlink"/>
          </w:rPr>
          <w:t xml:space="preserve">20</w:t>
        </w:r>
      </w:hyperlink>
      <w:r>
        <w:t xml:space="preserve">–</w:t>
      </w:r>
      <w:hyperlink w:anchor="ref-chapman2011">
        <w:r>
          <w:rPr>
            <w:rStyle w:val="Hyperlink"/>
          </w:rPr>
          <w:t xml:space="preserve">22</w:t>
        </w:r>
      </w:hyperlink>
      <w:r>
        <w:t xml:space="preserve">]</w:t>
      </w:r>
      <w:r>
        <w:t xml:space="preserve">.</w:t>
      </w:r>
      <w:r>
        <w:t xml:space="preserve"> </w:t>
      </w:r>
      <w:r>
        <w:t xml:space="preserve">The energetic cost of migration for a given distance traveled increases non-linearly with the mass of the bird, and therefore swans, one of the heaviest avian species to migrate, do so at considerable expense</w:t>
      </w:r>
      <w:r>
        <w:t xml:space="preserve"> </w:t>
      </w:r>
      <w:r>
        <w:t xml:space="preserve">[</w:t>
      </w:r>
      <w:hyperlink w:anchor="ref-pennycuick1989">
        <w:r>
          <w:rPr>
            <w:rStyle w:val="Hyperlink"/>
          </w:rPr>
          <w:t xml:space="preserve">23</w:t>
        </w:r>
      </w:hyperlink>
      <w:r>
        <w:t xml:space="preserve">–</w:t>
      </w:r>
      <w:hyperlink w:anchor="ref-newton2010">
        <w:r>
          <w:rPr>
            <w:rStyle w:val="Hyperlink"/>
          </w:rPr>
          <w:t xml:space="preserve">25</w:t>
        </w:r>
      </w:hyperlink>
      <w:r>
        <w:t xml:space="preserve">]</w:t>
      </w:r>
      <w:r>
        <w:t xml:space="preserve">.</w:t>
      </w:r>
      <w:r>
        <w:t xml:space="preserve"> </w:t>
      </w:r>
      <w:r>
        <w:t xml:space="preserve">Furthermore,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implies greater body mass conveys increased abilities to fast due to a lower basal metabolic rate.</w:t>
      </w:r>
      <w:r>
        <w:t xml:space="preserve"> </w:t>
      </w:r>
      <w:r>
        <w:t xml:space="preserve">Therefore, larger individuals should be better able to withstand harsh winter conditions, and the tendency to migrate should decrease with increasing body size</w:t>
      </w:r>
      <w:r>
        <w:t xml:space="preserve"> </w:t>
      </w:r>
      <w:r>
        <w:t xml:space="preserve">[</w:t>
      </w:r>
      <w:hyperlink w:anchor="ref-ketterson1976">
        <w:r>
          <w:rPr>
            <w:rStyle w:val="Hyperlink"/>
          </w:rPr>
          <w:t xml:space="preserve">26</w:t>
        </w:r>
      </w:hyperlink>
      <w:r>
        <w:t xml:space="preserve">,</w:t>
      </w:r>
      <w:hyperlink w:anchor="ref-fudickar2013">
        <w:r>
          <w:rPr>
            <w:rStyle w:val="Hyperlink"/>
          </w:rPr>
          <w:t xml:space="preserve">27</w:t>
        </w:r>
      </w:hyperlink>
      <w:r>
        <w:t xml:space="preserve">]</w:t>
      </w:r>
      <w:r>
        <w:t xml:space="preserve">.</w:t>
      </w:r>
      <w:r>
        <w:t xml:space="preserve"> </w:t>
      </w:r>
      <w:r>
        <w:t xml:space="preserve">Survival rates of migrating individuals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28</w:t>
        </w:r>
      </w:hyperlink>
      <w:r>
        <w:t xml:space="preserve">,</w:t>
      </w:r>
      <w:hyperlink w:anchor="ref-rushing2017">
        <w:r>
          <w:rPr>
            <w:rStyle w:val="Hyperlink"/>
          </w:rPr>
          <w:t xml:space="preserve">29</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w:t>
      </w:r>
      <w:r>
        <w:t xml:space="preserve"> </w:t>
      </w:r>
      <w:r>
        <w:t xml:space="preserve">[</w:t>
      </w:r>
      <w:hyperlink w:anchor="ref-somveille2015">
        <w:r>
          <w:rPr>
            <w:rStyle w:val="Hyperlink"/>
          </w:rPr>
          <w:t xml:space="preserve">30</w:t>
        </w:r>
      </w:hyperlink>
      <w:r>
        <w:t xml:space="preserve">]</w:t>
      </w:r>
      <w:r>
        <w:t xml:space="preserve">.</w:t>
      </w:r>
      <w:r>
        <w:t xml:space="preserve"> </w:t>
      </w:r>
      <w:r>
        <w:t xml:space="preserve">For many populations, partial migration, which have a mixture of resident and migratory individuals, allow a flexible mix of migratory strategies, and thus result in higher overall fitness</w:t>
      </w:r>
      <w:r>
        <w:t xml:space="preserve"> </w:t>
      </w:r>
      <w:r>
        <w:t xml:space="preserve">[</w:t>
      </w:r>
      <w:hyperlink w:anchor="ref-chapman2011">
        <w:r>
          <w:rPr>
            <w:rStyle w:val="Hyperlink"/>
          </w:rPr>
          <w:t xml:space="preserve">22</w:t>
        </w:r>
      </w:hyperlink>
      <w:r>
        <w:t xml:space="preserve">]</w:t>
      </w:r>
      <w:r>
        <w:t xml:space="preserve">.</w:t>
      </w:r>
    </w:p>
    <w:p>
      <w:pPr>
        <w:pStyle w:val="BodyText"/>
      </w:pPr>
      <w:r>
        <w:t xml:space="preserve">Breeding status may also influence migratory behaviors due to the unique life history requirements of breeding individuals.</w:t>
      </w:r>
      <w:r>
        <w:t xml:space="preserve"> </w:t>
      </w:r>
      <w:r>
        <w:t xml:space="preserve">Arriving early in the spring allows individuals to re-establish and defend a breeding territory and lay and incubate eggs.</w:t>
      </w:r>
      <w:r>
        <w:t xml:space="preserve"> </w:t>
      </w:r>
      <w:r>
        <w:t xml:space="preserve">Similarly, there are advantages to staying on breeding territories longer in the fall to allow cygnets time to learn how to fly and develop sufficient fat reserves to migrate south for the winter</w:t>
      </w:r>
      <w:r>
        <w:t xml:space="preserve"> </w:t>
      </w:r>
      <w:r>
        <w:t xml:space="preserve">[</w:t>
      </w:r>
      <w:hyperlink w:anchor="ref-lok2017">
        <w:r>
          <w:rPr>
            <w:rStyle w:val="Hyperlink"/>
          </w:rPr>
          <w:t xml:space="preserve">31</w:t>
        </w:r>
      </w:hyperlink>
      <w:r>
        <w:t xml:space="preserve">,</w:t>
      </w:r>
      <w:hyperlink w:anchor="ref-winger2021">
        <w:r>
          <w:rPr>
            <w:rStyle w:val="Hyperlink"/>
          </w:rPr>
          <w:t xml:space="preserve">32</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33</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34</w:t>
        </w:r>
      </w:hyperlink>
      <w:r>
        <w:t xml:space="preserve">,</w:t>
      </w:r>
      <w:hyperlink w:anchor="ref-lasorte2021">
        <w:r>
          <w:rPr>
            <w:rStyle w:val="Hyperlink"/>
          </w:rPr>
          <w:t xml:space="preserve">35</w:t>
        </w:r>
      </w:hyperlink>
      <w:r>
        <w:t xml:space="preserve">]</w:t>
      </w:r>
      <w:r>
        <w:t xml:space="preserve">, as well as departure in the fall, such as ice formation on shallow wetlands and plant senescence</w:t>
      </w:r>
      <w:r>
        <w:t xml:space="preserve"> </w:t>
      </w:r>
      <w:r>
        <w:t xml:space="preserve">[</w:t>
      </w:r>
      <w:hyperlink w:anchor="ref-schummer2010">
        <w:r>
          <w:rPr>
            <w:rStyle w:val="Hyperlink"/>
          </w:rPr>
          <w:t xml:space="preserve">36</w:t>
        </w:r>
      </w:hyperlink>
      <w:r>
        <w:t xml:space="preserve">,</w:t>
      </w:r>
      <w:hyperlink w:anchor="ref-xu2019a">
        <w:r>
          <w:rPr>
            <w:rStyle w:val="Hyperlink"/>
          </w:rPr>
          <w:t xml:space="preserve">37</w:t>
        </w:r>
      </w:hyperlink>
      <w:r>
        <w:t xml:space="preserve">]</w:t>
      </w:r>
      <w:r>
        <w:t xml:space="preserve">.</w:t>
      </w:r>
      <w:r>
        <w:t xml:space="preserve"> </w:t>
      </w:r>
      <w:r>
        <w:t xml:space="preserve">Swans breeding further from the equator contend with shorter growing seasons and greater pressures for offspring to sufficiently develop to flight stage before environmental conditions dictate migrating south for the winter</w:t>
      </w:r>
      <w:r>
        <w:t xml:space="preserve"> </w:t>
      </w:r>
      <w:r>
        <w:t xml:space="preserve">[</w:t>
      </w:r>
      <w:hyperlink w:anchor="ref-stafford2014a">
        <w:r>
          <w:rPr>
            <w:rStyle w:val="Hyperlink"/>
          </w:rPr>
          <w:t xml:space="preserve">38</w:t>
        </w:r>
      </w:hyperlink>
      <w:r>
        <w:t xml:space="preserve">]</w:t>
      </w:r>
      <w:r>
        <w:t xml:space="preserve">.</w:t>
      </w:r>
      <w:r>
        <w:t xml:space="preserve"> </w:t>
      </w:r>
      <w:r>
        <w:t xml:space="preserve">The</w:t>
      </w:r>
      <w:r>
        <w:t xml:space="preserve"> </w:t>
      </w:r>
      <w:r>
        <w:t xml:space="preserve">‘</w:t>
      </w:r>
      <w:r>
        <w:t xml:space="preserve">push</w:t>
      </w:r>
      <w:r>
        <w:t xml:space="preserve">’</w:t>
      </w:r>
      <w:r>
        <w:t xml:space="preserve"> </w:t>
      </w:r>
      <w:r>
        <w:t xml:space="preserve">to avoid the harsh elements of winter varies substantially throughout the IP breeding range, with concurrent implications for decisions related to migration timing.</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Specifically, our objectives were to quantify 1) the proportion of IP that is migratory and the extent of those movements, 2) migration phenology (e.g., typical departure and arrival dates) 3) associations between annual movement patterns and breeding status and breeding location, and 4) the degree of individual and population-level variability in migration patterns.</w:t>
      </w:r>
      <w:r>
        <w:t xml:space="preserve"> </w:t>
      </w:r>
      <w:r>
        <w:t xml:space="preserve">Ours is primarily a descriptive study of how a re-established population of trumpeter swans uses a novel landscape.</w:t>
      </w:r>
    </w:p>
    <w:p>
      <w:r>
        <w:pict>
          <v:rect style="width:0;height:1.5pt" o:hralign="center" o:hrstd="t" o:hr="t"/>
        </w:pict>
      </w:r>
    </w:p>
    <w:bookmarkEnd w:id="43"/>
    <w:bookmarkStart w:id="55" w:name="methods-1"/>
    <w:p>
      <w:pPr>
        <w:pStyle w:val="Heading2"/>
      </w:pPr>
      <w:r>
        <w:rPr>
          <w:rStyle w:val="SectionNumber"/>
        </w:rPr>
        <w:t xml:space="preserve">0.3</w:t>
      </w:r>
      <w:r>
        <w:tab/>
      </w:r>
      <w:r>
        <w:t xml:space="preserve">Methods</w:t>
      </w:r>
    </w:p>
    <w:bookmarkStart w:id="47" w:name="study-area"/>
    <w:p>
      <w:pPr>
        <w:pStyle w:val="Heading3"/>
      </w:pPr>
      <w:r>
        <w:rPr>
          <w:rStyle w:val="SectionNumber"/>
        </w:rPr>
        <w:t xml:space="preserve">0.3.1</w:t>
      </w:r>
      <w:r>
        <w:tab/>
      </w: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19</w:t>
        </w:r>
      </w:hyperlink>
      <w:r>
        <w:t xml:space="preserve">]</w:t>
      </w:r>
      <w:r>
        <w:t xml:space="preserve"> </w:t>
      </w:r>
      <w:r>
        <w:t xml:space="preserve">and during the breeding period, except for 4 swans captured during winter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39</w:t>
        </w:r>
      </w:hyperlink>
      <w:r>
        <w:t xml:space="preserve">]</w:t>
      </w:r>
      <w:r>
        <w:t xml:space="preserve">.</w:t>
      </w:r>
    </w:p>
    <w:p>
      <w:pPr>
        <w:pStyle w:val="CaptionedFigure"/>
      </w:pPr>
      <w:r>
        <w:drawing>
          <wp:inline>
            <wp:extent cx="3810000" cy="2540000"/>
            <wp:effectExtent b="0" l="0" r="0" t="0"/>
            <wp:docPr descr="Figure 1: Capture locations for Interior Population trumpeter swans collared with GPS-GSM transmitters from July 2019–January 2022." title="" id="45" name="Picture"/>
            <a:graphic>
              <a:graphicData uri="http://schemas.openxmlformats.org/drawingml/2006/picture">
                <pic:pic>
                  <pic:nvPicPr>
                    <pic:cNvPr descr="../figures/figs_for_manuscript/capture_locations_with_ar.tif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Capture locations for Interior Population trumpeter swans collared with GPS-GSM transmitters from July 2019–January 2022.</w:t>
      </w:r>
    </w:p>
    <w:bookmarkEnd w:id="47"/>
    <w:bookmarkStart w:id="48"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40</w:t>
        </w:r>
      </w:hyperlink>
      <w:r>
        <w:t xml:space="preserve">,</w:t>
      </w:r>
      <w:hyperlink w:anchor="ref-hindman2016">
        <w:r>
          <w:rPr>
            <w:rStyle w:val="Hyperlink"/>
          </w:rPr>
          <w:t xml:space="preserve">41</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42</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as well as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48"/>
    <w:bookmarkStart w:id="52" w:name="migration-phenology-classification"/>
    <w:p>
      <w:pPr>
        <w:pStyle w:val="Heading3"/>
      </w:pPr>
      <w:r>
        <w:rPr>
          <w:rStyle w:val="SectionNumber"/>
        </w:rPr>
        <w:t xml:space="preserve">0.3.3</w:t>
      </w:r>
      <w:r>
        <w:tab/>
      </w:r>
      <w:r>
        <w:t xml:space="preserve">Migration Phenology Classification</w:t>
      </w:r>
    </w:p>
    <w:p>
      <w:pPr>
        <w:pStyle w:val="FirstParagraph"/>
      </w:pPr>
      <w:r>
        <w:t xml:space="preserve">Accurate classification of migration phenology is a key objective to this study, but due to the size of the telemetry dataset (~6M locations over 252 swan-years), we needed an efficient workflow to segment location data into periods of the annual cycle and estimate migration metrics. 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43</w:t>
        </w:r>
      </w:hyperlink>
      <w:r>
        <w:t xml:space="preserve">,</w:t>
      </w:r>
      <w:hyperlink w:anchor="ref-vandekerk2021">
        <w:r>
          <w:rPr>
            <w:rStyle w:val="Hyperlink"/>
          </w:rPr>
          <w:t xml:space="preserve">44</w:t>
        </w:r>
      </w:hyperlink>
      <w:r>
        <w:t xml:space="preserve">]</w:t>
      </w:r>
      <w:r>
        <w:t xml:space="preserve">.</w:t>
      </w:r>
    </w:p>
    <w:p>
      <w:pPr>
        <w:pStyle w:val="BodyText"/>
      </w:pPr>
      <w:r>
        <w:t xml:space="preserve">To quantify migration phenology, we used a model-driven approach considering displacement throughout the year and segmenting the annual cycle into stationary time periods that correspond with breeding, stopover, and wintering areas.</w:t>
      </w:r>
      <w:r>
        <w:t xml:space="preserve"> </w:t>
      </w:r>
      <w:r>
        <w:t xml:space="preserve">We first calculated yearly time-series of Net-Squared Displacement (NSD) values for each swan, using 1 July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45</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fall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50" name="Picture"/>
            <a:graphic>
              <a:graphicData uri="http://schemas.openxmlformats.org/drawingml/2006/picture">
                <pic:pic>
                  <pic:nvPicPr>
                    <pic:cNvPr descr="../figures/figs_for_manuscript/nsd_piecewise.tif"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46</w:t>
        </w:r>
      </w:hyperlink>
      <w:r>
        <w:t xml:space="preserve">]</w:t>
      </w:r>
      <w:r>
        <w:t xml:space="preserve"> </w:t>
      </w:r>
      <w:r>
        <w:t xml:space="preserve">using the mcp package</w:t>
      </w:r>
      <w:r>
        <w:t xml:space="preserve"> </w:t>
      </w:r>
      <w:r>
        <w:t xml:space="preserve">[</w:t>
      </w:r>
      <w:hyperlink w:anchor="ref-lindelov2020">
        <w:r>
          <w:rPr>
            <w:rStyle w:val="Hyperlink"/>
          </w:rPr>
          <w:t xml:space="preserve">47</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48</w:t>
        </w:r>
      </w:hyperlink>
      <w:r>
        <w:t xml:space="preserve">]</w:t>
      </w:r>
      <w:r>
        <w:t xml:space="preserve">, using 15,000 iterations and a burn-in period of 10,000.</w:t>
      </w:r>
      <w:r>
        <w:t xml:space="preserve"> </w:t>
      </w:r>
      <w:r>
        <w:t xml:space="preserve">We used the future R package to run all scripts in parallel on the Minnesota Supercomputing Institute (MSI) using a partition with 24 cores and 50GB RAM per core</w:t>
      </w:r>
      <w:r>
        <w:t xml:space="preserve"> </w:t>
      </w:r>
      <w:r>
        <w:t xml:space="preserve">[</w:t>
      </w:r>
      <w:hyperlink w:anchor="ref-bengtsson2021">
        <w:r>
          <w:rPr>
            <w:rStyle w:val="Hyperlink"/>
          </w:rPr>
          <w:t xml:space="preserve">49</w:t>
        </w:r>
      </w:hyperlink>
      <w:r>
        <w:t xml:space="preserve">]</w:t>
      </w:r>
      <w:r>
        <w:t xml:space="preserve">.</w:t>
      </w:r>
      <w:r>
        <w:t xml:space="preserve"> </w:t>
      </w:r>
      <w:r>
        <w:t xml:space="preserve">We evaluated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50</w:t>
        </w:r>
      </w:hyperlink>
      <w:r>
        <w:t xml:space="preserve">]</w:t>
      </w:r>
      <w:r>
        <w:t xml:space="preserve">. 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51</w:t>
        </w:r>
      </w:hyperlink>
      <w:r>
        <w:t xml:space="preserve">,</w:t>
      </w:r>
      <w:hyperlink w:anchor="ref-vehtari2017">
        <w:r>
          <w:rPr>
            <w:rStyle w:val="Hyperlink"/>
          </w:rPr>
          <w:t xml:space="preserve">52</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model best-supported by ELPD for each swan-year dataset and removed 11 (out of 241 total datasets) that were obvious poor fits such that information from the breakpoints and intercepts would not adequately describe the annual migration phenology.</w:t>
      </w:r>
    </w:p>
    <w:p>
      <w:pPr>
        <w:pStyle w:val="BodyText"/>
      </w:pPr>
      <w:r>
        <w:t xml:space="preserve">For models that passed visual inspection (230 out of 241), we extracted parameter values to represent the movement metrics of interest after first applying a series of criteria thresholds to exclude erroneous changepoints that didn’t represent biologicially meaningful transitions within the annual cycle.</w:t>
      </w:r>
      <w:r>
        <w:t xml:space="preserve"> </w:t>
      </w:r>
      <w:r>
        <w:t xml:space="preserve">We excluded all segments &lt;2 km from the previous segment and all changepoints &lt;2 days from the previous changepoint.</w:t>
      </w:r>
      <w:r>
        <w:t xml:space="preserve"> </w:t>
      </w:r>
      <w:r>
        <w:t xml:space="preserve">We extracted fall departure dates for individuals that moved &gt;100 km from breeding/capture territories by 1 December.</w:t>
      </w:r>
      <w:r>
        <w:t xml:space="preserve"> </w:t>
      </w:r>
      <w:r>
        <w:t xml:space="preserve">We extracted spring arrival dates for individuals that moved &gt;100 km from breeding/capture territories during the non-breeding season and that returned within 10 km of their previous summer territory.</w:t>
      </w:r>
      <w:r>
        <w:t xml:space="preserve"> </w:t>
      </w:r>
      <w:r>
        <w:t xml:space="preserve">We estimated migration duration as the difference in time between fall departure and spring arrival the subsequent year for all swan-year datasets that met the requirements to estimate those two terms.</w:t>
      </w:r>
    </w:p>
    <w:bookmarkEnd w:id="52"/>
    <w:bookmarkStart w:id="53" w:name="latent-state-model-for-migration-extent"/>
    <w:p>
      <w:pPr>
        <w:pStyle w:val="Heading3"/>
      </w:pPr>
      <w:r>
        <w:rPr>
          <w:rStyle w:val="SectionNumber"/>
        </w:rPr>
        <w:t xml:space="preserve">0.3.4</w:t>
      </w:r>
      <w:r>
        <w:tab/>
      </w:r>
      <w:r>
        <w:t xml:space="preserve">Latent State Model for Migration Extent</w:t>
      </w:r>
    </w:p>
    <w:p>
      <w:pPr>
        <w:pStyle w:val="FirstParagraph"/>
      </w:pPr>
      <w:r>
        <w:t xml:space="preserve">Exploratory data analysis annual movement suggested that IP swans may use multiple migration strategies; one where the migration extent (defined as max displacement from breeding territory during the non-breeding season) is linearly related to the swan’s breeding latitude, and a second strategy where most swans are resident, but those breeding at higher latitudes make regional movements during the nonbreeding season.</w:t>
      </w:r>
      <w:r>
        <w:t xml:space="preserve"> </w:t>
      </w:r>
      <w:r>
        <w:t xml:space="preserve">To further investigate this trend, we modeled the relationship between breeding latitude and migration extent using a state-space formulation for assignment in one of two migration</w:t>
      </w:r>
      <w:r>
        <w:t xml:space="preserve"> </w:t>
      </w:r>
      <w:r>
        <w:t xml:space="preserve">‘</w:t>
      </w:r>
      <w:r>
        <w:t xml:space="preserve">strategy</w:t>
      </w:r>
      <w:r>
        <w:t xml:space="preserve">’</w:t>
      </w:r>
      <w:r>
        <w:t xml:space="preserve"> </w:t>
      </w:r>
      <w:r>
        <w:t xml:space="preserve">categories, either a linear relationship between breeding latitude or a nonlinear relationship in which swans at lower latitudes do not travel long distances but make greater movements at higher latitudes.</w:t>
      </w:r>
      <w:r>
        <w:t xml:space="preserve"> </w:t>
      </w:r>
      <w:r>
        <w:t xml:space="preserve">The underlying latent migration strategy for each individual was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m:oMathPara>
        <m:oMathParaPr>
          <m:jc m:val="center"/>
        </m:oMathParaPr>
        <m:oMath>
          <m:r>
            <m:t>L</m:t>
          </m:r>
          <m:r>
            <m:t>o</m:t>
          </m:r>
          <m:r>
            <m:t>g</m:t>
          </m:r>
          <m:r>
            <m:t>i</m:t>
          </m:r>
          <m:r>
            <m:t>t</m:t>
          </m:r>
          <m:d>
            <m:dPr>
              <m:begChr m:val="("/>
              <m:endChr m:val=")"/>
              <m:sepChr m:val=""/>
              <m:grow/>
            </m:dPr>
            <m:e>
              <m:sSub>
                <m:e>
                  <m:r>
                    <m:t>π</m:t>
                  </m:r>
                </m:e>
                <m:sub>
                  <m:r>
                    <m:t>i</m:t>
                  </m:r>
                </m:sub>
              </m:sSub>
            </m:e>
          </m:d>
          <m:r>
            <m:rPr>
              <m:sty m:val="p"/>
            </m:rPr>
            <m:t>=</m:t>
          </m:r>
          <m:acc>
            <m:accPr>
              <m:chr m:val="‾"/>
            </m:accPr>
            <m:e>
              <m:r>
                <m:t>β</m:t>
              </m:r>
            </m:e>
          </m:acc>
          <m:r>
            <m:rPr>
              <m:sty m:val="p"/>
            </m:rPr>
            <m:t>+</m:t>
          </m:r>
          <m:sSub>
            <m:e>
              <m:r>
                <m:t>b</m:t>
              </m:r>
            </m:e>
            <m:sub>
              <m:r>
                <m:t>i</m:t>
              </m:r>
            </m:sub>
          </m:sSub>
        </m:oMath>
      </m:oMathPara>
    </w:p>
    <w:p>
      <w:pPr>
        <w:pStyle w:val="FirstParagraph"/>
      </w:pPr>
      <w:r>
        <w:t xml:space="preserve">where</w:t>
      </w:r>
      <w:r>
        <w:t xml:space="preserve"> </w:t>
      </w:r>
      <m:oMath>
        <m:sSub>
          <m:e>
            <m:r>
              <m:t>z</m:t>
            </m:r>
          </m:e>
          <m:sub>
            <m:r>
              <m:t>i</m:t>
            </m:r>
          </m:sub>
        </m:sSub>
      </m:oMath>
      <w:r>
        <w:t xml:space="preserve"> </w:t>
      </w:r>
      <w:r>
        <w:t xml:space="preserve">is the latent state (0 or 1) for assignment to a migration strategy,</w:t>
      </w:r>
      <w:r>
        <w:t xml:space="preserve"> </w:t>
      </w:r>
      <m:oMath>
        <m:acc>
          <m:accPr>
            <m:chr m:val="‾"/>
          </m:accPr>
          <m:e>
            <m:r>
              <m:t>β</m:t>
            </m:r>
          </m:e>
        </m:acc>
      </m:oMath>
      <w:r>
        <w:t xml:space="preserve"> </w:t>
      </w:r>
      <w:r>
        <w:t xml:space="preserve">is the overall mean of</w:t>
      </w:r>
      <w:r>
        <w:t xml:space="preserve"> </w:t>
      </w:r>
      <m:oMath>
        <m:r>
          <m:t>π</m:t>
        </m:r>
      </m:oMath>
      <w:r>
        <w:t xml:space="preserve"> </w:t>
      </w:r>
      <w:r>
        <w:t xml:space="preserve">(</w:t>
      </w:r>
      <m:oMath>
        <m:acc>
          <m:accPr>
            <m:chr m:val="‾"/>
          </m:accPr>
          <m:e>
            <m:r>
              <m:t>β</m:t>
            </m:r>
          </m:e>
        </m:acc>
        <m:r>
          <m:rPr>
            <m:sty m:val="p"/>
          </m:rPr>
          <m:t>∼</m:t>
        </m:r>
        <m:r>
          <m:rPr>
            <m:sty m:val="p"/>
            <m:scr m:val="script"/>
          </m:rPr>
          <m:t>N</m:t>
        </m:r>
        <m:d>
          <m:dPr>
            <m:begChr m:val="("/>
            <m:endChr m:val=")"/>
            <m:sepChr m:val=""/>
            <m:grow/>
          </m:dPr>
          <m:e>
            <m:r>
              <m:t>0</m:t>
            </m:r>
            <m:r>
              <m:rPr>
                <m:sty m:val="p"/>
              </m:rPr>
              <m:t>,</m:t>
            </m:r>
            <m:r>
              <m:t>1</m:t>
            </m:r>
            <m:r>
              <m:rPr>
                <m:sty m:val="p"/>
              </m:rPr>
              <m:t>/</m:t>
            </m:r>
            <m:r>
              <m:t>3</m:t>
            </m:r>
          </m:e>
        </m:d>
      </m:oMath>
      <w:r>
        <w:t xml:space="preserve">), and</w:t>
      </w:r>
      <w:r>
        <w:t xml:space="preserve"> </w:t>
      </w:r>
      <m:oMath>
        <m:sSub>
          <m:e>
            <m:r>
              <m:t>b</m:t>
            </m:r>
          </m:e>
          <m:sub>
            <m:r>
              <m:t>i</m:t>
            </m:r>
          </m:sub>
        </m:sSub>
      </m:oMath>
      <w:r>
        <w:t xml:space="preserve"> </w:t>
      </w:r>
      <w:r>
        <w:t xml:space="preserve">is an individual-specific random effect (</w:t>
      </w:r>
      <m:oMath>
        <m:r>
          <m:t>b</m:t>
        </m:r>
        <m:r>
          <m:rPr>
            <m:sty m:val="p"/>
          </m:rPr>
          <m:t>∼</m:t>
        </m:r>
        <m:r>
          <m:rPr>
            <m:sty m:val="p"/>
            <m:scr m:val="script"/>
          </m:rPr>
          <m:t>N</m:t>
        </m:r>
        <m:d>
          <m:dPr>
            <m:begChr m:val="("/>
            <m:endChr m:val=")"/>
            <m:sepChr m:val=""/>
            <m:grow/>
          </m:dPr>
          <m:e>
            <m:r>
              <m:t>0</m:t>
            </m:r>
            <m:r>
              <m:rPr>
                <m:sty m:val="p"/>
              </m:rPr>
              <m:t>,</m:t>
            </m:r>
            <m:sSub>
              <m:e>
                <m:r>
                  <m:t>τ</m:t>
                </m:r>
              </m:e>
              <m:sub>
                <m:r>
                  <m:t>b</m:t>
                </m:r>
              </m:sub>
            </m:sSub>
          </m:e>
        </m:d>
      </m:oMath>
      <w:r>
        <w:t xml:space="preserve">) with precision</w:t>
      </w:r>
      <w:r>
        <w:t xml:space="preserve"> </w:t>
      </w:r>
      <m:oMath>
        <m:sSub>
          <m:e>
            <m:r>
              <m:t>τ</m:t>
            </m:r>
          </m:e>
          <m:sub>
            <m:r>
              <m:t>b</m:t>
            </m:r>
          </m:sub>
        </m:sSub>
        <m:r>
          <m:rPr>
            <m:sty m:val="p"/>
          </m:rPr>
          <m:t>=</m:t>
        </m:r>
        <m:r>
          <m:t>1</m:t>
        </m:r>
        <m:r>
          <m:rPr>
            <m:sty m:val="p"/>
          </m:rPr>
          <m:t>/</m:t>
        </m:r>
        <m:sSubSup>
          <m:e>
            <m:r>
              <m:t>σ</m:t>
            </m:r>
          </m:e>
          <m:sub>
            <m:r>
              <m:t>b</m:t>
            </m:r>
          </m:sub>
          <m:sup>
            <m:r>
              <m:t>2</m:t>
            </m:r>
          </m:sup>
        </m:sSubSup>
      </m:oMath>
      <w:r>
        <w:t xml:space="preserve">, (</w:t>
      </w:r>
      <m:oMath>
        <m:sSub>
          <m:e>
            <m:r>
              <m:t>σ</m:t>
            </m:r>
          </m:e>
          <m:sub>
            <m:r>
              <m:t>b</m:t>
            </m:r>
          </m:sub>
        </m:sSub>
        <m:r>
          <m:rPr>
            <m:sty m:val="p"/>
          </m:rPr>
          <m:t>∼</m:t>
        </m:r>
        <m:r>
          <m:t>U</m:t>
        </m:r>
        <m:r>
          <m:t>n</m:t>
        </m:r>
        <m:r>
          <m:t>i</m:t>
        </m:r>
        <m:r>
          <m:t>f</m:t>
        </m:r>
        <m:r>
          <m:t>o</m:t>
        </m:r>
        <m:r>
          <m:t>r</m:t>
        </m:r>
        <m:r>
          <m:t>m</m:t>
        </m:r>
        <m:d>
          <m:dPr>
            <m:begChr m:val="("/>
            <m:endChr m:val=")"/>
            <m:sepChr m:val=""/>
            <m:grow/>
          </m:dPr>
          <m:e>
            <m:r>
              <m:t>0</m:t>
            </m:r>
            <m:r>
              <m:rPr>
                <m:sty m:val="p"/>
              </m:rPr>
              <m:t>,</m:t>
            </m:r>
            <m:r>
              <m:t>200</m:t>
            </m:r>
          </m:e>
        </m:d>
      </m:oMath>
      <w:r>
        <w:t xml:space="preserve">).</w:t>
      </w:r>
      <w:r>
        <w:t xml:space="preserve"> </w:t>
      </w:r>
      <w:r>
        <w:t xml:space="preserve">The model likelihood is as follows:</w:t>
      </w:r>
    </w:p>
    <w:p>
      <w:pPr>
        <w:pStyle w:val="BodyText"/>
      </w:pPr>
      <m:oMathPara>
        <m:oMathParaPr>
          <m:jc m:val="center"/>
        </m:oMathParaPr>
        <m:oMath>
          <m:sSub>
            <m:e>
              <m:r>
                <m:t>Y</m:t>
              </m:r>
            </m:e>
            <m:sub>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rPr>
                        <m:sty m:val="p"/>
                        <m:scr m:val="script"/>
                      </m:rPr>
                      <m:t>N</m:t>
                    </m:r>
                    <m:d>
                      <m:dPr>
                        <m:begChr m:val="("/>
                        <m:endChr m:val=")"/>
                        <m:sepChr m:val=""/>
                        <m:grow/>
                      </m:dPr>
                      <m:e>
                        <m:sSub>
                          <m:e>
                            <m:r>
                              <m:t>μ</m:t>
                            </m:r>
                          </m:e>
                          <m:sub>
                            <m:r>
                              <m:t>i</m:t>
                            </m:r>
                          </m:sub>
                        </m:sSub>
                        <m:r>
                          <m:rPr>
                            <m:sty m:val="p"/>
                          </m:rPr>
                          <m:t>,</m:t>
                        </m:r>
                        <m:sSub>
                          <m:e>
                            <m:r>
                              <m:t>τ</m:t>
                            </m:r>
                          </m:e>
                          <m:sub>
                            <m:r>
                              <m:t>1</m:t>
                            </m:r>
                          </m:sub>
                        </m:sSub>
                      </m:e>
                    </m:d>
                  </m:e>
                  <m:e>
                    <m:r>
                      <m:rPr>
                        <m:nor/>
                        <m:sty m:val="p"/>
                      </m:rPr>
                      <m:t> if </m:t>
                    </m:r>
                    <m:sSub>
                      <m:e>
                        <m:r>
                          <m:t>z</m:t>
                        </m:r>
                      </m:e>
                      <m:sub>
                        <m:r>
                          <m:t>i</m:t>
                        </m:r>
                      </m:sub>
                    </m:sSub>
                    <m:r>
                      <m:rPr>
                        <m:sty m:val="p"/>
                      </m:rPr>
                      <m:t>=</m:t>
                    </m:r>
                    <m:r>
                      <m:t>1</m:t>
                    </m:r>
                  </m:e>
                </m:mr>
                <m:mr>
                  <m:e>
                    <m:r>
                      <m:rPr>
                        <m:sty m:val="p"/>
                        <m:scr m:val="script"/>
                      </m:rPr>
                      <m:t>N</m:t>
                    </m:r>
                    <m:d>
                      <m:dPr>
                        <m:begChr m:val="("/>
                        <m:endChr m:val=")"/>
                        <m:sepChr m:val=""/>
                        <m:grow/>
                      </m:dPr>
                      <m:e>
                        <m:sSub>
                          <m:e>
                            <m:r>
                              <m:t>μ</m:t>
                            </m:r>
                          </m:e>
                          <m:sub>
                            <m:r>
                              <m:t>i</m:t>
                            </m:r>
                          </m:sub>
                        </m:sSub>
                        <m:r>
                          <m:rPr>
                            <m:sty m:val="p"/>
                          </m:rPr>
                          <m:t>,</m:t>
                        </m:r>
                        <m:sSub>
                          <m:e>
                            <m:r>
                              <m:t>τ</m:t>
                            </m:r>
                          </m:e>
                          <m:sub>
                            <m:r>
                              <m:t>2</m:t>
                            </m:r>
                          </m:sub>
                        </m:sSub>
                      </m:e>
                    </m:d>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
            <m:e>
              <m:r>
                <m:t>μ</m:t>
              </m:r>
            </m:e>
            <m:sub>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where</w:t>
      </w:r>
      <w:r>
        <w:t xml:space="preserve"> </w:t>
      </w:r>
      <m:oMath>
        <m:sSub>
          <m:e>
            <m:r>
              <m:t>Y</m:t>
            </m:r>
          </m:e>
          <m:sub>
            <m:r>
              <m:t>j</m:t>
            </m:r>
          </m:sub>
        </m:sSub>
      </m:oMath>
      <w:r>
        <w:t xml:space="preserve"> </w:t>
      </w:r>
      <w:r>
        <w:t xml:space="preserve">is the extent of migration for individual</w:t>
      </w:r>
      <w:r>
        <w:t xml:space="preserve"> </w:t>
      </w:r>
      <m:oMath>
        <m:r>
          <m:t>i</m:t>
        </m:r>
      </m:oMath>
      <w:r>
        <w:t xml:space="preserve"> </w:t>
      </w:r>
      <w:r>
        <w:t xml:space="preserve">in year</w:t>
      </w:r>
      <w:r>
        <w:t xml:space="preserve"> </w:t>
      </w:r>
      <m:oMath>
        <m:r>
          <m:t>j</m:t>
        </m:r>
      </m:oMath>
      <w:r>
        <w:t xml:space="preserve">,</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are separate precision parameters for each latent state,</w:t>
      </w:r>
      <w:r>
        <w:t xml:space="preserve"> </w:t>
      </w:r>
      <m:oMath>
        <m:sSub>
          <m:e>
            <m:r>
              <m:t>τ</m:t>
            </m:r>
          </m:e>
          <m:sub>
            <m:r>
              <m:t>1</m:t>
            </m:r>
          </m:sub>
        </m:sSub>
        <m:r>
          <m:rPr>
            <m:sty m:val="p"/>
          </m:rPr>
          <m:t>=</m:t>
        </m:r>
        <m:f>
          <m:fPr>
            <m:type m:val="bar"/>
          </m:fPr>
          <m:num>
            <m:r>
              <m:t>1</m:t>
            </m:r>
          </m:num>
          <m:den>
            <m:sSubSup>
              <m:e>
                <m:r>
                  <m:t>σ</m:t>
                </m:r>
              </m:e>
              <m:sub>
                <m:r>
                  <m:t>1</m:t>
                </m:r>
              </m:sub>
              <m:sup>
                <m:r>
                  <m:t>2</m:t>
                </m:r>
              </m:sup>
            </m:sSubSup>
          </m:den>
        </m:f>
      </m:oMath>
      <w:r>
        <w:t xml:space="preserve">,</w:t>
      </w:r>
      <w:r>
        <w:t xml:space="preserve"> </w:t>
      </w:r>
      <m:oMath>
        <m:sSub>
          <m:e>
            <m:r>
              <m:t>τ</m:t>
            </m:r>
          </m:e>
          <m:sub>
            <m:r>
              <m:t>2</m:t>
            </m:r>
          </m:sub>
        </m:sSub>
        <m:r>
          <m:rPr>
            <m:sty m:val="p"/>
          </m:rPr>
          <m:t>=</m:t>
        </m:r>
        <m:f>
          <m:fPr>
            <m:type m:val="bar"/>
          </m:fPr>
          <m:num>
            <m:r>
              <m:t>1</m:t>
            </m:r>
          </m:num>
          <m:den>
            <m:sSubSup>
              <m:e>
                <m:r>
                  <m:t>σ</m:t>
                </m:r>
              </m:e>
              <m:sub>
                <m:r>
                  <m:t>2</m:t>
                </m:r>
              </m:sub>
              <m:sup>
                <m:r>
                  <m:t>2</m:t>
                </m:r>
              </m:sup>
            </m:sSubSup>
          </m:den>
        </m:f>
      </m:oMath>
      <w:r>
        <w:t xml:space="preserve">,</w:t>
      </w:r>
      <w:r>
        <w:t xml:space="preserve"> </w:t>
      </w:r>
      <m:oMath>
        <m:r>
          <m:t>α</m:t>
        </m:r>
      </m:oMath>
      <w:r>
        <w:t xml:space="preserve"> </w:t>
      </w:r>
      <w:r>
        <w:t xml:space="preserve">and</w:t>
      </w:r>
      <w:r>
        <w:t xml:space="preserve"> </w:t>
      </w:r>
      <m:oMath>
        <m:r>
          <m:t>β</m:t>
        </m:r>
      </m:oMath>
      <w:r>
        <w:t xml:space="preserve"> </w:t>
      </w:r>
      <w:r>
        <w:t xml:space="preserve">are the intercept and slope for the linear model,</w:t>
      </w:r>
      <w:r>
        <w:t xml:space="preserve"> </w:t>
      </w:r>
      <m:oMath>
        <m:sSub>
          <m:e>
            <m:r>
              <m:t>x</m:t>
            </m:r>
          </m:e>
          <m:sub>
            <m:r>
              <m:t>i</m:t>
            </m:r>
            <m:r>
              <m:t>j</m:t>
            </m:r>
          </m:sub>
        </m:sSub>
      </m:oMath>
      <w:r>
        <w:t xml:space="preserve"> </w:t>
      </w:r>
      <w:r>
        <w:t xml:space="preserve">is the breeding latitude for individual</w:t>
      </w:r>
      <w:r>
        <w:t xml:space="preserve"> </w:t>
      </w:r>
      <m:oMath>
        <m:r>
          <m:t>i</m:t>
        </m:r>
      </m:oMath>
      <w:r>
        <w:t xml:space="preserve"> </w:t>
      </w:r>
      <w:r>
        <w:t xml:space="preserve">in year</w:t>
      </w:r>
      <w:r>
        <w:t xml:space="preserve"> </w:t>
      </w:r>
      <m:oMath>
        <m:r>
          <m:t>j</m:t>
        </m:r>
      </m:oMath>
      <w:r>
        <w:t xml:space="preserve">, and</w:t>
      </w:r>
      <w:r>
        <w:t xml:space="preserve"> </w:t>
      </w:r>
      <m:oMath>
        <m:r>
          <m:t>c</m:t>
        </m:r>
      </m:oMath>
      <w:r>
        <w:t xml:space="preserve">,</w:t>
      </w:r>
      <w:r>
        <w:t xml:space="preserve"> </w:t>
      </w:r>
      <m:oMath>
        <m:r>
          <m:t>γ</m:t>
        </m:r>
      </m:oMath>
      <w:r>
        <w:t xml:space="preserve">, and</w:t>
      </w:r>
      <w:r>
        <w:t xml:space="preserve"> </w:t>
      </w:r>
      <m:oMath>
        <m:r>
          <m:t>δ</m:t>
        </m:r>
      </m:oMath>
      <w:r>
        <w:t xml:space="preserve"> </w:t>
      </w:r>
      <w:r>
        <w:t xml:space="preserve">are the parameters in the non-linear model when</w:t>
      </w:r>
      <w:r>
        <w:t xml:space="preserve"> </w:t>
      </w:r>
      <m:oMath>
        <m:r>
          <m:t>z</m:t>
        </m:r>
        <m:r>
          <m:rPr>
            <m:sty m:val="p"/>
          </m:rPr>
          <m:t>=</m:t>
        </m:r>
        <m:r>
          <m:t>0</m:t>
        </m:r>
      </m:oMath>
      <w:r>
        <w:t xml:space="preserve">.</w:t>
      </w:r>
      <w:r>
        <w:t xml:space="preserve"> </w:t>
      </w: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implemented the model in JAGS via the R2jags package using 3 MCMC chains with 20,000 iterations, a burn-in of 10,000, and a thinning rate of 10</w:t>
      </w:r>
      <w:r>
        <w:t xml:space="preserve"> </w:t>
      </w:r>
      <w:r>
        <w:t xml:space="preserve">[</w:t>
      </w:r>
      <w:hyperlink w:anchor="ref-plummer2003">
        <w:r>
          <w:rPr>
            <w:rStyle w:val="Hyperlink"/>
          </w:rPr>
          <w:t xml:space="preserve">46</w:t>
        </w:r>
      </w:hyperlink>
      <w:r>
        <w:t xml:space="preserve">,</w:t>
      </w:r>
      <w:hyperlink w:anchor="ref-su2021b">
        <w:r>
          <w:rPr>
            <w:rStyle w:val="Hyperlink"/>
          </w:rPr>
          <w:t xml:space="preserve">53</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50</w:t>
        </w:r>
      </w:hyperlink>
      <w:r>
        <w:t xml:space="preserve">]</w:t>
      </w:r>
      <w:r>
        <w:t xml:space="preserve">.</w:t>
      </w:r>
    </w:p>
    <w:bookmarkEnd w:id="53"/>
    <w:bookmarkStart w:id="54" w:name="variability-in-annual-movements"/>
    <w:p>
      <w:pPr>
        <w:pStyle w:val="Heading3"/>
      </w:pPr>
      <w:r>
        <w:rPr>
          <w:rStyle w:val="SectionNumber"/>
        </w:rPr>
        <w:t xml:space="preserve">0.3.5</w:t>
      </w:r>
      <w:r>
        <w:tab/>
      </w:r>
      <w:r>
        <w:t xml:space="preserve">Variability in Annual Movements</w:t>
      </w:r>
    </w:p>
    <w:p>
      <w:pPr>
        <w:pStyle w:val="FirstParagraph"/>
      </w:pPr>
      <w:r>
        <w:t xml:space="preserve">We estimated the consistency of migration trends by calculating among- and within-individual variation and repeatability of fall departure dates, spring arrival dates, and migration duration.</w:t>
      </w:r>
      <w:r>
        <w:t xml:space="preserve"> </w:t>
      </w:r>
      <w:r>
        <w:t xml:space="preserve">Repeatability (R), also referred to as the intra-class correlation coefficient, quantifies the degree of consistency in each individual’s response by comparing the proportion of the total variance accounted for by difference among groups</w:t>
      </w:r>
      <w:r>
        <w:t xml:space="preserve"> </w:t>
      </w:r>
      <w:r>
        <w:t xml:space="preserve">[</w:t>
      </w:r>
      <w:hyperlink w:anchor="ref-nakagawa2010">
        <w:r>
          <w:rPr>
            <w:rStyle w:val="Hyperlink"/>
          </w:rPr>
          <w:t xml:space="preserve">54</w:t>
        </w:r>
      </w:hyperlink>
      <w:r>
        <w:t xml:space="preserve">]</w:t>
      </w:r>
      <w:r>
        <w:t xml:space="preserve">.</w:t>
      </w:r>
      <w:r>
        <w:t xml:space="preserve"> </w:t>
      </w:r>
      <w:r>
        <w:t xml:space="preserve">When possible, we fit a linear mixed model (LMM) with restricted maximum likelihood, which is robust to unbalanced designs and accounts for repeated measures, and added in covariates for breeding status and sex to control for confounding effects that otherwise inflate the total phenotypic variance</w:t>
      </w:r>
      <w:r>
        <w:t xml:space="preserve"> </w:t>
      </w:r>
      <w:r>
        <w:t xml:space="preserve">[</w:t>
      </w:r>
      <w:hyperlink w:anchor="ref-matuschek2017">
        <w:r>
          <w:rPr>
            <w:rStyle w:val="Hyperlink"/>
          </w:rPr>
          <w:t xml:space="preserve">55</w:t>
        </w:r>
      </w:hyperlink>
      <w:r>
        <w:t xml:space="preserve">,</w:t>
      </w:r>
      <w:hyperlink w:anchor="ref-bates2018">
        <w:r>
          <w:rPr>
            <w:rStyle w:val="Hyperlink"/>
          </w:rPr>
          <w:t xml:space="preserve">56</w:t>
        </w:r>
      </w:hyperlink>
      <w:r>
        <w:t xml:space="preserve">]</w:t>
      </w:r>
      <w:r>
        <w:t xml:space="preserve">.</w:t>
      </w:r>
    </w:p>
    <w:p>
      <w:pPr>
        <w:pStyle w:val="BodyText"/>
      </w:pPr>
      <w:r>
        <w:t xml:space="preserve">For each of three migration phenology response terms, we fit separate models in which</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during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α</m:t>
            </m:r>
          </m:e>
          <m:sub>
            <m:r>
              <m:t>i</m:t>
            </m:r>
          </m:sub>
        </m:sSub>
      </m:oMath>
      <w:r>
        <w:t xml:space="preserve"> </w:t>
      </w:r>
      <w:r>
        <w:t xml:space="preserve">is a random effect for individuals, and</w:t>
      </w:r>
      <w:r>
        <w:t xml:space="preserve"> </w:t>
      </w:r>
      <m:oMath>
        <m:sSub>
          <m:e>
            <m:r>
              <m:t>ϵ</m:t>
            </m:r>
          </m:e>
          <m:sub>
            <m:r>
              <m:t>i</m:t>
            </m:r>
            <m:r>
              <m:t>j</m:t>
            </m:r>
          </m:sub>
        </m:sSub>
      </m:oMath>
      <w:r>
        <w:t xml:space="preserve"> </w:t>
      </w:r>
      <w:r>
        <w:t xml:space="preserve">is a random within-individual error term.</w:t>
      </w:r>
      <w:r>
        <w:t xml:space="preserve"> </w:t>
      </w:r>
      <w:r>
        <w:t xml:space="preserve">When there was sufficient variability in the variance-covariance structure of random effects to avoid model singularity, we also included</w:t>
      </w:r>
      <w:r>
        <w:t xml:space="preserve"> </w:t>
      </w:r>
      <m:oMath>
        <m:sSub>
          <m:e>
            <m:r>
              <m:t>γ</m:t>
            </m:r>
          </m:e>
          <m:sub>
            <m:r>
              <m:t>i</m:t>
            </m:r>
            <m:r>
              <m:t>j</m:t>
            </m:r>
          </m:sub>
        </m:sSub>
      </m:oMath>
      <w:r>
        <w:t xml:space="preserve"> </w:t>
      </w:r>
      <w:r>
        <w:t xml:space="preserve">as a vector of covariates for individual</w:t>
      </w:r>
      <w:r>
        <w:t xml:space="preserve"> </w:t>
      </w:r>
      <m:oMath>
        <m:r>
          <m:t>i</m:t>
        </m:r>
      </m:oMath>
      <w:r>
        <w:t xml:space="preserve"> </w:t>
      </w:r>
      <w:r>
        <w:t xml:space="preserve">and year</w:t>
      </w:r>
      <w:r>
        <w:t xml:space="preserve"> </w:t>
      </w:r>
      <m:oMath>
        <m:r>
          <m:t>j</m:t>
        </m:r>
      </m:oMath>
      <w:r>
        <w:t xml:space="preserve"> </w:t>
      </w:r>
      <w:r>
        <w:t xml:space="preserve">that include breeding status and sex.</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γ</m:t>
              </m:r>
            </m:e>
            <m:sub>
              <m:r>
                <m:t>i</m:t>
              </m:r>
              <m:r>
                <m:t>j</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The variance of random effects,</w:t>
      </w:r>
      <w:r>
        <w:t xml:space="preserve"> </w:t>
      </w:r>
      <m:oMath>
        <m:sSubSup>
          <m:e>
            <m:r>
              <m:t>σ</m:t>
            </m:r>
          </m:e>
          <m:sub>
            <m:r>
              <m:t>α</m:t>
            </m:r>
          </m:sub>
          <m:sup>
            <m:r>
              <m:t>2</m:t>
            </m:r>
          </m:sup>
        </m:sSubSup>
      </m:oMath>
      <w:r>
        <w:t xml:space="preserve">, specified as individual swan ID, quantifies among-individual variation.</w:t>
      </w:r>
      <w:r>
        <w:t xml:space="preserve"> </w:t>
      </w:r>
      <w:r>
        <w:t xml:space="preserve">The variance remaining in model residuals,</w:t>
      </w:r>
      <w:r>
        <w:t xml:space="preserve"> </w:t>
      </w:r>
      <m:oMath>
        <m:sSubSup>
          <m:e>
            <m:r>
              <m:t>σ</m:t>
            </m:r>
          </m:e>
          <m:sub>
            <m:r>
              <m:t>ϵ</m:t>
            </m:r>
          </m:sub>
          <m:sup>
            <m:r>
              <m:t>2</m:t>
            </m:r>
          </m:sup>
        </m:sSubSup>
      </m:oMath>
      <w:r>
        <w:t xml:space="preserve">, represents within-individual variation.</w:t>
      </w:r>
      <w:r>
        <w:t xml:space="preserve"> </w:t>
      </w:r>
      <w:r>
        <w:t xml:space="preserve">Repeatability,</w:t>
      </w:r>
      <w:r>
        <w:t xml:space="preserve"> </w:t>
      </w:r>
      <m:oMath>
        <m:sSub>
          <m:e>
            <m:r>
              <m:t>R</m:t>
            </m:r>
          </m:e>
          <m:sub>
            <m:r>
              <m:t>M</m:t>
            </m:r>
          </m:sub>
        </m:sSub>
      </m:oMath>
      <w:r>
        <w:t xml:space="preserve">, is defined as the proportion of total phenotypic variance in the population,</w:t>
      </w:r>
      <w:r>
        <w:t xml:space="preserve"> </w:t>
      </w: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w:r>
        <w:t xml:space="preserve">We fit LMMs with restricted maximum likelihood estimation using the lme4 R package and conducted parametric bootstrapping with 1000 iterations to quantify the uncertainty in adjusted repeatability estimates using the rptR R package</w:t>
      </w:r>
      <w:r>
        <w:t xml:space="preserve"> </w:t>
      </w:r>
      <w:r>
        <w:t xml:space="preserve">[</w:t>
      </w:r>
      <w:hyperlink w:anchor="ref-bates2014">
        <w:r>
          <w:rPr>
            <w:rStyle w:val="Hyperlink"/>
          </w:rPr>
          <w:t xml:space="preserve">57</w:t>
        </w:r>
      </w:hyperlink>
      <w:r>
        <w:t xml:space="preserve">,</w:t>
      </w:r>
      <w:hyperlink w:anchor="ref-stoffel2017">
        <w:r>
          <w:rPr>
            <w:rStyle w:val="Hyperlink"/>
          </w:rPr>
          <w:t xml:space="preserve">58</w:t>
        </w:r>
      </w:hyperlink>
      <w:r>
        <w:t xml:space="preserve">]</w:t>
      </w:r>
      <w:r>
        <w:t xml:space="preserve">.</w:t>
      </w:r>
    </w:p>
    <w:p>
      <w:pPr>
        <w:pStyle w:val="BodyText"/>
      </w:pPr>
      <w:r>
        <w:t xml:space="preserve">If the</w:t>
      </w:r>
      <w:r>
        <w:t xml:space="preserve"> </w:t>
      </w:r>
      <m:oMath>
        <m:sSubSup>
          <m:e>
            <m:r>
              <m:t>σ</m:t>
            </m:r>
          </m:e>
          <m:sub>
            <m:r>
              <m:t>α</m:t>
            </m:r>
          </m:sub>
          <m:sup>
            <m:r>
              <m:t>2</m:t>
            </m:r>
          </m:sup>
        </m:sSubSup>
      </m:oMath>
      <w:r>
        <w:t xml:space="preserve"> </w:t>
      </w:r>
      <w:r>
        <w:t xml:space="preserve">term of a LMM was 0, implying the random effects structure is too complex to be supported by the data, we were unable to partition the among- and within-individual variation required to estimate repeatability.</w:t>
      </w:r>
      <w:r>
        <w:t xml:space="preserve"> </w:t>
      </w:r>
      <w:r>
        <w:t xml:space="preserve">In those cases, we removed the random intercept term for individual and fit a linear model with breeding status and sex as covariates to estimate the within-individual variation.</w:t>
      </w:r>
    </w:p>
    <w:p>
      <w:r>
        <w:pict>
          <v:rect style="width:0;height:1.5pt" o:hralign="center" o:hrstd="t" o:hr="t"/>
        </w:pict>
      </w:r>
    </w:p>
    <w:bookmarkEnd w:id="54"/>
    <w:bookmarkEnd w:id="55"/>
    <w:bookmarkStart w:id="71" w:name="results-1"/>
    <w:p>
      <w:pPr>
        <w:pStyle w:val="Heading2"/>
      </w:pPr>
      <w:r>
        <w:rPr>
          <w:rStyle w:val="SectionNumber"/>
        </w:rPr>
        <w:t xml:space="preserve">0.4</w:t>
      </w:r>
      <w:r>
        <w:tab/>
      </w:r>
      <w:r>
        <w:t xml:space="preserve">Results</w: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Of the 126 swans, 78 were female and 48 were male; 73 were breeding adults (cygnets present), 22 were adults with mates present but no cygnets at time of capture, 24 were non-breeding adults captured while in large groups, and 6 were cygnets at the time of capture.</w:t>
      </w:r>
    </w:p>
    <w:p>
      <w:pPr>
        <w:pStyle w:val="CaptionedFigure"/>
      </w:pPr>
      <w:r>
        <w:drawing>
          <wp:inline>
            <wp:extent cx="952500" cy="635000"/>
            <wp:effectExtent b="0" l="0" r="0" t="0"/>
            <wp:docPr descr="Figure 3: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12), Ohio (n=20), Wisconsin (n=9), and Arkansas (n=4)." title="" id="57" name="Picture"/>
            <a:graphic>
              <a:graphicData uri="http://schemas.openxmlformats.org/drawingml/2006/picture">
                <pic:pic>
                  <pic:nvPicPr>
                    <pic:cNvPr descr="../figures/figs_for_manuscript/deployments_reduced_labels.tiff" id="58" name="Picture"/>
                    <pic:cNvPicPr>
                      <a:picLocks noChangeArrowheads="1" noChangeAspect="1"/>
                    </pic:cNvPicPr>
                  </pic:nvPicPr>
                  <pic:blipFill>
                    <a:blip r:embed="rId56"/>
                    <a:stretch>
                      <a:fillRect/>
                    </a:stretch>
                  </pic:blipFill>
                  <pic:spPr bwMode="auto">
                    <a:xfrm>
                      <a:off x="0" y="0"/>
                      <a:ext cx="952500" cy="635000"/>
                    </a:xfrm>
                    <a:prstGeom prst="rect">
                      <a:avLst/>
                    </a:prstGeom>
                    <a:noFill/>
                    <a:ln w="9525">
                      <a:noFill/>
                      <a:headEnd/>
                      <a:tailEnd/>
                    </a:ln>
                  </pic:spPr>
                </pic:pic>
              </a:graphicData>
            </a:graphic>
          </wp:inline>
        </w:drawing>
      </w:r>
    </w:p>
    <w:p>
      <w:pPr>
        <w:pStyle w:val="ImageCaption"/>
      </w:pPr>
      <w:r>
        <w:t xml:space="preserve">Figure 3: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w:t>
      </w:r>
      <w:r>
        <w:t xml:space="preserve">=12), Ohio (n=20), Wisconsin (n=9), and Arkansas (n=4).</w:t>
      </w:r>
    </w:p>
    <w:p>
      <w:pPr>
        <w:pStyle w:val="BodyText"/>
      </w:pPr>
      <w:r>
        <w:t xml:space="preserve">Annual movements of IP trumpeter swans were highly variable. After filtering out datasets with incomplete coverage to estimate annual trends, IP swans underwent long-distance migration (&gt;100km) at a frequency of 59% (131 of 221 swan-years). For those long-distance migrants, there was a strong association between breeding latitude (mostly between 43 and 53 degrees latitude) and the extent of migration (Fig.</w:t>
      </w:r>
      <w:r>
        <w:t xml:space="preserve"> </w:t>
      </w:r>
      <w:r>
        <w:t xml:space="preserve">4</w:t>
      </w:r>
      <w:r>
        <w:t xml:space="preserve">).</w:t>
      </w:r>
      <w:r>
        <w:t xml:space="preserve"> </w:t>
      </w:r>
      <w:r>
        <w:t xml:space="preserve">Many swans with breeding sites between 40 and 48 degrees latitude, however, exhibited minimal movement during the non-breeding period and we considered these to be resident individuals, though most of these swans left their summer territory or increased their overall space use during the winter, likely to increase access to ice-free open water or food availability.</w:t>
      </w:r>
    </w:p>
    <w:p>
      <w:pPr>
        <w:pStyle w:val="CaptionedFigure"/>
      </w:pPr>
      <w:r>
        <w:drawing>
          <wp:inline>
            <wp:extent cx="3810000" cy="2540000"/>
            <wp:effectExtent b="0" l="0" r="0" t="0"/>
            <wp:docPr descr="Figure 4: Breeding/capture latitude versus extent of migration with color indicating the probability of assignment to one of 2 migration strategies as determined by a latent state model with 2 functional forms to model the relationship between latitude and migration extent. Grey areas depict the 95% credible intervals for each strategy." title="" id="60" name="Picture"/>
            <a:graphic>
              <a:graphicData uri="http://schemas.openxmlformats.org/drawingml/2006/picture">
                <pic:pic>
                  <pic:nvPicPr>
                    <pic:cNvPr descr="../output/updated_latent_state_aug2023/logistic_pubclean.tiff"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Breeding/capture latitude versus extent of migration with color indicating the probability of assignment to one of 2 migration strategies as determined by a latent state model with 2 functional forms to model the relationship between latitude and migration extent. Grey areas depict the 95% credible intervals for each strategy.</w:t>
      </w:r>
    </w:p>
    <w:p>
      <w:pPr>
        <w:pStyle w:val="BodyText"/>
      </w:pPr>
      <w:r>
        <w:t xml:space="preserve">Average departure date among years from breeding territories in the fall by long-distance migrants (&gt;100 km) was 1 November with a standard deviation of 20 days, and yearly averages ranged from 25 October to 7 November (</w:t>
      </w:r>
      <w:r>
        <w:rPr>
          <w:bCs/>
          <w:b/>
        </w:rPr>
        <w:t xml:space="preserve">add link for supplemental tables for all fall dept combined and split by years</w:t>
      </w:r>
      <w:r>
        <w:t xml:space="preserve">). There was little evidence of a relationship between breeding latitude and date of fall departure (Fig.</w:t>
      </w:r>
      <w:r>
        <w:t xml:space="preserve"> </w:t>
      </w:r>
      <w:r>
        <w:t xml:space="preserve">5</w:t>
      </w:r>
      <w:r>
        <w:t xml:space="preserve">), but breeders left later, on average, than non-breeders or paired swans, and non-breeders had higher variability in timing than all other breeding categories (s.d.=30 days for non-breeders and s.d.=10 days for other categories; Fig.</w:t>
      </w:r>
      <w:r>
        <w:t xml:space="preserve"> </w:t>
      </w:r>
      <w:r>
        <w:t xml:space="preserve">6</w:t>
      </w:r>
      <w:r>
        <w:t xml:space="preserve">,</w:t>
      </w:r>
      <w:r>
        <w:t xml:space="preserve"> </w:t>
      </w:r>
      <w:r>
        <w:rPr>
          <w:bCs/>
          <w:b/>
        </w:rPr>
        <w:t xml:space="preserve">add link for supplemental fall dep vs breeding table</w:t>
      </w:r>
      <w:r>
        <w:t xml:space="preserve">).</w:t>
      </w:r>
    </w:p>
    <w:p>
      <w:pPr>
        <w:pStyle w:val="CaptionedFigure"/>
      </w:pPr>
      <w:r>
        <w:drawing>
          <wp:inline>
            <wp:extent cx="3810000" cy="2540000"/>
            <wp:effectExtent b="0" l="0" r="0" t="0"/>
            <wp:docPr descr="Figure 5: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 title="" id="63" name="Picture"/>
            <a:graphic>
              <a:graphicData uri="http://schemas.openxmlformats.org/drawingml/2006/picture">
                <pic:pic>
                  <pic:nvPicPr>
                    <pic:cNvPr descr="../figures/figs_for_manuscript/timings_latitude.tif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w:t>
      </w:r>
    </w:p>
    <w:p>
      <w:pPr>
        <w:pStyle w:val="CaptionedFigure"/>
      </w:pPr>
      <w:r>
        <w:drawing>
          <wp:inline>
            <wp:extent cx="3810000" cy="2540000"/>
            <wp:effectExtent b="0" l="0" r="0" t="0"/>
            <wp:docPr descr="Figure 6: Insert caption for timing vs breeding status figure here…" title="" id="66" name="Picture"/>
            <a:graphic>
              <a:graphicData uri="http://schemas.openxmlformats.org/drawingml/2006/picture">
                <pic:pic>
                  <pic:nvPicPr>
                    <pic:cNvPr descr="../figures/figs_for_manuscript/breeding_timing.tiff" id="67"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Insert caption for timing vs breeding status figure here…</w:t>
      </w:r>
    </w:p>
    <w:p>
      <w:pPr>
        <w:pStyle w:val="BodyText"/>
      </w:pPr>
      <w:r>
        <w:t xml:space="preserve">Dates of spring arrival for swans that traveled &gt;100 km during the nonbreeding period and returned to within 10 km of their previous summer territory were more consistent than fall departure dates, with the overall average spring arrival date of 5 March and yearly averages ranging from 2 March to 7 March (Fig.</w:t>
      </w:r>
      <w:r>
        <w:t xml:space="preserve"> </w:t>
      </w:r>
      <w:r>
        <w:t xml:space="preserve">5</w:t>
      </w:r>
      <w:r>
        <w:t xml:space="preserve">, Fig.</w:t>
      </w:r>
      <w:r>
        <w:t xml:space="preserve"> </w:t>
      </w:r>
      <w:r>
        <w:t xml:space="preserve">6</w:t>
      </w:r>
      <w:r>
        <w:t xml:space="preserve">).</w:t>
      </w:r>
    </w:p>
    <w:p>
      <w:pPr>
        <w:pStyle w:val="BodyText"/>
      </w:pPr>
      <w:r>
        <w:t xml:space="preserve">Swans showed significant repeatability between years in spring arrival timing (considering 95% CI overlap with 0 as statistical significance), but did not show significant repeatability in migration duration (Table</w:t>
      </w:r>
      <w:r>
        <w:t xml:space="preserve"> </w:t>
      </w:r>
      <w:r>
        <w:t xml:space="preserve">1</w:t>
      </w:r>
      <w:r>
        <w:t xml:space="preserve">). Because parameters were near the boundary of the feasible parameter space, we were unable to estimate variability using a LMM framework for fall departure timing.</w:t>
      </w:r>
      <w:r>
        <w:t xml:space="preserve"> </w:t>
      </w:r>
      <w:r>
        <w:t xml:space="preserve">Instead, we fit a linear model with fall departure as the response variable and breeding status and sex as the independent variables and estimated within-individual variance to be 297.91.</w:t>
      </w:r>
      <w:r>
        <w:t xml:space="preserve"> </w:t>
      </w:r>
      <w:r>
        <w:t xml:space="preserve">For spring arrival timing, we fit a LMM including fixed effects of sex and breeding status and swan ID as a random effect.</w:t>
      </w:r>
      <w:r>
        <w:t xml:space="preserve"> </w:t>
      </w:r>
      <w:r>
        <w:t xml:space="preserve">Repeatability of spring arrival timing was 0.67 (SE=0.115, CI=[0.404,0.853]) and among-individual variation (var=137) was greater than within-individual variation (var=67).</w:t>
      </w:r>
      <w:r>
        <w:t xml:space="preserve"> </w:t>
      </w:r>
      <w:r>
        <w:t xml:space="preserve">For migration duration, we fit an intercept-only LMM with swan ID as a random effect.</w:t>
      </w:r>
      <w:r>
        <w:t xml:space="preserve"> </w:t>
      </w:r>
      <w:r>
        <w:t xml:space="preserve">Repeatability of migration duration was 0.086 (SE=0.21, CI=[0,0.664]) and among-individual variation (var=38) was much lower than within-individual variation (var=408).</w:t>
      </w:r>
    </w:p>
    <w:p>
      <w:pPr>
        <w:pStyle w:val="CaptionedFigure"/>
      </w:pPr>
      <w:r>
        <w:drawing>
          <wp:inline>
            <wp:extent cx="3810000" cy="2540000"/>
            <wp:effectExtent b="0" l="0" r="0" t="0"/>
            <wp:docPr descr="Figure 7: Insert caption for duration vs breeding status figure here…" title="" id="69" name="Picture"/>
            <a:graphic>
              <a:graphicData uri="http://schemas.openxmlformats.org/drawingml/2006/picture">
                <pic:pic>
                  <pic:nvPicPr>
                    <pic:cNvPr descr="../figures/figs_for_manuscript/durations.tif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Insert caption for duration vs breeding status figure here…</w:t>
      </w:r>
    </w:p>
    <w:p>
      <w:pPr>
        <w:pStyle w:val="TableCaption"/>
      </w:pPr>
      <w:r>
        <w:t xml:space="preserve">Table 1:</w:t>
      </w:r>
      <w:r>
        <w:t xml:space="preserve"> </w:t>
      </w:r>
      <w:r>
        <w:t xml:space="preserve">Variability estimates for derived migration metrics. Number of migratory tracks represent the number of 'swan-year' telemetry datasets that satisfied the rulesets for each metric. Repeatability is the proportion of the total variance accounted for by differences among groups; estimated as a point value between 0 and 1, and also with a 95% confidence interval (CI) range.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Migration Metric</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Number of Migratory Tracks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Within-Individual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Among-Individual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Repeatability</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Repeatability 95% CI</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Fall Departure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297.91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Spring Arrival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137.71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0.404–0.853</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Migration Duration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408.83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38.33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0–0.664</w:t>
            </w:r>
          </w:p>
        </w:tc>
      </w:tr>
    </w:tbl>
    <w:p>
      <w:r>
        <w:pict>
          <v:rect style="width:0;height:1.5pt" o:hralign="center" o:hrstd="t" o:hr="t"/>
        </w:pict>
      </w:r>
    </w:p>
    <w:bookmarkEnd w:id="71"/>
    <w:bookmarkStart w:id="72" w:name="discussion"/>
    <w:p>
      <w:pPr>
        <w:pStyle w:val="Heading2"/>
      </w:pPr>
      <w:r>
        <w:rPr>
          <w:rStyle w:val="SectionNumber"/>
        </w:rPr>
        <w:t xml:space="preserve">0.5</w:t>
      </w:r>
      <w:r>
        <w:tab/>
      </w:r>
      <w:r>
        <w:t xml:space="preserve">Discussion</w:t>
      </w:r>
    </w:p>
    <w:p>
      <w:pPr>
        <w:pStyle w:val="FirstParagraph"/>
      </w:pPr>
      <w:r>
        <w:t xml:space="preserve">We found that annual movements of IP swans were highly variable in their extent and timing, with a continuum of partial migration strategies each year including residency (&lt;5 km), local movement (5–25 km), regional migration (25–100 km), and long-distance migration (&gt;100 km).</w:t>
      </w:r>
      <w:r>
        <w:t xml:space="preserve"> </w:t>
      </w:r>
      <w:r>
        <w:t xml:space="preserve">Much of this variability was related to factors tied to natural history demands and response to environmental conditions such as breeding status and breeding location.</w:t>
      </w:r>
    </w:p>
    <w:p>
      <w:pPr>
        <w:pStyle w:val="BodyText"/>
      </w:pPr>
      <w:r>
        <w:t xml:space="preserve">Breeding latitude was associated with the likelihood of migrating and the extent of movement during the non-breeding season (Fig.</w:t>
      </w:r>
      <w:r>
        <w:t xml:space="preserve"> </w:t>
      </w:r>
      <w:r>
        <w:t xml:space="preserve">4</w:t>
      </w:r>
      <w:r>
        <w:t xml:space="preserve">).Individuals that breed in the northern part of the IP range all made relatively long-distance autumn migrations.Autumn migration distances of swans breeding at mid-latitudes were variable, with some swans moving considerable distances and some swans remaining near their breeding locations during the non-breeding season. Swans breeding at lower latitudes all remained relatively near their breeding locations.</w:t>
      </w:r>
    </w:p>
    <w:p>
      <w:pPr>
        <w:pStyle w:val="BodyText"/>
      </w:pPr>
      <w:r>
        <w:t xml:space="preserve">Interior Population trumpeter swans appear to employ multiple migration strategies, which are in turn related to breeding latitude; some swans appear to migration a distance that is linearly related to their breeding latitude, whereas others stay near the breeding area during the winter except at higher latitudes, in which they migrate but to a much lesser extent than the first strategy (Fig.</w:t>
      </w:r>
      <w:r>
        <w:t xml:space="preserve"> </w:t>
      </w:r>
      <w:r>
        <w:t xml:space="preserve">4</w:t>
      </w:r>
      <w:r>
        <w:t xml:space="preserve">).</w:t>
      </w:r>
      <w:r>
        <w:t xml:space="preserve"> </w:t>
      </w:r>
      <w:r>
        <w:t xml:space="preserve">It is unclear why these two groups seem to have distinct movement patterns.</w:t>
      </w:r>
      <w:r>
        <w:t xml:space="preserve"> </w:t>
      </w:r>
      <w:r>
        <w:t xml:space="preserve">The effects of local environmental conditions are likely similar for swans at similar latitudes, so differences in migration strategies may be due to other factors such as social dynamics, genetic lineage, internal physiology, or site-specific knowledge and access to open water throughout the winter.</w:t>
      </w:r>
    </w:p>
    <w:p>
      <w:pPr>
        <w:pStyle w:val="BodyText"/>
      </w:pPr>
      <w:r>
        <w:t xml:space="preserve">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59</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60</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habits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 although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61</w:t>
        </w:r>
      </w:hyperlink>
      <w:r>
        <w:t xml:space="preserve">]</w:t>
      </w:r>
      <w:r>
        <w:t xml:space="preserve">.</w:t>
      </w:r>
    </w:p>
    <w:p>
      <w:pPr>
        <w:pStyle w:val="BodyText"/>
      </w:pPr>
      <w:r>
        <w:t xml:space="preserve">IP swans are unique because their reintroduction to the greater Midwest occurred relatively recently (&lt;50 years) from a mix of source populations with varying migratory habits</w:t>
      </w:r>
      <w:r>
        <w:t xml:space="preserve"> </w:t>
      </w:r>
      <w:r>
        <w:t xml:space="preserve">[</w:t>
      </w:r>
      <w:hyperlink w:anchor="ref-ransler2011">
        <w:r>
          <w:rPr>
            <w:rStyle w:val="Hyperlink"/>
          </w:rPr>
          <w:t xml:space="preserve">62</w:t>
        </w:r>
      </w:hyperlink>
      <w:r>
        <w:t xml:space="preserve">]</w:t>
      </w:r>
      <w:r>
        <w:t xml:space="preserve">.</w:t>
      </w:r>
      <w:r>
        <w:t xml:space="preserve"> </w:t>
      </w:r>
      <w:r>
        <w:t xml:space="preserve">Thus, there may exist heterogeneity within the population in terms of internal physiological state and genetic makeup.</w:t>
      </w:r>
      <w:r>
        <w:t xml:space="preserve"> </w:t>
      </w:r>
      <w:r>
        <w:t xml:space="preserve">Continued monitoring is needed to determine whether IP partial migration habits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w:t>
      </w:r>
      <w:r>
        <w:t xml:space="preserve"> </w:t>
      </w:r>
      <w:r>
        <w:t xml:space="preserve">[</w:t>
      </w:r>
      <w:hyperlink w:anchor="ref-pulido2011">
        <w:r>
          <w:rPr>
            <w:rStyle w:val="Hyperlink"/>
          </w:rPr>
          <w:t xml:space="preserve">63</w:t>
        </w:r>
      </w:hyperlink>
      <w:r>
        <w:t xml:space="preserve">]</w:t>
      </w:r>
      <w:r>
        <w:t xml:space="preserve">.</w:t>
      </w:r>
      <w:r>
        <w:t xml:space="preserve"> </w:t>
      </w:r>
      <w:r>
        <w:t xml:space="preserve">Partial migration is common among migratory species for which a mix of life-history strategies maximizes the overall fitness of the population, though this can be highly influenced by density-dependent effects such as competition for limited resources</w:t>
      </w:r>
      <w:r>
        <w:t xml:space="preserve"> </w:t>
      </w:r>
      <w:r>
        <w:t xml:space="preserve">[</w:t>
      </w:r>
      <w:hyperlink w:anchor="ref-chapman2011">
        <w:r>
          <w:rPr>
            <w:rStyle w:val="Hyperlink"/>
          </w:rPr>
          <w:t xml:space="preserve">22</w:t>
        </w:r>
      </w:hyperlink>
      <w:r>
        <w:t xml:space="preserve">]</w:t>
      </w:r>
      <w:r>
        <w:t xml:space="preserve">.</w:t>
      </w:r>
    </w:p>
    <w:p>
      <w:pPr>
        <w:pStyle w:val="BodyText"/>
      </w:pPr>
      <w:r>
        <w:t xml:space="preserve">The observed patterns of migration phenology by IP trumpeter swans corresponds with those of many other long-lived avian migrants</w:t>
      </w:r>
      <w:r>
        <w:t xml:space="preserve"> </w:t>
      </w:r>
      <w:r>
        <w:t xml:space="preserve">[</w:t>
      </w:r>
      <w:hyperlink w:anchor="ref-conklin2010">
        <w:r>
          <w:rPr>
            <w:rStyle w:val="Hyperlink"/>
          </w:rPr>
          <w:t xml:space="preserve">64</w:t>
        </w:r>
      </w:hyperlink>
      <w:r>
        <w:t xml:space="preserve">,</w:t>
      </w:r>
      <w:hyperlink w:anchor="ref-vanwijk2012b">
        <w:r>
          <w:rPr>
            <w:rStyle w:val="Hyperlink"/>
          </w:rPr>
          <w:t xml:space="preserve">65</w:t>
        </w:r>
      </w:hyperlink>
      <w:r>
        <w:t xml:space="preserve">]</w:t>
      </w:r>
      <w:r>
        <w:t xml:space="preserve">.</w:t>
      </w:r>
      <w:r>
        <w:t xml:space="preserve"> </w:t>
      </w:r>
      <w:r>
        <w:t xml:space="preserve">Spring arrival dates were strongly associated with both breeding latitudes and breeding status (Fig.</w:t>
      </w:r>
      <w:r>
        <w:t xml:space="preserve"> </w:t>
      </w:r>
      <w:r>
        <w:t xml:space="preserve">5</w:t>
      </w:r>
      <w:r>
        <w:t xml:space="preserve"> </w:t>
      </w:r>
      <w:r>
        <w:t xml:space="preserve">and Fig.</w:t>
      </w:r>
      <w:r>
        <w:t xml:space="preserve"> </w:t>
      </w:r>
      <w:r>
        <w:t xml:space="preserve">6</w:t>
      </w:r>
      <w:r>
        <w:t xml:space="preserve">).</w:t>
      </w:r>
      <w:r>
        <w:t xml:space="preserve"> </w:t>
      </w:r>
      <w:r>
        <w:t xml:space="preserve">Trumpeter swans, being the largest species of waterfowl in North America, have high energetic demands to produce young while also meeting their own physiological requirements, and optimal timing of arrival on breeding grounds in the spring to defend territories with adequate resources is necessary</w:t>
      </w:r>
      <w:r>
        <w:t xml:space="preserve"> </w:t>
      </w:r>
      <w:r>
        <w:t xml:space="preserve">[</w:t>
      </w:r>
      <w:hyperlink w:anchor="ref-kokko1999">
        <w:r>
          <w:rPr>
            <w:rStyle w:val="Hyperlink"/>
          </w:rPr>
          <w:t xml:space="preserve">66</w:t>
        </w:r>
      </w:hyperlink>
      <w:r>
        <w:t xml:space="preserve">]</w:t>
      </w:r>
      <w:r>
        <w:t xml:space="preserve">.</w:t>
      </w:r>
      <w:r>
        <w:t xml:space="preserve"> </w:t>
      </w:r>
      <w:r>
        <w:t xml:space="preserve">Like most avian migrants, breeders spent less time undergoing migration than non-breeders, though breeding latitude had no relationship with migration duration (Fig.</w:t>
      </w:r>
      <w:r>
        <w:t xml:space="preserve"> </w:t>
      </w:r>
      <w:r>
        <w:t xml:space="preserve">7</w:t>
      </w:r>
      <w:r>
        <w:t xml:space="preserve">;</w:t>
      </w:r>
      <w:r>
        <w:t xml:space="preserve"> </w:t>
      </w:r>
      <w:r>
        <w:t xml:space="preserve">[</w:t>
      </w:r>
      <w:hyperlink w:anchor="ref-nilsson2013">
        <w:r>
          <w:rPr>
            <w:rStyle w:val="Hyperlink"/>
          </w:rPr>
          <w:t xml:space="preserve">67</w:t>
        </w:r>
      </w:hyperlink>
      <w:r>
        <w:t xml:space="preserve">]</w:t>
      </w:r>
      <w:r>
        <w:t xml:space="preserve">).</w:t>
      </w:r>
    </w:p>
    <w:p>
      <w:pPr>
        <w:pStyle w:val="BodyText"/>
      </w:pPr>
      <w:r>
        <w:t xml:space="preserve">Ultimately, this study provides only a snapshot in time of current IP trumpeter swan migration patterns and population-level trends may be still stabilizing overall and experiencing annual variation based on environmental conditions each year.</w:t>
      </w:r>
      <w:r>
        <w:t xml:space="preserve"> </w:t>
      </w:r>
      <w:r>
        <w:t xml:space="preserve">The history of IP reintroduction includes many years of anthropogenic influences, at the level of both wildlife manager and private citizen, that have likely caused considerable effects on migration patterns, and it is not well understood to what extent these influences may be passed down through future generations (cite sources).</w:t>
      </w:r>
      <w:r>
        <w:t xml:space="preserve"> </w:t>
      </w:r>
      <w:r>
        <w:t xml:space="preserve">Some of these include intentional feeding during the winter at sites of high IP swan density and lake aerators that keep portions of lake ice-free throughout the winter to prevent winter kill of fish</w:t>
      </w:r>
      <w:r>
        <w:t xml:space="preserve"> </w:t>
      </w:r>
      <w:r>
        <w:t xml:space="preserve">[</w:t>
      </w:r>
      <w:hyperlink w:anchor="ref-ellis1989">
        <w:r>
          <w:rPr>
            <w:rStyle w:val="Hyperlink"/>
          </w:rPr>
          <w:t xml:space="preserve">68</w:t>
        </w:r>
      </w:hyperlink>
      <w:r>
        <w:t xml:space="preserve">–</w:t>
      </w:r>
      <w:hyperlink w:anchor="ref-ballard2021a">
        <w:r>
          <w:rPr>
            <w:rStyle w:val="Hyperlink"/>
          </w:rPr>
          <w:t xml:space="preserve">70</w:t>
        </w:r>
      </w:hyperlink>
      <w:r>
        <w:t xml:space="preserve">]</w:t>
      </w:r>
      <w:r>
        <w:t xml:space="preserve">.</w:t>
      </w:r>
      <w:r>
        <w:t xml:space="preserve"> </w:t>
      </w:r>
      <w:r>
        <w:t xml:space="preserve">Although supplemental feeding has been discontinued by state agencies, the practice continues with some private citizens, and potential impacts include not only curtailment of migration but also increased risk of pathogen transmission</w:t>
      </w:r>
      <w:r>
        <w:t xml:space="preserve"> </w:t>
      </w:r>
      <w:r>
        <w:t xml:space="preserve">[</w:t>
      </w:r>
      <w:hyperlink w:anchor="ref-satterfield2018">
        <w:r>
          <w:rPr>
            <w:rStyle w:val="Hyperlink"/>
          </w:rPr>
          <w:t xml:space="preserve">71</w:t>
        </w:r>
      </w:hyperlink>
      <w:r>
        <w:t xml:space="preserve">]</w:t>
      </w:r>
      <w:r>
        <w:t xml:space="preserve">.</w:t>
      </w:r>
      <w:r>
        <w:t xml:space="preserve"> </w:t>
      </w:r>
      <w:r>
        <w:t xml:space="preserve">There is also increasing evidence that many local groups of swans have discovered field feeding as an additional strategy to acquire nutrients, though the timing when most field feeding occurs needs more study</w:t>
      </w:r>
      <w:r>
        <w:t xml:space="preserve"> </w:t>
      </w:r>
      <w:r>
        <w:t xml:space="preserve">[</w:t>
      </w:r>
      <w:hyperlink w:anchor="ref-varner2008">
        <w:r>
          <w:rPr>
            <w:rStyle w:val="Hyperlink"/>
          </w:rPr>
          <w:t xml:space="preserve">72</w:t>
        </w:r>
      </w:hyperlink>
      <w:r>
        <w:t xml:space="preserve">,</w:t>
      </w:r>
      <w:hyperlink w:anchor="ref-baldassarre2014">
        <w:r>
          <w:rPr>
            <w:rStyle w:val="Hyperlink"/>
          </w:rPr>
          <w:t xml:space="preserve">73</w:t>
        </w:r>
      </w:hyperlink>
      <w:r>
        <w:t xml:space="preserve">]</w:t>
      </w:r>
      <w:r>
        <w:t xml:space="preserve">.</w:t>
      </w:r>
    </w:p>
    <w:bookmarkEnd w:id="72"/>
    <w:bookmarkStart w:id="74" w:name="availability-of-data-and-materials"/>
    <w:p>
      <w:pPr>
        <w:pStyle w:val="Heading2"/>
      </w:pPr>
      <w:r>
        <w:rPr>
          <w:rStyle w:val="SectionNumber"/>
        </w:rPr>
        <w:t xml:space="preserve">0.6</w:t>
      </w:r>
      <w:r>
        <w:tab/>
      </w:r>
      <w:r>
        <w:t xml:space="preserve">Availability of data and materials</w:t>
      </w:r>
    </w:p>
    <w:p>
      <w:pPr>
        <w:pStyle w:val="FirstParagraph"/>
      </w:pPr>
      <w:r>
        <w:t xml:space="preserve">The tracking data collected for this study wil be made available on the Movebank Data Repository under</w:t>
      </w:r>
      <w:r>
        <w:t xml:space="preserve"> </w:t>
      </w:r>
      <w:hyperlink r:id="rId73">
        <w:r>
          <w:rPr>
            <w:rStyle w:val="Hyperlink"/>
          </w:rPr>
          <w:t xml:space="preserve">DOI:xxx</w:t>
        </w:r>
      </w:hyperlink>
      <w:r>
        <w:t xml:space="preserve">.</w:t>
      </w:r>
    </w:p>
    <w:bookmarkEnd w:id="74"/>
    <w:bookmarkStart w:id="75" w:name="code-availability"/>
    <w:p>
      <w:pPr>
        <w:pStyle w:val="Heading2"/>
      </w:pPr>
      <w:r>
        <w:rPr>
          <w:rStyle w:val="SectionNumber"/>
        </w:rPr>
        <w:t xml:space="preserve">0.7</w:t>
      </w:r>
      <w:r>
        <w:tab/>
      </w:r>
      <w:r>
        <w:t xml:space="preserve">Code availability</w:t>
      </w:r>
    </w:p>
    <w:bookmarkEnd w:id="75"/>
    <w:bookmarkStart w:id="76" w:name="acknowledgements"/>
    <w:p>
      <w:pPr>
        <w:pStyle w:val="Heading2"/>
      </w:pPr>
      <w:r>
        <w:rPr>
          <w:rStyle w:val="SectionNumber"/>
        </w:rPr>
        <w:t xml:space="preserve">0.8</w:t>
      </w:r>
      <w:r>
        <w:tab/>
      </w:r>
      <w:r>
        <w:t xml:space="preserve">Acknowledgements</w:t>
      </w:r>
    </w:p>
    <w:bookmarkEnd w:id="76"/>
    <w:bookmarkStart w:id="77" w:name="funding"/>
    <w:p>
      <w:pPr>
        <w:pStyle w:val="Heading2"/>
      </w:pPr>
      <w:r>
        <w:rPr>
          <w:rStyle w:val="SectionNumber"/>
        </w:rPr>
        <w:t xml:space="preserve">0.9</w:t>
      </w:r>
      <w:r>
        <w:tab/>
      </w:r>
      <w:r>
        <w:t xml:space="preserve">Funding</w:t>
      </w:r>
    </w:p>
    <w:bookmarkEnd w:id="77"/>
    <w:bookmarkStart w:id="202" w:name="references"/>
    <w:p>
      <w:pPr>
        <w:pStyle w:val="Heading2"/>
      </w:pPr>
      <w:r>
        <w:t xml:space="preserve">References</w:t>
      </w:r>
    </w:p>
    <w:bookmarkStart w:id="201" w:name="refs"/>
    <w:bookmarkStart w:id="79" w:name="ref-fryxell1988"/>
    <w:p>
      <w:pPr>
        <w:pStyle w:val="Bibliography"/>
      </w:pPr>
      <w:r>
        <w:t xml:space="preserve">1. Fryxell JM, Greever J, Sinclair ARE.</w:t>
      </w:r>
      <w:r>
        <w:t xml:space="preserve"> </w:t>
      </w:r>
      <w:hyperlink r:id="rId78">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79"/>
    <w:bookmarkStart w:id="80"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80"/>
    <w:bookmarkStart w:id="82" w:name="ref-winger2019"/>
    <w:p>
      <w:pPr>
        <w:pStyle w:val="Bibliography"/>
      </w:pPr>
      <w:r>
        <w:t xml:space="preserve">3. Winger BM, Auteri GG, Pegan TM, Weeks BC.</w:t>
      </w:r>
      <w:r>
        <w:t xml:space="preserve"> </w:t>
      </w:r>
      <w:hyperlink r:id="rId81">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82"/>
    <w:bookmarkStart w:id="84" w:name="ref-barker2022"/>
    <w:p>
      <w:pPr>
        <w:pStyle w:val="Bibliography"/>
      </w:pPr>
      <w:r>
        <w:t xml:space="preserve">4. Barker KJ, Xu W, Van Scoyoc A, Serota MW, Moravek JA, Shawler AL, et al.</w:t>
      </w:r>
      <w:r>
        <w:t xml:space="preserve"> </w:t>
      </w:r>
      <w:hyperlink r:id="rId83">
        <w:r>
          <w:rPr>
            <w:rStyle w:val="Hyperlink"/>
          </w:rPr>
          <w:t xml:space="preserve">Toward a new framework for restoring lost wildlife migrations</w:t>
        </w:r>
      </w:hyperlink>
      <w:r>
        <w:t xml:space="preserve">. Conservation Letters. 2022;15:e12850.</w:t>
      </w:r>
    </w:p>
    <w:bookmarkEnd w:id="84"/>
    <w:bookmarkStart w:id="86" w:name="ref-abrahms2021b"/>
    <w:p>
      <w:pPr>
        <w:pStyle w:val="Bibliography"/>
      </w:pPr>
      <w:r>
        <w:t xml:space="preserve">5. Abrahms B, Teitelbaum CS, Mueller T, Converse SJ.</w:t>
      </w:r>
      <w:r>
        <w:t xml:space="preserve"> </w:t>
      </w:r>
      <w:hyperlink r:id="rId85">
        <w:r>
          <w:rPr>
            <w:rStyle w:val="Hyperlink"/>
          </w:rPr>
          <w:t xml:space="preserve">Ontogenetic shifts from social to experiential learning drive avian migration timing</w:t>
        </w:r>
      </w:hyperlink>
      <w:r>
        <w:t xml:space="preserve">. Nature Communications. 2021;12:7326.</w:t>
      </w:r>
    </w:p>
    <w:bookmarkEnd w:id="86"/>
    <w:bookmarkStart w:id="88" w:name="ref-mueller2011a"/>
    <w:p>
      <w:pPr>
        <w:pStyle w:val="Bibliography"/>
      </w:pPr>
      <w:r>
        <w:t xml:space="preserve">6. Mueller T, Olson KA, Dressler G, Leimgruber P, Fuller TK, Nicolson C, et al.</w:t>
      </w:r>
      <w:r>
        <w:t xml:space="preserve"> </w:t>
      </w:r>
      <w:hyperlink r:id="rId87">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88"/>
    <w:bookmarkStart w:id="90" w:name="ref-senner2020"/>
    <w:p>
      <w:pPr>
        <w:pStyle w:val="Bibliography"/>
      </w:pPr>
      <w:r>
        <w:t xml:space="preserve">7. Senner NR, Morbey YE, Sandercock BK.</w:t>
      </w:r>
      <w:r>
        <w:t xml:space="preserve"> </w:t>
      </w:r>
      <w:hyperlink r:id="rId89">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90"/>
    <w:bookmarkStart w:id="92" w:name="ref-chernetsov2004a"/>
    <w:p>
      <w:pPr>
        <w:pStyle w:val="Bibliography"/>
      </w:pPr>
      <w:r>
        <w:t xml:space="preserve">8. Chernetsov N, Berthold P, Querner U.</w:t>
      </w:r>
      <w:r>
        <w:t xml:space="preserve"> </w:t>
      </w:r>
      <w:hyperlink r:id="rId91">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92"/>
    <w:bookmarkStart w:id="94" w:name="ref-mueller2013"/>
    <w:p>
      <w:pPr>
        <w:pStyle w:val="Bibliography"/>
      </w:pPr>
      <w:r>
        <w:t xml:space="preserve">9. Mueller T, O’Hara RB, Converse SJ, Urbanek RP, Fagan WF.</w:t>
      </w:r>
      <w:r>
        <w:t xml:space="preserve"> </w:t>
      </w:r>
      <w:hyperlink r:id="rId93">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94"/>
    <w:bookmarkStart w:id="96"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95">
        <w:r>
          <w:rPr>
            <w:rStyle w:val="Hyperlink"/>
          </w:rPr>
          <w:t xml:space="preserve">https://www.jstor.org/stable/3677163</w:t>
        </w:r>
      </w:hyperlink>
    </w:p>
    <w:bookmarkEnd w:id="96"/>
    <w:bookmarkStart w:id="98" w:name="ref-jesmer2018"/>
    <w:p>
      <w:pPr>
        <w:pStyle w:val="Bibliography"/>
      </w:pPr>
      <w:r>
        <w:t xml:space="preserve">11. Jesmer BR, Merkle JA, Goheen JR, Aikens EO, Beck JL, Courtemanch AB, et al.</w:t>
      </w:r>
      <w:r>
        <w:t xml:space="preserve"> </w:t>
      </w:r>
      <w:hyperlink r:id="rId97">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98"/>
    <w:bookmarkStart w:id="99" w:name="ref-alison1975"/>
    <w:p>
      <w:pPr>
        <w:pStyle w:val="Bibliography"/>
      </w:pPr>
      <w:r>
        <w:t xml:space="preserve">12. Alison R. Some previously unpublished historical records of trumpeter swans in</w:t>
      </w:r>
      <w:r>
        <w:t xml:space="preserve"> </w:t>
      </w:r>
      <w:r>
        <w:t xml:space="preserve">Ontario</w:t>
      </w:r>
      <w:r>
        <w:t xml:space="preserve">. Canadian Field Naturalist. 1975;89:311–3.</w:t>
      </w:r>
    </w:p>
    <w:bookmarkEnd w:id="99"/>
    <w:bookmarkStart w:id="100" w:name="ref-banko1960"/>
    <w:p>
      <w:pPr>
        <w:pStyle w:val="Bibliography"/>
      </w:pPr>
      <w:r>
        <w:t xml:space="preserve">13. Banko W. The trumpeter swan: Its history, habits, and population in the</w:t>
      </w:r>
      <w:r>
        <w:t xml:space="preserve"> </w:t>
      </w:r>
      <w:r>
        <w:t xml:space="preserve">United States</w:t>
      </w:r>
      <w:r>
        <w:t xml:space="preserve">. North American Fauna. 1960;1–214.</w:t>
      </w:r>
    </w:p>
    <w:bookmarkEnd w:id="100"/>
    <w:bookmarkStart w:id="101" w:name="ref-shea2002"/>
    <w:p>
      <w:pPr>
        <w:pStyle w:val="Bibliography"/>
      </w:pPr>
      <w:r>
        <w:t xml:space="preserve">14.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101"/>
    <w:bookmarkStart w:id="102" w:name="ref-hansen1971"/>
    <w:p>
      <w:pPr>
        <w:pStyle w:val="Bibliography"/>
      </w:pPr>
      <w:r>
        <w:t xml:space="preserve">15.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102"/>
    <w:bookmarkStart w:id="103" w:name="ref-matteson1988"/>
    <w:p>
      <w:pPr>
        <w:pStyle w:val="Bibliography"/>
      </w:pPr>
      <w:r>
        <w:t xml:space="preserve">16. Matteson S, Andryk T, Wetzel. Wisconsin</w:t>
      </w:r>
      <w:r>
        <w:t xml:space="preserve"> </w:t>
      </w:r>
      <w:r>
        <w:t xml:space="preserve">Trumpeter Swan Recovery Plan</w:t>
      </w:r>
      <w:r>
        <w:t xml:space="preserve">.pdf. The Passenger Pigeon. 1988;50:119–30.</w:t>
      </w:r>
    </w:p>
    <w:bookmarkEnd w:id="103"/>
    <w:bookmarkStart w:id="105" w:name="ref-baskin1993"/>
    <w:p>
      <w:pPr>
        <w:pStyle w:val="Bibliography"/>
      </w:pPr>
      <w:r>
        <w:t xml:space="preserve">17. Baskin Y.</w:t>
      </w:r>
      <w:r>
        <w:t xml:space="preserve"> </w:t>
      </w:r>
      <w:hyperlink r:id="rId104">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105"/>
    <w:bookmarkStart w:id="107" w:name="ref-oyler-mccance2007"/>
    <w:p>
      <w:pPr>
        <w:pStyle w:val="Bibliography"/>
      </w:pPr>
      <w:r>
        <w:t xml:space="preserve">18. Oyler-McCance SJ, Ransler FA, Berkman LK, Quinn TW.</w:t>
      </w:r>
      <w:r>
        <w:t xml:space="preserve"> </w:t>
      </w:r>
      <w:hyperlink r:id="rId106">
        <w:r>
          <w:rPr>
            <w:rStyle w:val="Hyperlink"/>
          </w:rPr>
          <w:t xml:space="preserve">A rangewide population genetic study of trumpeter swans</w:t>
        </w:r>
      </w:hyperlink>
      <w:r>
        <w:t xml:space="preserve">. Conservation Genetics. 2007;8:1339–53.</w:t>
      </w:r>
    </w:p>
    <w:bookmarkEnd w:id="107"/>
    <w:bookmarkStart w:id="108" w:name="ref-groves2017"/>
    <w:p>
      <w:pPr>
        <w:pStyle w:val="Bibliography"/>
      </w:pPr>
      <w:r>
        <w:t xml:space="preserve">19.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108"/>
    <w:bookmarkStart w:id="109" w:name="ref-alerstam2003"/>
    <w:p>
      <w:pPr>
        <w:pStyle w:val="Bibliography"/>
      </w:pPr>
      <w:r>
        <w:t xml:space="preserve">20. Alerstam T, Hedenström A, Akesson S. Long-distance migration: Evolution and determinants. Oikos. 2003;103:247–60.</w:t>
      </w:r>
    </w:p>
    <w:bookmarkEnd w:id="109"/>
    <w:bookmarkStart w:id="111" w:name="ref-dingle2007"/>
    <w:p>
      <w:pPr>
        <w:pStyle w:val="Bibliography"/>
      </w:pPr>
      <w:r>
        <w:t xml:space="preserve">21. Dingle H, Drake VA.</w:t>
      </w:r>
      <w:r>
        <w:t xml:space="preserve"> </w:t>
      </w:r>
      <w:hyperlink r:id="rId110">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111"/>
    <w:bookmarkStart w:id="113" w:name="ref-chapman2011"/>
    <w:p>
      <w:pPr>
        <w:pStyle w:val="Bibliography"/>
      </w:pPr>
      <w:r>
        <w:t xml:space="preserve">22. Chapman BB, Brönmark C, Nilsson J-Å, Hansson L-A.</w:t>
      </w:r>
      <w:r>
        <w:t xml:space="preserve"> </w:t>
      </w:r>
      <w:hyperlink r:id="rId112">
        <w:r>
          <w:rPr>
            <w:rStyle w:val="Hyperlink"/>
          </w:rPr>
          <w:t xml:space="preserve">The ecology and evolution of partial migration</w:t>
        </w:r>
      </w:hyperlink>
      <w:r>
        <w:t xml:space="preserve">. Oikos. 2011;120:1764–75.</w:t>
      </w:r>
    </w:p>
    <w:bookmarkEnd w:id="113"/>
    <w:bookmarkStart w:id="114" w:name="ref-pennycuick1989"/>
    <w:p>
      <w:pPr>
        <w:pStyle w:val="Bibliography"/>
      </w:pPr>
      <w:r>
        <w:t xml:space="preserve">23. Pennycuick CJ. Bird flight performance: A practical calculation manual.</w:t>
      </w:r>
      <w:r>
        <w:t xml:space="preserve"> </w:t>
      </w:r>
      <w:r>
        <w:t xml:space="preserve">Oxford University Press</w:t>
      </w:r>
      <w:r>
        <w:t xml:space="preserve">; 1989.</w:t>
      </w:r>
    </w:p>
    <w:bookmarkEnd w:id="114"/>
    <w:bookmarkStart w:id="115" w:name="ref-berthold2001"/>
    <w:p>
      <w:pPr>
        <w:pStyle w:val="Bibliography"/>
      </w:pPr>
      <w:r>
        <w:t xml:space="preserve">24. Berthold P.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 2001.</w:t>
      </w:r>
    </w:p>
    <w:bookmarkEnd w:id="115"/>
    <w:bookmarkStart w:id="116" w:name="ref-newton2010"/>
    <w:p>
      <w:pPr>
        <w:pStyle w:val="Bibliography"/>
      </w:pPr>
      <w:r>
        <w:t xml:space="preserve">25. Newton I.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 2010.</w:t>
      </w:r>
    </w:p>
    <w:bookmarkEnd w:id="116"/>
    <w:bookmarkStart w:id="118" w:name="ref-ketterson1976"/>
    <w:p>
      <w:pPr>
        <w:pStyle w:val="Bibliography"/>
      </w:pPr>
      <w:r>
        <w:t xml:space="preserve">26. Ketterson ED, Nolan Jr. V.</w:t>
      </w:r>
      <w:r>
        <w:t xml:space="preserve"> </w:t>
      </w:r>
      <w:hyperlink r:id="rId117">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1976;57:679–93.</w:t>
      </w:r>
    </w:p>
    <w:bookmarkEnd w:id="118"/>
    <w:bookmarkStart w:id="120" w:name="ref-fudickar2013"/>
    <w:p>
      <w:pPr>
        <w:pStyle w:val="Bibliography"/>
      </w:pPr>
      <w:r>
        <w:t xml:space="preserve">27. Fudickar AM, Schmidt A, Hau M, Quetting M, Partecke J.</w:t>
      </w:r>
      <w:r>
        <w:t xml:space="preserve"> </w:t>
      </w:r>
      <w:hyperlink r:id="rId119">
        <w:r>
          <w:rPr>
            <w:rStyle w:val="Hyperlink"/>
          </w:rPr>
          <w:t xml:space="preserve">Female-biased obligate strategies in a partially migratory population</w:t>
        </w:r>
      </w:hyperlink>
      <w:r>
        <w:t xml:space="preserve">. Journal of Animal Ecology. 2013;82:863–71.</w:t>
      </w:r>
    </w:p>
    <w:bookmarkEnd w:id="120"/>
    <w:bookmarkStart w:id="122" w:name="ref-sillett2002"/>
    <w:p>
      <w:pPr>
        <w:pStyle w:val="Bibliography"/>
      </w:pPr>
      <w:r>
        <w:t xml:space="preserve">28. Sillett TS, Holmes RT.</w:t>
      </w:r>
      <w:r>
        <w:t xml:space="preserve"> </w:t>
      </w:r>
      <w:hyperlink r:id="rId121">
        <w:r>
          <w:rPr>
            <w:rStyle w:val="Hyperlink"/>
          </w:rPr>
          <w:t xml:space="preserve">Variation in survivorship of a migratory songbird throughout its annual cycle</w:t>
        </w:r>
      </w:hyperlink>
      <w:r>
        <w:t xml:space="preserve">. Journal of Animal Ecology. 2002;71:296–308.</w:t>
      </w:r>
    </w:p>
    <w:bookmarkEnd w:id="122"/>
    <w:bookmarkStart w:id="124" w:name="ref-rushing2017"/>
    <w:p>
      <w:pPr>
        <w:pStyle w:val="Bibliography"/>
      </w:pPr>
      <w:r>
        <w:t xml:space="preserve">29. Rushing CS, Hostetler JA, Sillett TS, Marra PP, Rotenberg JA, Ryder TB.</w:t>
      </w:r>
      <w:r>
        <w:t xml:space="preserve"> </w:t>
      </w:r>
      <w:hyperlink r:id="rId123">
        <w:r>
          <w:rPr>
            <w:rStyle w:val="Hyperlink"/>
          </w:rPr>
          <w:t xml:space="preserve">Spatial and temporal drivers of avian population dynamics across the annual cycle</w:t>
        </w:r>
      </w:hyperlink>
      <w:r>
        <w:t xml:space="preserve">. Ecology. 2017;98:2837–50.</w:t>
      </w:r>
    </w:p>
    <w:bookmarkEnd w:id="124"/>
    <w:bookmarkStart w:id="126" w:name="ref-somveille2015"/>
    <w:p>
      <w:pPr>
        <w:pStyle w:val="Bibliography"/>
      </w:pPr>
      <w:r>
        <w:t xml:space="preserve">30. Somveille M, Rodrigues ASL, Manica A.</w:t>
      </w:r>
      <w:r>
        <w:t xml:space="preserve"> </w:t>
      </w:r>
      <w:hyperlink r:id="rId125">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26"/>
    <w:bookmarkStart w:id="128" w:name="ref-lok2017"/>
    <w:p>
      <w:pPr>
        <w:pStyle w:val="Bibliography"/>
      </w:pPr>
      <w:r>
        <w:t xml:space="preserve">31. Lok T, Veldhoen L, Overdijk O, Tinbergen JM, Piersma T.</w:t>
      </w:r>
      <w:r>
        <w:t xml:space="preserve"> </w:t>
      </w:r>
      <w:hyperlink r:id="rId127">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28"/>
    <w:bookmarkStart w:id="130" w:name="ref-winger2021"/>
    <w:p>
      <w:pPr>
        <w:pStyle w:val="Bibliography"/>
      </w:pPr>
      <w:r>
        <w:t xml:space="preserve">32. Winger BM, Pegan TM.</w:t>
      </w:r>
      <w:r>
        <w:t xml:space="preserve"> </w:t>
      </w:r>
      <w:hyperlink r:id="rId129">
        <w:r>
          <w:rPr>
            <w:rStyle w:val="Hyperlink"/>
          </w:rPr>
          <w:t xml:space="preserve">Migration distance is a fundamental axis of the slow-fast continuum of life history in boreal birds</w:t>
        </w:r>
      </w:hyperlink>
      <w:r>
        <w:t xml:space="preserve">. Ornithology. 2021;138:ukab043.</w:t>
      </w:r>
    </w:p>
    <w:bookmarkEnd w:id="130"/>
    <w:bookmarkStart w:id="131" w:name="ref-rappole2013"/>
    <w:p>
      <w:pPr>
        <w:pStyle w:val="Bibliography"/>
      </w:pPr>
      <w:r>
        <w:t xml:space="preserve">33.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31"/>
    <w:bookmarkStart w:id="133" w:name="ref-lasorte2014"/>
    <w:p>
      <w:pPr>
        <w:pStyle w:val="Bibliography"/>
      </w:pPr>
      <w:r>
        <w:t xml:space="preserve">34. La Sorte FA, Fink D, Hochachka WM, DeLong JP, Kelling S.</w:t>
      </w:r>
      <w:r>
        <w:t xml:space="preserve"> </w:t>
      </w:r>
      <w:hyperlink r:id="rId132">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33"/>
    <w:bookmarkStart w:id="135" w:name="ref-lasorte2021"/>
    <w:p>
      <w:pPr>
        <w:pStyle w:val="Bibliography"/>
      </w:pPr>
      <w:r>
        <w:t xml:space="preserve">35. La Sorte FA, Graham CH.</w:t>
      </w:r>
      <w:r>
        <w:t xml:space="preserve"> </w:t>
      </w:r>
      <w:hyperlink r:id="rId134">
        <w:r>
          <w:rPr>
            <w:rStyle w:val="Hyperlink"/>
          </w:rPr>
          <w:t xml:space="preserve">Phenological synchronization of seasonal bird migration with vegetation greenness across dietary guilds</w:t>
        </w:r>
      </w:hyperlink>
      <w:r>
        <w:t xml:space="preserve">. Journal of Animal Ecology. 2021;90:343–55.</w:t>
      </w:r>
    </w:p>
    <w:bookmarkEnd w:id="135"/>
    <w:bookmarkStart w:id="137" w:name="ref-schummer2010"/>
    <w:p>
      <w:pPr>
        <w:pStyle w:val="Bibliography"/>
      </w:pPr>
      <w:r>
        <w:t xml:space="preserve">36. Schummer ML, Kaminski RM, Raedeke AH, Graber DA.</w:t>
      </w:r>
      <w:r>
        <w:t xml:space="preserve"> </w:t>
      </w:r>
      <w:hyperlink r:id="rId136">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37"/>
    <w:bookmarkStart w:id="139" w:name="ref-xu2019a"/>
    <w:p>
      <w:pPr>
        <w:pStyle w:val="Bibliography"/>
      </w:pPr>
      <w:r>
        <w:t xml:space="preserve">37. Xu F, Si Y.</w:t>
      </w:r>
      <w:r>
        <w:t xml:space="preserve"> </w:t>
      </w:r>
      <w:hyperlink r:id="rId138">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39"/>
    <w:bookmarkStart w:id="140" w:name="ref-stafford2014a"/>
    <w:p>
      <w:pPr>
        <w:pStyle w:val="Bibliography"/>
      </w:pPr>
      <w:r>
        <w:t xml:space="preserve">38. Stafford JD, Janke AK, Anteau MJ, Pearse AT, Fox AD, Elmberg J, et al. Spring migration of waterfowl in the northern hemisphere: A conservation perspective. Wildfowl. 2014;70.</w:t>
      </w:r>
    </w:p>
    <w:bookmarkEnd w:id="140"/>
    <w:bookmarkStart w:id="141" w:name="ref-cleland1997"/>
    <w:p>
      <w:pPr>
        <w:pStyle w:val="Bibliography"/>
      </w:pPr>
      <w:r>
        <w:t xml:space="preserve">39.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41"/>
    <w:bookmarkStart w:id="143" w:name="ref-eltringham1978"/>
    <w:p>
      <w:pPr>
        <w:pStyle w:val="Bibliography"/>
      </w:pPr>
      <w:r>
        <w:t xml:space="preserve">40. Eltringham SK.</w:t>
      </w:r>
      <w:r>
        <w:t xml:space="preserve"> </w:t>
      </w:r>
      <w:hyperlink r:id="rId142">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43"/>
    <w:bookmarkStart w:id="144" w:name="ref-hindman2016"/>
    <w:p>
      <w:pPr>
        <w:pStyle w:val="Bibliography"/>
      </w:pPr>
      <w:r>
        <w:t xml:space="preserve">41.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44"/>
    <w:bookmarkStart w:id="145" w:name="ref-lockman1990"/>
    <w:p>
      <w:pPr>
        <w:pStyle w:val="Bibliography"/>
      </w:pPr>
      <w:r>
        <w:t xml:space="preserve">42.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45"/>
    <w:bookmarkStart w:id="147" w:name="ref-soriano-redondo2020"/>
    <w:p>
      <w:pPr>
        <w:pStyle w:val="Bibliography"/>
      </w:pPr>
      <w:r>
        <w:t xml:space="preserve">43. Soriano-Redondo A, Acácio M, Franco AMA, Martins BH, Moreira F, Rogerson K, et al.</w:t>
      </w:r>
      <w:r>
        <w:t xml:space="preserve"> </w:t>
      </w:r>
      <w:hyperlink r:id="rId146">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47"/>
    <w:bookmarkStart w:id="149" w:name="ref-vandekerk2021"/>
    <w:p>
      <w:pPr>
        <w:pStyle w:val="Bibliography"/>
      </w:pPr>
      <w:r>
        <w:t xml:space="preserve">44. van de Kerk M, Larsen RT, Olson DD, Hersey KR, McMillan BR.</w:t>
      </w:r>
      <w:r>
        <w:t xml:space="preserve"> </w:t>
      </w:r>
      <w:hyperlink r:id="rId148">
        <w:r>
          <w:rPr>
            <w:rStyle w:val="Hyperlink"/>
          </w:rPr>
          <w:t xml:space="preserve">Variation in movement patterns of mule deer: Have we oversimplified migration?</w:t>
        </w:r>
      </w:hyperlink>
      <w:r>
        <w:t xml:space="preserve"> Movement Ecology. 2021;9:44.</w:t>
      </w:r>
    </w:p>
    <w:bookmarkEnd w:id="149"/>
    <w:bookmarkStart w:id="151" w:name="ref-wolfson2022"/>
    <w:p>
      <w:pPr>
        <w:pStyle w:val="Bibliography"/>
      </w:pPr>
      <w:r>
        <w:t xml:space="preserve">45. Wolfson DW, Andersen DE, Fieberg JR.</w:t>
      </w:r>
      <w:r>
        <w:t xml:space="preserve"> </w:t>
      </w:r>
      <w:hyperlink r:id="rId150">
        <w:r>
          <w:rPr>
            <w:rStyle w:val="Hyperlink"/>
          </w:rPr>
          <w:t xml:space="preserve">Using piecewise regression to identify biological phenomena in biotelemetry datasets</w:t>
        </w:r>
      </w:hyperlink>
      <w:r>
        <w:t xml:space="preserve">. Journal of Animal Ecology. 2022;1365–2656.13779.</w:t>
      </w:r>
    </w:p>
    <w:bookmarkEnd w:id="151"/>
    <w:bookmarkStart w:id="152" w:name="ref-plummer2003"/>
    <w:p>
      <w:pPr>
        <w:pStyle w:val="Bibliography"/>
      </w:pPr>
      <w:r>
        <w:t xml:space="preserve">46.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52"/>
    <w:bookmarkStart w:id="154" w:name="ref-lindelov2020"/>
    <w:p>
      <w:pPr>
        <w:pStyle w:val="Bibliography"/>
      </w:pPr>
      <w:r>
        <w:t xml:space="preserve">47. Lindeløv JK.</w:t>
      </w:r>
      <w:r>
        <w:t xml:space="preserve"> </w:t>
      </w:r>
      <w:hyperlink r:id="rId153">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54"/>
    <w:bookmarkStart w:id="155" w:name="ref-rcoredevelopmentteam2022"/>
    <w:p>
      <w:pPr>
        <w:pStyle w:val="Bibliography"/>
      </w:pPr>
      <w:r>
        <w:t xml:space="preserve">48.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55"/>
    <w:bookmarkStart w:id="157" w:name="ref-bengtsson2021"/>
    <w:p>
      <w:pPr>
        <w:pStyle w:val="Bibliography"/>
      </w:pPr>
      <w:r>
        <w:t xml:space="preserve">49.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56">
        <w:r>
          <w:rPr>
            <w:rStyle w:val="Hyperlink"/>
          </w:rPr>
          <w:t xml:space="preserve">https://arxiv.org/abs/2008.00553</w:t>
        </w:r>
      </w:hyperlink>
    </w:p>
    <w:bookmarkEnd w:id="157"/>
    <w:bookmarkStart w:id="159" w:name="ref-brooks1998"/>
    <w:p>
      <w:pPr>
        <w:pStyle w:val="Bibliography"/>
      </w:pPr>
      <w:r>
        <w:t xml:space="preserve">50. Brooks SP, Gelman A.</w:t>
      </w:r>
      <w:r>
        <w:t xml:space="preserve"> </w:t>
      </w:r>
      <w:hyperlink r:id="rId158">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59"/>
    <w:bookmarkStart w:id="161" w:name="ref-gelman2014"/>
    <w:p>
      <w:pPr>
        <w:pStyle w:val="Bibliography"/>
      </w:pPr>
      <w:r>
        <w:t xml:space="preserve">51. Gelman A, Hwang J, Vehtari A.</w:t>
      </w:r>
      <w:r>
        <w:t xml:space="preserve"> </w:t>
      </w:r>
      <w:hyperlink r:id="rId160">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61"/>
    <w:bookmarkStart w:id="163" w:name="ref-vehtari2017"/>
    <w:p>
      <w:pPr>
        <w:pStyle w:val="Bibliography"/>
      </w:pPr>
      <w:r>
        <w:t xml:space="preserve">52. Vehtari A, Gelman A, Gabry J.</w:t>
      </w:r>
      <w:r>
        <w:t xml:space="preserve"> </w:t>
      </w:r>
      <w:hyperlink r:id="rId162">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63"/>
    <w:bookmarkStart w:id="164" w:name="ref-su2021b"/>
    <w:p>
      <w:pPr>
        <w:pStyle w:val="Bibliography"/>
      </w:pPr>
      <w:r>
        <w:t xml:space="preserve">53.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64"/>
    <w:bookmarkStart w:id="166" w:name="ref-nakagawa2010"/>
    <w:p>
      <w:pPr>
        <w:pStyle w:val="Bibliography"/>
      </w:pPr>
      <w:r>
        <w:t xml:space="preserve">54. Nakagawa S, Schielzeth H.</w:t>
      </w:r>
      <w:r>
        <w:t xml:space="preserve"> </w:t>
      </w:r>
      <w:hyperlink r:id="rId165">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2010;85:935–56.</w:t>
      </w:r>
    </w:p>
    <w:bookmarkEnd w:id="166"/>
    <w:bookmarkStart w:id="168" w:name="ref-matuschek2017"/>
    <w:p>
      <w:pPr>
        <w:pStyle w:val="Bibliography"/>
      </w:pPr>
      <w:r>
        <w:t xml:space="preserve">55. Matuschek H, Kliegl R, Vasishth S, Baayen H, Bates D.</w:t>
      </w:r>
      <w:r>
        <w:t xml:space="preserve"> </w:t>
      </w:r>
      <w:hyperlink r:id="rId167">
        <w:r>
          <w:rPr>
            <w:rStyle w:val="Hyperlink"/>
          </w:rPr>
          <w:t xml:space="preserve">Balancing</w:t>
        </w:r>
        <w:r>
          <w:rPr>
            <w:rStyle w:val="Hyperlink"/>
          </w:rPr>
          <w:t xml:space="preserve"> </w:t>
        </w:r>
        <w:r>
          <w:rPr>
            <w:rStyle w:val="Hyperlink"/>
          </w:rPr>
          <w:t xml:space="preserve">Type I</w:t>
        </w:r>
        <w:r>
          <w:rPr>
            <w:rStyle w:val="Hyperlink"/>
          </w:rPr>
          <w:t xml:space="preserve"> </w:t>
        </w:r>
        <w:r>
          <w:rPr>
            <w:rStyle w:val="Hyperlink"/>
          </w:rPr>
          <w:t xml:space="preserve">error and power in linear mixed models</w:t>
        </w:r>
      </w:hyperlink>
      <w:r>
        <w:t xml:space="preserve">. Journal of Memory and Language. 2017;94:305–15.</w:t>
      </w:r>
    </w:p>
    <w:bookmarkEnd w:id="168"/>
    <w:bookmarkStart w:id="170" w:name="ref-bates2018"/>
    <w:p>
      <w:pPr>
        <w:pStyle w:val="Bibliography"/>
      </w:pPr>
      <w:r>
        <w:t xml:space="preserve">56. Bates D, Kliegl R, Vasishth S, Baayen H. Parsimonious</w:t>
      </w:r>
      <w:r>
        <w:t xml:space="preserve"> </w:t>
      </w:r>
      <w:r>
        <w:t xml:space="preserve">Mixed Models</w:t>
      </w:r>
      <w:r>
        <w:t xml:space="preserve"> </w:t>
      </w:r>
      <w:r>
        <w:t xml:space="preserve">[Internet].</w:t>
      </w:r>
      <w:r>
        <w:t xml:space="preserve"> </w:t>
      </w:r>
      <w:r>
        <w:t xml:space="preserve">arXiv</w:t>
      </w:r>
      <w:r>
        <w:t xml:space="preserve">; 2018 [cited 2023 Aug 14]. Available from:</w:t>
      </w:r>
      <w:r>
        <w:t xml:space="preserve"> </w:t>
      </w:r>
      <w:hyperlink r:id="rId169">
        <w:r>
          <w:rPr>
            <w:rStyle w:val="Hyperlink"/>
          </w:rPr>
          <w:t xml:space="preserve">https://arxiv.org/abs/1506.04967</w:t>
        </w:r>
      </w:hyperlink>
    </w:p>
    <w:bookmarkEnd w:id="170"/>
    <w:bookmarkStart w:id="172" w:name="ref-bates2014"/>
    <w:p>
      <w:pPr>
        <w:pStyle w:val="Bibliography"/>
      </w:pPr>
      <w:r>
        <w:t xml:space="preserve">57. Bates D, Mächler M, Bolker B, Walker S. Fitting</w:t>
      </w:r>
      <w:r>
        <w:t xml:space="preserve"> </w:t>
      </w:r>
      <w:r>
        <w:t xml:space="preserve">Linear Mixed-Effects Models</w:t>
      </w:r>
      <w:r>
        <w:t xml:space="preserve"> </w:t>
      </w:r>
      <w:r>
        <w:t xml:space="preserve">using Lme4. arXiv:14065823 [stat] [Internet]. 2014 [cited 2021 Jun 3]; Available from:</w:t>
      </w:r>
      <w:r>
        <w:t xml:space="preserve"> </w:t>
      </w:r>
      <w:hyperlink r:id="rId171">
        <w:r>
          <w:rPr>
            <w:rStyle w:val="Hyperlink"/>
          </w:rPr>
          <w:t xml:space="preserve">https://arxiv.org/abs/1406.5823</w:t>
        </w:r>
      </w:hyperlink>
    </w:p>
    <w:bookmarkEnd w:id="172"/>
    <w:bookmarkStart w:id="174" w:name="ref-stoffel2017"/>
    <w:p>
      <w:pPr>
        <w:pStyle w:val="Bibliography"/>
      </w:pPr>
      <w:r>
        <w:t xml:space="preserve">58. Stoffel MA, Nakagawa S, Schielzeth H.</w:t>
      </w:r>
      <w:r>
        <w:t xml:space="preserve"> </w:t>
      </w:r>
      <w:hyperlink r:id="rId173">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2017;8:1639–44.</w:t>
      </w:r>
    </w:p>
    <w:bookmarkEnd w:id="174"/>
    <w:bookmarkStart w:id="176" w:name="ref-akesson2020"/>
    <w:p>
      <w:pPr>
        <w:pStyle w:val="Bibliography"/>
      </w:pPr>
      <w:r>
        <w:t xml:space="preserve">59. Åkesson S, Helm B.</w:t>
      </w:r>
      <w:r>
        <w:t xml:space="preserve"> </w:t>
      </w:r>
      <w:hyperlink r:id="rId175">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76"/>
    <w:bookmarkStart w:id="177" w:name="ref-berthold1991"/>
    <w:p>
      <w:pPr>
        <w:pStyle w:val="Bibliography"/>
      </w:pPr>
      <w:r>
        <w:t xml:space="preserve">60. Berthold P. Genetic control of migratory behaviour in birds.pdf. Trends in Ecology &amp; Evolution. 1991;6:254–7.</w:t>
      </w:r>
    </w:p>
    <w:bookmarkEnd w:id="177"/>
    <w:bookmarkStart w:id="179" w:name="ref-sasaki2017"/>
    <w:p>
      <w:pPr>
        <w:pStyle w:val="Bibliography"/>
      </w:pPr>
      <w:r>
        <w:t xml:space="preserve">61. Sasaki T, Biro D.</w:t>
      </w:r>
      <w:r>
        <w:t xml:space="preserve"> </w:t>
      </w:r>
      <w:hyperlink r:id="rId178">
        <w:r>
          <w:rPr>
            <w:rStyle w:val="Hyperlink"/>
          </w:rPr>
          <w:t xml:space="preserve">Cumulative culture can emerge from collective intelligence in animal groups</w:t>
        </w:r>
      </w:hyperlink>
      <w:r>
        <w:t xml:space="preserve">. Nature Communications. 2017;8:15049.</w:t>
      </w:r>
    </w:p>
    <w:bookmarkEnd w:id="179"/>
    <w:bookmarkStart w:id="181" w:name="ref-ransler2011"/>
    <w:p>
      <w:pPr>
        <w:pStyle w:val="Bibliography"/>
      </w:pPr>
      <w:r>
        <w:t xml:space="preserve">62. Ransler FA, Quinn TW, Oyler-McCance SJ.</w:t>
      </w:r>
      <w:r>
        <w:t xml:space="preserve"> </w:t>
      </w:r>
      <w:hyperlink r:id="rId180">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81"/>
    <w:bookmarkStart w:id="183" w:name="ref-pulido2011"/>
    <w:p>
      <w:pPr>
        <w:pStyle w:val="Bibliography"/>
      </w:pPr>
      <w:r>
        <w:t xml:space="preserve">63. Pulido F.</w:t>
      </w:r>
      <w:r>
        <w:t xml:space="preserve"> </w:t>
      </w:r>
      <w:hyperlink r:id="rId182">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83"/>
    <w:bookmarkStart w:id="185" w:name="ref-conklin2010"/>
    <w:p>
      <w:pPr>
        <w:pStyle w:val="Bibliography"/>
      </w:pPr>
      <w:r>
        <w:t xml:space="preserve">64. Conklin JR, Battley PF, Potter MA, Fox JW.</w:t>
      </w:r>
      <w:r>
        <w:t xml:space="preserve"> </w:t>
      </w:r>
      <w:hyperlink r:id="rId184">
        <w:r>
          <w:rPr>
            <w:rStyle w:val="Hyperlink"/>
          </w:rPr>
          <w:t xml:space="preserve">Breeding latitude drives individual schedules in a trans-hemispheric migrant bird</w:t>
        </w:r>
      </w:hyperlink>
      <w:r>
        <w:t xml:space="preserve">. Nature Communications. 2010;1:67.</w:t>
      </w:r>
    </w:p>
    <w:bookmarkEnd w:id="185"/>
    <w:bookmarkStart w:id="187" w:name="ref-vanwijk2012b"/>
    <w:p>
      <w:pPr>
        <w:pStyle w:val="Bibliography"/>
      </w:pPr>
      <w:r>
        <w:t xml:space="preserve">65. van Wijk RE, Kölzsch A, Kruckenberg H, Ebbinge BS, Müskens GJDM, Nolet BA.</w:t>
      </w:r>
      <w:r>
        <w:t xml:space="preserve"> </w:t>
      </w:r>
      <w:hyperlink r:id="rId186">
        <w:r>
          <w:rPr>
            <w:rStyle w:val="Hyperlink"/>
          </w:rPr>
          <w:t xml:space="preserve">Individually tracked geese follow peaks of temperature acceleration during spring migration</w:t>
        </w:r>
      </w:hyperlink>
      <w:r>
        <w:t xml:space="preserve">. Oikos. 2012;121:655–64.</w:t>
      </w:r>
    </w:p>
    <w:bookmarkEnd w:id="187"/>
    <w:bookmarkStart w:id="189" w:name="ref-kokko1999"/>
    <w:p>
      <w:pPr>
        <w:pStyle w:val="Bibliography"/>
      </w:pPr>
      <w:r>
        <w:t xml:space="preserve">66. Kokko H.</w:t>
      </w:r>
      <w:r>
        <w:t xml:space="preserve"> </w:t>
      </w:r>
      <w:hyperlink r:id="rId188">
        <w:r>
          <w:rPr>
            <w:rStyle w:val="Hyperlink"/>
          </w:rPr>
          <w:t xml:space="preserve">Competition for early arrival in migratory birds</w:t>
        </w:r>
      </w:hyperlink>
      <w:r>
        <w:t xml:space="preserve">. Journal of Animal Ecology. 1999;68:940–50.</w:t>
      </w:r>
    </w:p>
    <w:bookmarkEnd w:id="189"/>
    <w:bookmarkStart w:id="191" w:name="ref-nilsson2013"/>
    <w:p>
      <w:pPr>
        <w:pStyle w:val="Bibliography"/>
      </w:pPr>
      <w:r>
        <w:t xml:space="preserve">67. Nilsson C, Klaassen RHG, Alerstam T.</w:t>
      </w:r>
      <w:r>
        <w:t xml:space="preserve"> </w:t>
      </w:r>
      <w:hyperlink r:id="rId190">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91"/>
    <w:bookmarkStart w:id="193" w:name="ref-ellis1989"/>
    <w:p>
      <w:pPr>
        <w:pStyle w:val="Bibliography"/>
      </w:pPr>
      <w:r>
        <w:t xml:space="preserve">68. Ellis CR, Stefan HG.</w:t>
      </w:r>
      <w:r>
        <w:t xml:space="preserve"> </w:t>
      </w:r>
      <w:hyperlink r:id="rId192">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193"/>
    <w:bookmarkStart w:id="194" w:name="ref-slater2006"/>
    <w:p>
      <w:pPr>
        <w:pStyle w:val="Bibliography"/>
      </w:pPr>
      <w:r>
        <w:t xml:space="preserve">69. Slater G. Trumpeter swan_a technical conservation assessment.pdf.</w:t>
      </w:r>
      <w:r>
        <w:t xml:space="preserve"> </w:t>
      </w:r>
      <w:r>
        <w:t xml:space="preserve">USDA Forest Service</w:t>
      </w:r>
      <w:r>
        <w:t xml:space="preserve">; 2006 p. 1–39.</w:t>
      </w:r>
    </w:p>
    <w:bookmarkEnd w:id="194"/>
    <w:bookmarkStart w:id="196" w:name="ref-ballard2021a"/>
    <w:p>
      <w:pPr>
        <w:pStyle w:val="Bibliography"/>
      </w:pPr>
      <w:r>
        <w:t xml:space="preserve">70. Ballard DC, Jones III OE, Janke AK.</w:t>
      </w:r>
      <w:r>
        <w:t xml:space="preserve"> </w:t>
      </w:r>
      <w:hyperlink r:id="rId195">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196"/>
    <w:bookmarkStart w:id="198" w:name="ref-satterfield2018"/>
    <w:p>
      <w:pPr>
        <w:pStyle w:val="Bibliography"/>
      </w:pPr>
      <w:r>
        <w:t xml:space="preserve">71. Satterfield DA, Marra PP, Sillett TS, Altizer S.</w:t>
      </w:r>
      <w:r>
        <w:t xml:space="preserve"> </w:t>
      </w:r>
      <w:hyperlink r:id="rId197">
        <w:r>
          <w:rPr>
            <w:rStyle w:val="Hyperlink"/>
          </w:rPr>
          <w:t xml:space="preserve">Responses of migratory species and their pathogens to supplemental feeding</w:t>
        </w:r>
      </w:hyperlink>
      <w:r>
        <w:t xml:space="preserve">. Philosophical Transactions of the Royal Society B: Biological Sciences. 2018;373:20170094.</w:t>
      </w:r>
    </w:p>
    <w:bookmarkEnd w:id="198"/>
    <w:bookmarkStart w:id="199" w:name="ref-varner2008"/>
    <w:p>
      <w:pPr>
        <w:pStyle w:val="Bibliography"/>
      </w:pPr>
      <w:r>
        <w:t xml:space="preserve">72.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199"/>
    <w:bookmarkStart w:id="200" w:name="ref-baldassarre2014"/>
    <w:p>
      <w:pPr>
        <w:pStyle w:val="Bibliography"/>
      </w:pPr>
      <w:r>
        <w:t xml:space="preserve">73.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200"/>
    <w:bookmarkEnd w:id="201"/>
    <w:bookmarkEnd w:id="202"/>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5">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tiff" /><Relationship Type="http://schemas.openxmlformats.org/officeDocument/2006/relationships/image" Id="rId44" Target="media/rId44.tiff" /><Relationship Type="http://schemas.openxmlformats.org/officeDocument/2006/relationships/image" Id="rId56" Target="media/rId56.tiff" /><Relationship Type="http://schemas.openxmlformats.org/officeDocument/2006/relationships/image" Id="rId68" Target="media/rId68.tiff" /><Relationship Type="http://schemas.openxmlformats.org/officeDocument/2006/relationships/image" Id="rId49" Target="media/rId49.tiff" /><Relationship Type="http://schemas.openxmlformats.org/officeDocument/2006/relationships/image" Id="rId62" Target="media/rId62.tiff" /><Relationship Type="http://schemas.openxmlformats.org/officeDocument/2006/relationships/image" Id="rId59" Target="media/rId59.tiff" /><Relationship Type="http://schemas.openxmlformats.org/officeDocument/2006/relationships/hyperlink" Id="rId73" Target="DOI:xxx" TargetMode="External" /><Relationship Type="http://schemas.openxmlformats.org/officeDocument/2006/relationships/hyperlink" Id="rId171" Target="https://arxiv.org/abs/1406.5823" TargetMode="External" /><Relationship Type="http://schemas.openxmlformats.org/officeDocument/2006/relationships/hyperlink" Id="rId169" Target="https://arxiv.org/abs/1506.04967" TargetMode="External" /><Relationship Type="http://schemas.openxmlformats.org/officeDocument/2006/relationships/hyperlink" Id="rId156" Target="https://arxiv.org/abs/2008.00553" TargetMode="External" /><Relationship Type="http://schemas.openxmlformats.org/officeDocument/2006/relationships/hyperlink" Id="rId123" Target="https://doi.org/10.1002/ecy.1967" TargetMode="External" /><Relationship Type="http://schemas.openxmlformats.org/officeDocument/2006/relationships/hyperlink" Id="rId195" Target="https://doi.org/10.1002/jwmg.22096" TargetMode="External" /><Relationship Type="http://schemas.openxmlformats.org/officeDocument/2006/relationships/hyperlink" Id="rId142" Target="https://doi.org/10.1007/978-1-349-03711-7_2" TargetMode="External" /><Relationship Type="http://schemas.openxmlformats.org/officeDocument/2006/relationships/hyperlink" Id="rId106" Target="https://doi.org/10.1007/s10592-006-9282-y" TargetMode="External" /><Relationship Type="http://schemas.openxmlformats.org/officeDocument/2006/relationships/hyperlink" Id="rId180" Target="https://doi.org/10.1007/s10592-010-0137-1" TargetMode="External" /><Relationship Type="http://schemas.openxmlformats.org/officeDocument/2006/relationships/hyperlink" Id="rId160" Target="https://doi.org/10.1007/s11222-013-9416-2" TargetMode="External" /><Relationship Type="http://schemas.openxmlformats.org/officeDocument/2006/relationships/hyperlink" Id="rId162" Target="https://doi.org/10.1007/s11222-016-9696-4" TargetMode="External" /><Relationship Type="http://schemas.openxmlformats.org/officeDocument/2006/relationships/hyperlink" Id="rId138" Target="https://doi.org/10.1016/j.ecolind.2019.02.024" TargetMode="External" /><Relationship Type="http://schemas.openxmlformats.org/officeDocument/2006/relationships/hyperlink" Id="rId167" Target="https://doi.org/10.1016/j.jml.2017.01.001" TargetMode="External" /><Relationship Type="http://schemas.openxmlformats.org/officeDocument/2006/relationships/hyperlink" Id="rId184" Target="https://doi.org/10.1038/ncomms1072" TargetMode="External" /><Relationship Type="http://schemas.openxmlformats.org/officeDocument/2006/relationships/hyperlink" Id="rId178" Target="https://doi.org/10.1038/ncomms15049" TargetMode="External" /><Relationship Type="http://schemas.openxmlformats.org/officeDocument/2006/relationships/hyperlink" Id="rId85" Target="https://doi.org/10.1038/s41467-021-27626-5" TargetMode="External" /><Relationship Type="http://schemas.openxmlformats.org/officeDocument/2006/relationships/hyperlink" Id="rId188" Target="https://doi.org/10.1046/j.1365-2656.1999.00343.x" TargetMode="External" /><Relationship Type="http://schemas.openxmlformats.org/officeDocument/2006/relationships/hyperlink" Id="rId121" Target="https://doi.org/10.1046/j.1365-2656.2002.00599.x" TargetMode="External" /><Relationship Type="http://schemas.openxmlformats.org/officeDocument/2006/relationships/hyperlink" Id="rId158" Target="https://doi.org/10.1080/10618600.1998.10474787" TargetMode="External" /><Relationship Type="http://schemas.openxmlformats.org/officeDocument/2006/relationships/hyperlink" Id="rId78" Target="https://doi.org/10.1086/284822" TargetMode="External" /><Relationship Type="http://schemas.openxmlformats.org/officeDocument/2006/relationships/hyperlink" Id="rId190" Target="https://doi.org/10.1086/670335" TargetMode="External" /><Relationship Type="http://schemas.openxmlformats.org/officeDocument/2006/relationships/hyperlink" Id="rId129" Target="https://doi.org/10.1093/ornithology/ukab043" TargetMode="External" /><Relationship Type="http://schemas.openxmlformats.org/officeDocument/2006/relationships/hyperlink" Id="rId132" Target="https://doi.org/10.1098/rspb.2014.0984" TargetMode="External" /><Relationship Type="http://schemas.openxmlformats.org/officeDocument/2006/relationships/hyperlink" Id="rId197" Target="https://doi.org/10.1098/rstb.2017.0094" TargetMode="External" /><Relationship Type="http://schemas.openxmlformats.org/officeDocument/2006/relationships/hyperlink" Id="rId119" Target="https://doi.org/10.1111/1365-2656.12052" TargetMode="External" /><Relationship Type="http://schemas.openxmlformats.org/officeDocument/2006/relationships/hyperlink" Id="rId127" Target="https://doi.org/10.1111/1365-2656.12706" TargetMode="External" /><Relationship Type="http://schemas.openxmlformats.org/officeDocument/2006/relationships/hyperlink" Id="rId134" Target="https://doi.org/10.1111/1365-2656.13345" TargetMode="External" /><Relationship Type="http://schemas.openxmlformats.org/officeDocument/2006/relationships/hyperlink" Id="rId150" Target="https://doi.org/10.1111/1365-2656.13779" TargetMode="External" /><Relationship Type="http://schemas.openxmlformats.org/officeDocument/2006/relationships/hyperlink" Id="rId173" Target="https://doi.org/10.1111/2041-210X.12797" TargetMode="External" /><Relationship Type="http://schemas.openxmlformats.org/officeDocument/2006/relationships/hyperlink" Id="rId81" Target="https://doi.org/10.1111/brv.12476" TargetMode="External" /><Relationship Type="http://schemas.openxmlformats.org/officeDocument/2006/relationships/hyperlink" Id="rId83" Target="https://doi.org/10.1111/conl.12850" TargetMode="External" /><Relationship Type="http://schemas.openxmlformats.org/officeDocument/2006/relationships/hyperlink" Id="rId125" Target="https://doi.org/10.1111/geb.12298" TargetMode="External" /><Relationship Type="http://schemas.openxmlformats.org/officeDocument/2006/relationships/hyperlink" Id="rId146" Target="https://doi.org/10.1111/ibi.12809" TargetMode="External" /><Relationship Type="http://schemas.openxmlformats.org/officeDocument/2006/relationships/hyperlink" Id="rId87" Target="https://doi.org/10.1111/j.1466-8238.2010.00638.x" TargetMode="External" /><Relationship Type="http://schemas.openxmlformats.org/officeDocument/2006/relationships/hyperlink" Id="rId165" Target="https://doi.org/10.1111/j.1469-185X.2010.00141.x" TargetMode="External" /><Relationship Type="http://schemas.openxmlformats.org/officeDocument/2006/relationships/hyperlink" Id="rId182" Target="https://doi.org/10.1111/j.1600-0706.2011.19844.x" TargetMode="External" /><Relationship Type="http://schemas.openxmlformats.org/officeDocument/2006/relationships/hyperlink" Id="rId186" Target="https://doi.org/10.1111/j.1600-0706.2011.20083.x" TargetMode="External" /><Relationship Type="http://schemas.openxmlformats.org/officeDocument/2006/relationships/hyperlink" Id="rId112" Target="https://doi.org/10.1111/j.1600-0706.2011.20131.x" TargetMode="External" /><Relationship Type="http://schemas.openxmlformats.org/officeDocument/2006/relationships/hyperlink" Id="rId192" Target="https://doi.org/10.1111/j.1752-1688.1989.tb01329.x" TargetMode="External" /><Relationship Type="http://schemas.openxmlformats.org/officeDocument/2006/relationships/hyperlink" Id="rId93" Target="https://doi.org/10.1126/science.1237139" TargetMode="External" /><Relationship Type="http://schemas.openxmlformats.org/officeDocument/2006/relationships/hyperlink" Id="rId97" Target="https://doi.org/10.1126/science.aat0985" TargetMode="External" /><Relationship Type="http://schemas.openxmlformats.org/officeDocument/2006/relationships/hyperlink" Id="rId148" Target="https://doi.org/10.1186/s40462-021-00281-7" TargetMode="External" /><Relationship Type="http://schemas.openxmlformats.org/officeDocument/2006/relationships/hyperlink" Id="rId91" Target="https://doi.org/10.1242/jeb.00853" TargetMode="External" /><Relationship Type="http://schemas.openxmlformats.org/officeDocument/2006/relationships/hyperlink" Id="rId110" Target="https://doi.org/10.1641/B570206" TargetMode="External" /><Relationship Type="http://schemas.openxmlformats.org/officeDocument/2006/relationships/hyperlink" Id="rId136" Target="https://doi.org/10.2193/2008-524" TargetMode="External" /><Relationship Type="http://schemas.openxmlformats.org/officeDocument/2006/relationships/hyperlink" Id="rId104" Target="https://doi.org/10.2307/1311967" TargetMode="External" /><Relationship Type="http://schemas.openxmlformats.org/officeDocument/2006/relationships/hyperlink" Id="rId117" Target="https://doi.org/10.2307/1936182" TargetMode="External" /><Relationship Type="http://schemas.openxmlformats.org/officeDocument/2006/relationships/hyperlink" Id="rId153" Target="https://doi.org/10.31219/osf.io/fzqxv" TargetMode="External" /><Relationship Type="http://schemas.openxmlformats.org/officeDocument/2006/relationships/hyperlink" Id="rId175" Target="https://doi.org/10.3389/fevo.2020.00078" TargetMode="External" /><Relationship Type="http://schemas.openxmlformats.org/officeDocument/2006/relationships/hyperlink" Id="rId89" Target="https://doi.org/10.3389/fevo.2020.00111" TargetMode="External" /><Relationship Type="http://schemas.openxmlformats.org/officeDocument/2006/relationships/hyperlink" Id="rId95"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73" Target="DOI:xxx" TargetMode="External" /><Relationship Type="http://schemas.openxmlformats.org/officeDocument/2006/relationships/hyperlink" Id="rId171" Target="https://arxiv.org/abs/1406.5823" TargetMode="External" /><Relationship Type="http://schemas.openxmlformats.org/officeDocument/2006/relationships/hyperlink" Id="rId169" Target="https://arxiv.org/abs/1506.04967" TargetMode="External" /><Relationship Type="http://schemas.openxmlformats.org/officeDocument/2006/relationships/hyperlink" Id="rId156" Target="https://arxiv.org/abs/2008.00553" TargetMode="External" /><Relationship Type="http://schemas.openxmlformats.org/officeDocument/2006/relationships/hyperlink" Id="rId123" Target="https://doi.org/10.1002/ecy.1967" TargetMode="External" /><Relationship Type="http://schemas.openxmlformats.org/officeDocument/2006/relationships/hyperlink" Id="rId195" Target="https://doi.org/10.1002/jwmg.22096" TargetMode="External" /><Relationship Type="http://schemas.openxmlformats.org/officeDocument/2006/relationships/hyperlink" Id="rId142" Target="https://doi.org/10.1007/978-1-349-03711-7_2" TargetMode="External" /><Relationship Type="http://schemas.openxmlformats.org/officeDocument/2006/relationships/hyperlink" Id="rId106" Target="https://doi.org/10.1007/s10592-006-9282-y" TargetMode="External" /><Relationship Type="http://schemas.openxmlformats.org/officeDocument/2006/relationships/hyperlink" Id="rId180" Target="https://doi.org/10.1007/s10592-010-0137-1" TargetMode="External" /><Relationship Type="http://schemas.openxmlformats.org/officeDocument/2006/relationships/hyperlink" Id="rId160" Target="https://doi.org/10.1007/s11222-013-9416-2" TargetMode="External" /><Relationship Type="http://schemas.openxmlformats.org/officeDocument/2006/relationships/hyperlink" Id="rId162" Target="https://doi.org/10.1007/s11222-016-9696-4" TargetMode="External" /><Relationship Type="http://schemas.openxmlformats.org/officeDocument/2006/relationships/hyperlink" Id="rId138" Target="https://doi.org/10.1016/j.ecolind.2019.02.024" TargetMode="External" /><Relationship Type="http://schemas.openxmlformats.org/officeDocument/2006/relationships/hyperlink" Id="rId167" Target="https://doi.org/10.1016/j.jml.2017.01.001" TargetMode="External" /><Relationship Type="http://schemas.openxmlformats.org/officeDocument/2006/relationships/hyperlink" Id="rId184" Target="https://doi.org/10.1038/ncomms1072" TargetMode="External" /><Relationship Type="http://schemas.openxmlformats.org/officeDocument/2006/relationships/hyperlink" Id="rId178" Target="https://doi.org/10.1038/ncomms15049" TargetMode="External" /><Relationship Type="http://schemas.openxmlformats.org/officeDocument/2006/relationships/hyperlink" Id="rId85" Target="https://doi.org/10.1038/s41467-021-27626-5" TargetMode="External" /><Relationship Type="http://schemas.openxmlformats.org/officeDocument/2006/relationships/hyperlink" Id="rId188" Target="https://doi.org/10.1046/j.1365-2656.1999.00343.x" TargetMode="External" /><Relationship Type="http://schemas.openxmlformats.org/officeDocument/2006/relationships/hyperlink" Id="rId121" Target="https://doi.org/10.1046/j.1365-2656.2002.00599.x" TargetMode="External" /><Relationship Type="http://schemas.openxmlformats.org/officeDocument/2006/relationships/hyperlink" Id="rId158" Target="https://doi.org/10.1080/10618600.1998.10474787" TargetMode="External" /><Relationship Type="http://schemas.openxmlformats.org/officeDocument/2006/relationships/hyperlink" Id="rId78" Target="https://doi.org/10.1086/284822" TargetMode="External" /><Relationship Type="http://schemas.openxmlformats.org/officeDocument/2006/relationships/hyperlink" Id="rId190" Target="https://doi.org/10.1086/670335" TargetMode="External" /><Relationship Type="http://schemas.openxmlformats.org/officeDocument/2006/relationships/hyperlink" Id="rId129" Target="https://doi.org/10.1093/ornithology/ukab043" TargetMode="External" /><Relationship Type="http://schemas.openxmlformats.org/officeDocument/2006/relationships/hyperlink" Id="rId132" Target="https://doi.org/10.1098/rspb.2014.0984" TargetMode="External" /><Relationship Type="http://schemas.openxmlformats.org/officeDocument/2006/relationships/hyperlink" Id="rId197" Target="https://doi.org/10.1098/rstb.2017.0094" TargetMode="External" /><Relationship Type="http://schemas.openxmlformats.org/officeDocument/2006/relationships/hyperlink" Id="rId119" Target="https://doi.org/10.1111/1365-2656.12052" TargetMode="External" /><Relationship Type="http://schemas.openxmlformats.org/officeDocument/2006/relationships/hyperlink" Id="rId127" Target="https://doi.org/10.1111/1365-2656.12706" TargetMode="External" /><Relationship Type="http://schemas.openxmlformats.org/officeDocument/2006/relationships/hyperlink" Id="rId134" Target="https://doi.org/10.1111/1365-2656.13345" TargetMode="External" /><Relationship Type="http://schemas.openxmlformats.org/officeDocument/2006/relationships/hyperlink" Id="rId150" Target="https://doi.org/10.1111/1365-2656.13779" TargetMode="External" /><Relationship Type="http://schemas.openxmlformats.org/officeDocument/2006/relationships/hyperlink" Id="rId173" Target="https://doi.org/10.1111/2041-210X.12797" TargetMode="External" /><Relationship Type="http://schemas.openxmlformats.org/officeDocument/2006/relationships/hyperlink" Id="rId81" Target="https://doi.org/10.1111/brv.12476" TargetMode="External" /><Relationship Type="http://schemas.openxmlformats.org/officeDocument/2006/relationships/hyperlink" Id="rId83" Target="https://doi.org/10.1111/conl.12850" TargetMode="External" /><Relationship Type="http://schemas.openxmlformats.org/officeDocument/2006/relationships/hyperlink" Id="rId125" Target="https://doi.org/10.1111/geb.12298" TargetMode="External" /><Relationship Type="http://schemas.openxmlformats.org/officeDocument/2006/relationships/hyperlink" Id="rId146" Target="https://doi.org/10.1111/ibi.12809" TargetMode="External" /><Relationship Type="http://schemas.openxmlformats.org/officeDocument/2006/relationships/hyperlink" Id="rId87" Target="https://doi.org/10.1111/j.1466-8238.2010.00638.x" TargetMode="External" /><Relationship Type="http://schemas.openxmlformats.org/officeDocument/2006/relationships/hyperlink" Id="rId165" Target="https://doi.org/10.1111/j.1469-185X.2010.00141.x" TargetMode="External" /><Relationship Type="http://schemas.openxmlformats.org/officeDocument/2006/relationships/hyperlink" Id="rId182" Target="https://doi.org/10.1111/j.1600-0706.2011.19844.x" TargetMode="External" /><Relationship Type="http://schemas.openxmlformats.org/officeDocument/2006/relationships/hyperlink" Id="rId186" Target="https://doi.org/10.1111/j.1600-0706.2011.20083.x" TargetMode="External" /><Relationship Type="http://schemas.openxmlformats.org/officeDocument/2006/relationships/hyperlink" Id="rId112" Target="https://doi.org/10.1111/j.1600-0706.2011.20131.x" TargetMode="External" /><Relationship Type="http://schemas.openxmlformats.org/officeDocument/2006/relationships/hyperlink" Id="rId192" Target="https://doi.org/10.1111/j.1752-1688.1989.tb01329.x" TargetMode="External" /><Relationship Type="http://schemas.openxmlformats.org/officeDocument/2006/relationships/hyperlink" Id="rId93" Target="https://doi.org/10.1126/science.1237139" TargetMode="External" /><Relationship Type="http://schemas.openxmlformats.org/officeDocument/2006/relationships/hyperlink" Id="rId97" Target="https://doi.org/10.1126/science.aat0985" TargetMode="External" /><Relationship Type="http://schemas.openxmlformats.org/officeDocument/2006/relationships/hyperlink" Id="rId148" Target="https://doi.org/10.1186/s40462-021-00281-7" TargetMode="External" /><Relationship Type="http://schemas.openxmlformats.org/officeDocument/2006/relationships/hyperlink" Id="rId91" Target="https://doi.org/10.1242/jeb.00853" TargetMode="External" /><Relationship Type="http://schemas.openxmlformats.org/officeDocument/2006/relationships/hyperlink" Id="rId110" Target="https://doi.org/10.1641/B570206" TargetMode="External" /><Relationship Type="http://schemas.openxmlformats.org/officeDocument/2006/relationships/hyperlink" Id="rId136" Target="https://doi.org/10.2193/2008-524" TargetMode="External" /><Relationship Type="http://schemas.openxmlformats.org/officeDocument/2006/relationships/hyperlink" Id="rId104" Target="https://doi.org/10.2307/1311967" TargetMode="External" /><Relationship Type="http://schemas.openxmlformats.org/officeDocument/2006/relationships/hyperlink" Id="rId117" Target="https://doi.org/10.2307/1936182" TargetMode="External" /><Relationship Type="http://schemas.openxmlformats.org/officeDocument/2006/relationships/hyperlink" Id="rId153" Target="https://doi.org/10.31219/osf.io/fzqxv" TargetMode="External" /><Relationship Type="http://schemas.openxmlformats.org/officeDocument/2006/relationships/hyperlink" Id="rId175" Target="https://doi.org/10.3389/fevo.2020.00078" TargetMode="External" /><Relationship Type="http://schemas.openxmlformats.org/officeDocument/2006/relationships/hyperlink" Id="rId89" Target="https://doi.org/10.3389/fevo.2020.00111" TargetMode="External" /><Relationship Type="http://schemas.openxmlformats.org/officeDocument/2006/relationships/hyperlink" Id="rId95"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movement trends of Interior Population Trumpeter Swans decades after reintroduction from migratory and non-migratory populations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2023-12-19T21:06:42Z</dcterms:created>
  <dcterms:modified xsi:type="dcterms:W3CDTF">2023-12-19T21:06:42Z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19 December,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