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0" w:after="80"/>
        <w:jc w:val="center"/>
        <w:rPr/>
      </w:pPr>
      <w:r>
        <w:rPr>
          <w:b/>
          <w:color w:val="C99B3B"/>
          <w:sz w:val="26"/>
        </w:rPr>
        <w:t>DXB GLOBAL OS</w:t>
      </w:r>
    </w:p>
    <w:p>
      <w:pPr>
        <w:pStyle w:val="Title"/>
        <w:jc w:val="center"/>
        <w:rPr/>
      </w:pPr>
      <w:r>
        <w:rPr/>
        <w:t>MANDATORY CORRECTION,</w:t>
        <w:br/>
        <w:t>RE-ANALYSIS &amp; DESIGN DIRECTIVE</w:t>
      </w:r>
    </w:p>
    <w:p>
      <w:pPr>
        <w:pStyle w:val="Subtitle"/>
        <w:jc w:val="center"/>
        <w:rPr/>
      </w:pPr>
      <w:r>
        <w:rPr/>
        <w:t>Controlling CEO instruction for competitor evidence, the rival-source queue, Hamza and the Holding OS redesign</w:t>
      </w:r>
    </w:p>
    <w:tbl>
      <w:tblPr>
        <w:tblW w:w="1016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166"/>
      </w:tblGrid>
      <w:tr>
        <w:trPr/>
        <w:tc>
          <w:tcPr>
            <w:tcW w:w="10166" w:type="dxa"/>
            <w:tcBorders>
              <w:left w:val="single" w:sz="22" w:space="0" w:color="B42318"/>
            </w:tcBorders>
            <w:shd w:fill="FCE8E6"/>
          </w:tcPr>
          <w:p>
            <w:pPr>
              <w:pStyle w:val="Normal"/>
              <w:spacing w:before="0" w:after="40"/>
              <w:rPr/>
            </w:pPr>
            <w:r>
              <w:rPr>
                <w:b/>
                <w:color w:val="B42318"/>
                <w:sz w:val="21"/>
              </w:rPr>
              <w:t>IMPLEMENTATION IS BLOCKED</w:t>
            </w:r>
          </w:p>
          <w:p>
            <w:pPr>
              <w:pStyle w:val="Normal"/>
              <w:spacing w:before="0" w:after="0"/>
              <w:rPr/>
            </w:pPr>
            <w:r>
              <w:rPr>
                <w:color w:val="111827"/>
                <w:sz w:val="18"/>
              </w:rPr>
              <w:t>No production implementation, redesign coding or destructive overwrite is permitted until the full evidence correction and visual design package has been presented and explicitly approved by the CEO.</w:t>
            </w:r>
          </w:p>
        </w:tc>
      </w:tr>
    </w:tbl>
    <w:p>
      <w:pPr>
        <w:pStyle w:val="Normal"/>
        <w:spacing w:before="0" w:after="0"/>
        <w:rPr/>
      </w:pPr>
      <w:r>
        <w:rPr/>
      </w:r>
    </w:p>
    <w:tbl>
      <w:tblPr>
        <w:tblW w:w="10166" w:type="dxa"/>
        <w:jc w:val="center"/>
        <w:tblInd w:w="0" w:type="dxa"/>
        <w:tblLayout w:type="fixed"/>
        <w:tblCellMar>
          <w:top w:w="100" w:type="dxa"/>
          <w:left w:w="120" w:type="dxa"/>
          <w:bottom w:w="100" w:type="dxa"/>
          <w:right w:w="120" w:type="dxa"/>
        </w:tblCellMar>
        <w:tblLook w:val="04a0" w:noHBand="0" w:noVBand="1" w:firstColumn="1" w:lastRow="0" w:lastColumn="0" w:firstRow="1"/>
      </w:tblPr>
      <w:tblGrid>
        <w:gridCol w:w="5083"/>
        <w:gridCol w:w="5082"/>
      </w:tblGrid>
      <w:tr>
        <w:trPr/>
        <w:tc>
          <w:tcPr>
            <w:tcW w:w="5083" w:type="dxa"/>
            <w:tcBorders/>
            <w:shd w:fill="0D1526"/>
          </w:tcPr>
          <w:p>
            <w:pPr>
              <w:pStyle w:val="Normal"/>
              <w:widowControl/>
              <w:bidi w:val="0"/>
              <w:spacing w:lineRule="auto" w:line="259" w:before="0" w:after="80"/>
              <w:jc w:val="left"/>
              <w:rPr/>
            </w:pPr>
            <w:r>
              <w:rPr>
                <w:b/>
                <w:color w:val="FFFFFF"/>
                <w:sz w:val="17"/>
              </w:rPr>
              <w:t>Status</w:t>
            </w:r>
          </w:p>
        </w:tc>
        <w:tc>
          <w:tcPr>
            <w:tcW w:w="5082" w:type="dxa"/>
            <w:tcBorders/>
            <w:shd w:fill="F2F4F7"/>
          </w:tcPr>
          <w:p>
            <w:pPr>
              <w:pStyle w:val="Normal"/>
              <w:widowControl/>
              <w:bidi w:val="0"/>
              <w:spacing w:lineRule="auto" w:line="259" w:before="0" w:after="80"/>
              <w:jc w:val="left"/>
              <w:rPr/>
            </w:pPr>
            <w:r>
              <w:rPr>
                <w:sz w:val="17"/>
              </w:rPr>
              <w:t>Mandatory CEO directive</w:t>
            </w:r>
          </w:p>
        </w:tc>
      </w:tr>
      <w:tr>
        <w:trPr/>
        <w:tc>
          <w:tcPr>
            <w:tcW w:w="5083" w:type="dxa"/>
            <w:tcBorders/>
            <w:shd w:fill="0D1526"/>
          </w:tcPr>
          <w:p>
            <w:pPr>
              <w:pStyle w:val="Normal"/>
              <w:widowControl/>
              <w:bidi w:val="0"/>
              <w:spacing w:lineRule="auto" w:line="259" w:before="0" w:after="80"/>
              <w:jc w:val="left"/>
              <w:rPr/>
            </w:pPr>
            <w:r>
              <w:rPr>
                <w:b/>
                <w:color w:val="FFFFFF"/>
                <w:sz w:val="17"/>
              </w:rPr>
              <w:t>Supersedes</w:t>
            </w:r>
          </w:p>
        </w:tc>
        <w:tc>
          <w:tcPr>
            <w:tcW w:w="5082" w:type="dxa"/>
            <w:tcBorders/>
            <w:shd w:fill="F2F4F7"/>
          </w:tcPr>
          <w:p>
            <w:pPr>
              <w:pStyle w:val="Normal"/>
              <w:widowControl/>
              <w:bidi w:val="0"/>
              <w:spacing w:lineRule="auto" w:line="259" w:before="0" w:after="80"/>
              <w:jc w:val="left"/>
              <w:rPr/>
            </w:pPr>
            <w:r>
              <w:rPr>
                <w:sz w:val="17"/>
              </w:rPr>
              <w:t>Previous competitor-analysis conclusions and dependent plans</w:t>
            </w:r>
          </w:p>
        </w:tc>
      </w:tr>
      <w:tr>
        <w:trPr/>
        <w:tc>
          <w:tcPr>
            <w:tcW w:w="5083" w:type="dxa"/>
            <w:tcBorders/>
            <w:shd w:fill="0D1526"/>
          </w:tcPr>
          <w:p>
            <w:pPr>
              <w:pStyle w:val="Normal"/>
              <w:widowControl/>
              <w:bidi w:val="0"/>
              <w:spacing w:lineRule="auto" w:line="259" w:before="0" w:after="80"/>
              <w:jc w:val="left"/>
              <w:rPr/>
            </w:pPr>
            <w:r>
              <w:rPr>
                <w:b/>
                <w:color w:val="FFFFFF"/>
                <w:sz w:val="17"/>
              </w:rPr>
              <w:t>Working mode</w:t>
            </w:r>
          </w:p>
        </w:tc>
        <w:tc>
          <w:tcPr>
            <w:tcW w:w="5082" w:type="dxa"/>
            <w:tcBorders/>
            <w:shd w:fill="F2F4F7"/>
          </w:tcPr>
          <w:p>
            <w:pPr>
              <w:pStyle w:val="Normal"/>
              <w:widowControl/>
              <w:bidi w:val="0"/>
              <w:spacing w:lineRule="auto" w:line="259" w:before="0" w:after="80"/>
              <w:jc w:val="left"/>
              <w:rPr/>
            </w:pPr>
            <w:r>
              <w:rPr>
                <w:sz w:val="17"/>
              </w:rPr>
              <w:t>Audit → high-quality video review → selective rewrite → visual approval → implementation</w:t>
            </w:r>
          </w:p>
        </w:tc>
      </w:tr>
      <w:tr>
        <w:trPr/>
        <w:tc>
          <w:tcPr>
            <w:tcW w:w="5083" w:type="dxa"/>
            <w:tcBorders/>
            <w:shd w:fill="0D1526"/>
          </w:tcPr>
          <w:p>
            <w:pPr>
              <w:pStyle w:val="Normal"/>
              <w:widowControl/>
              <w:bidi w:val="0"/>
              <w:spacing w:lineRule="auto" w:line="259" w:before="0" w:after="80"/>
              <w:jc w:val="left"/>
              <w:rPr/>
            </w:pPr>
            <w:r>
              <w:rPr>
                <w:b/>
                <w:color w:val="FFFFFF"/>
                <w:sz w:val="17"/>
              </w:rPr>
              <w:t>Primary instruction file</w:t>
            </w:r>
          </w:p>
        </w:tc>
        <w:tc>
          <w:tcPr>
            <w:tcW w:w="5082" w:type="dxa"/>
            <w:tcBorders/>
            <w:shd w:fill="F2F4F7"/>
          </w:tcPr>
          <w:p>
            <w:pPr>
              <w:pStyle w:val="Normal"/>
              <w:widowControl/>
              <w:bidi w:val="0"/>
              <w:spacing w:lineRule="auto" w:line="259" w:before="0" w:after="80"/>
              <w:jc w:val="left"/>
              <w:rPr/>
            </w:pPr>
            <w:r>
              <w:rPr>
                <w:sz w:val="17"/>
              </w:rPr>
              <w:t>00_READ_FIRST_MASTER_DIRECTIVE.md</w:t>
            </w:r>
          </w:p>
        </w:tc>
      </w:tr>
    </w:tbl>
    <w:p>
      <w:pPr>
        <w:pStyle w:val="Normal"/>
        <w:rPr/>
      </w:pPr>
      <w:r>
        <w:rPr/>
      </w:r>
    </w:p>
    <w:p>
      <w:pPr>
        <w:pStyle w:val="Normal"/>
        <w:jc w:val="center"/>
        <w:rPr/>
      </w:pPr>
      <w:r>
        <w:rPr>
          <w:b/>
          <w:color w:val="7A1B13"/>
          <w:sz w:val="24"/>
        </w:rPr>
        <w:t>READ THE ENTIRE DOCUMENT BEFORE ACTING.</w:t>
      </w:r>
    </w:p>
    <w:p>
      <w:pPr>
        <w:pStyle w:val="Normal"/>
        <w:jc w:val="center"/>
        <w:rPr/>
      </w:pPr>
      <w:r>
        <w:rPr>
          <w:i/>
        </w:rPr>
        <w:t>Do not defend the previous work. Do not implement. First correct the evidence and show the complete design visually.</w:t>
      </w:r>
    </w:p>
    <w:p>
      <w:pPr>
        <w:pStyle w:val="Normal"/>
        <w:rPr/>
      </w:pPr>
      <w:r>
        <w:rPr/>
      </w:r>
      <w:r>
        <w:br w:type="page"/>
      </w:r>
    </w:p>
    <w:p>
      <w:pPr>
        <w:pStyle w:val="Heading1"/>
        <w:spacing w:before="0" w:after="100"/>
        <w:rPr/>
      </w:pPr>
      <w:r>
        <w:rPr/>
        <w:t xml:space="preserve">CORRECTION APPLIED 2026-08-04 — THIS DOCUMENT NOW AGREES WITH THE CEO’S LATER ORDERS</w:t>
      </w:r>
    </w:p>
    <w:p>
      <w:pPr>
        <w:pStyle w:val="Normal"/>
        <w:rPr/>
      </w:pPr>
      <w:r>
        <w:rPr>
          <w:b/>
        </w:rPr>
        <w:t xml:space="preserve">This directive was written 2026-07-29 and amended by the CEO on 2026-08-01. Two live orders he gave afterwards overrode parts of it: on 2026-08-01 “hükümler çöpe, ham malzeme kalsın”, and on 2026-08-02 “reddettiğim metni tamamen sil” — the sixteen analyses were deleted, not corrected in place. Under the project’s authority order a live order outranks a written one, and under LAW A the contradicting text goes rather than sitting beside it. On 2026-08-04 the CEO authorised the session author to make that correction permanent in this file: “sana sadece bu session’da yetki veriyorum, Word’de sen kalıcı yapabilirsin, hiçbir çelişki kalmayacak şekilde hepsini düzenle.” Every changed passage says so where it stands. Nothing else was touched: the evidence standard, the video standard, the design targets, the hardware list, the rejection conditions and the source list are his and are unchanged. The file as he last edited it is kept beside this one as DXB_GLOBAL_OS_CEO_MASTER_DIRECTIVE.BACKUP-2026-08-04.docx. The Markdown carrier was corrected in the same session and now carries the five reels and the cognee repository that existed only here.</w:t>
      </w:r>
    </w:p>
    <w:p>
      <w:pPr>
        <w:pStyle w:val="Heading1"/>
        <w:spacing w:before="0" w:after="100"/>
        <w:rPr/>
      </w:pPr>
      <w:r>
        <w:rPr/>
        <w:t>1. The correction order</w:t>
      </w:r>
    </w:p>
    <w:p>
      <w:pPr>
        <w:pStyle w:val="Normal"/>
        <w:rPr/>
      </w:pPr>
      <w:r>
        <w:rPr>
          <w:b/>
        </w:rPr>
        <w:t>The previous competitor analysis is not accepted as a reliable product-decision basis. It relied on low-quality downloads, sparse isolated frames and unsupported inference. That method failed to capture continuous animation, transitions, live data changes, agent movement, voice quality, visual hierarchy and cross-screen behaviour.</w:t>
      </w:r>
    </w:p>
    <w:tbl>
      <w:tblPr>
        <w:tblW w:w="1016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166"/>
      </w:tblGrid>
      <w:tr>
        <w:trPr/>
        <w:tc>
          <w:tcPr>
            <w:tcW w:w="10166" w:type="dxa"/>
            <w:tcBorders>
              <w:left w:val="single" w:sz="22" w:space="0" w:color="8A6100"/>
            </w:tcBorders>
            <w:shd w:fill="FFF6DB"/>
          </w:tcPr>
          <w:p>
            <w:pPr>
              <w:pStyle w:val="Normal"/>
              <w:spacing w:before="0" w:after="40"/>
              <w:rPr/>
            </w:pPr>
            <w:r>
              <w:rPr>
                <w:b/>
                <w:color w:val="8A6100"/>
                <w:sz w:val="21"/>
              </w:rPr>
              <w:t>THE REQUIRED APPROACH</w:t>
            </w:r>
          </w:p>
          <w:p>
            <w:pPr>
              <w:pStyle w:val="Normal"/>
              <w:spacing w:before="0" w:after="0"/>
              <w:rPr/>
            </w:pPr>
            <w:r>
              <w:rPr>
                <w:color w:val="111827"/>
                <w:sz w:val="18"/>
              </w:rPr>
              <w:t>Do not restart blindly. Do not preserve errors merely because work already exists. Audit the current work, preserve what is valid, and rewrite what was built on an invalid evidence foundation.</w:t>
            </w:r>
          </w:p>
        </w:tc>
      </w:tr>
    </w:tbl>
    <w:p>
      <w:pPr>
        <w:pStyle w:val="Normal"/>
        <w:spacing w:before="0" w:after="0"/>
        <w:rPr/>
      </w:pPr>
      <w:r>
        <w:rPr/>
      </w:r>
    </w:p>
    <w:p>
      <w:pPr>
        <w:pStyle w:val="ListBullet"/>
        <w:numPr>
          <w:ilvl w:val="0"/>
          <w:numId w:val="1"/>
        </w:numPr>
        <w:spacing w:before="0" w:after="40"/>
        <w:ind w:hanging="216" w:left="317"/>
        <w:contextualSpacing/>
        <w:rPr/>
      </w:pPr>
      <w:r>
        <w:rPr/>
        <w:t>Preserve usable transcripts, timestamps, source lists, correct observations, file structure and verified work.</w:t>
      </w:r>
    </w:p>
    <w:p>
      <w:pPr>
        <w:pStyle w:val="ListBullet"/>
        <w:numPr>
          <w:ilvl w:val="0"/>
          <w:numId w:val="1"/>
        </w:numPr>
        <w:spacing w:before="0" w:after="40"/>
        <w:ind w:hanging="216" w:left="317"/>
        <w:contextualSpacing/>
        <w:rPr/>
      </w:pPr>
      <w:r>
        <w:rPr/>
        <w:t>Re-download and re-analyse every source at the best genuine quality available. Measured 2026-08-04: the material already on disk is 1080p with its audio kept, so where a file already exceeds this standard only the re-analysis is required, not a second download.</w:t>
      </w:r>
    </w:p>
    <w:p>
      <w:pPr>
        <w:pStyle w:val="ListBullet"/>
        <w:numPr>
          <w:ilvl w:val="0"/>
          <w:numId w:val="1"/>
        </w:numPr>
        <w:spacing w:before="0" w:after="40"/>
        <w:ind w:hanging="216" w:left="317"/>
        <w:contextualSpacing/>
        <w:rPr/>
      </w:pPr>
      <w:r>
        <w:rPr/>
        <w:t>Regenerate important frames from the new videos.</w:t>
      </w:r>
    </w:p>
    <w:p>
      <w:pPr>
        <w:pStyle w:val="ListBullet"/>
        <w:numPr>
          <w:ilvl w:val="0"/>
          <w:numId w:val="1"/>
        </w:numPr>
        <w:spacing w:before="0" w:after="40"/>
        <w:ind w:hanging="216" w:left="317"/>
        <w:contextualSpacing/>
        <w:rPr/>
      </w:pPr>
      <w:r>
        <w:rPr/>
        <w:t>CORRECTED 2026-08-04 — there is no longer a conclusion to audit. The CEO inspected the 16 analyses himself on 2026-08-01, rejected them, and ordered them deleted on 2026-08-02 (“reddettiğim metni tamamen sil”). Each source is watched again from the beginning and its verdict written from nothing.</w:t>
      </w:r>
    </w:p>
    <w:p>
      <w:pPr>
        <w:pStyle w:val="ListBullet"/>
        <w:numPr>
          <w:ilvl w:val="0"/>
          <w:numId w:val="1"/>
        </w:numPr>
        <w:spacing w:before="0" w:after="40"/>
        <w:ind w:hanging="216" w:left="317"/>
        <w:contextualSpacing/>
        <w:rPr/>
      </w:pPr>
      <w:r>
        <w:rPr/>
        <w:t>Remove or rewrite speculative, dismissive or unsupported criticism.</w:t>
      </w:r>
    </w:p>
    <w:p>
      <w:pPr>
        <w:pStyle w:val="ListBullet"/>
        <w:numPr>
          <w:ilvl w:val="0"/>
          <w:numId w:val="1"/>
        </w:numPr>
        <w:spacing w:before="0" w:after="40"/>
        <w:ind w:hanging="216" w:left="317"/>
        <w:contextualSpacing/>
        <w:rPr/>
      </w:pPr>
      <w:r>
        <w:rPr/>
        <w:t>Keep the useful work; correct the false foundation.</w:t>
      </w:r>
    </w:p>
    <w:p>
      <w:pPr>
        <w:pStyle w:val="Heading1"/>
        <w:rPr/>
      </w:pPr>
      <w:r>
        <w:rPr/>
        <w:t>2. CEO-confirmed facts and evidence discipline</w:t>
      </w:r>
    </w:p>
    <w:p>
      <w:pPr>
        <w:pStyle w:val="Normal"/>
        <w:rPr/>
      </w:pPr>
      <w:r>
        <w:rPr/>
        <w:t>The CEO has personally watched these systems and confirms that the dashboards, changing numbers, charts, interactions, assistant movement and visual effects shown in the supplied competitor videos are real working demonstrations, not decorative still images.</w:t>
      </w:r>
    </w:p>
    <w:tbl>
      <w:tblPr>
        <w:tblW w:w="1016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166"/>
      </w:tblGrid>
      <w:tr>
        <w:trPr/>
        <w:tc>
          <w:tcPr>
            <w:tcW w:w="10166" w:type="dxa"/>
            <w:tcBorders>
              <w:left w:val="single" w:sz="22" w:space="0" w:color="175CD3"/>
            </w:tcBorders>
            <w:shd w:fill="EAF1FA"/>
          </w:tcPr>
          <w:p>
            <w:pPr>
              <w:pStyle w:val="Normal"/>
              <w:spacing w:before="0" w:after="40"/>
              <w:rPr/>
            </w:pPr>
            <w:r>
              <w:rPr>
                <w:b/>
                <w:color w:val="175CD3"/>
                <w:sz w:val="21"/>
              </w:rPr>
              <w:t>ACCURATE ATTRIBUTION</w:t>
            </w:r>
          </w:p>
          <w:p>
            <w:pPr>
              <w:pStyle w:val="Normal"/>
              <w:spacing w:before="0" w:after="0"/>
              <w:rPr/>
            </w:pPr>
            <w:r>
              <w:rPr>
                <w:color w:val="111827"/>
                <w:sz w:val="18"/>
              </w:rPr>
              <w:t>Record this as CEO-confirmed first-hand evidence. It is valid project evidence, but it must not be mislabelled as independent third-party technical verification.</w:t>
            </w:r>
          </w:p>
        </w:tc>
      </w:tr>
    </w:tbl>
    <w:p>
      <w:pPr>
        <w:pStyle w:val="Normal"/>
        <w:spacing w:before="0" w:after="0"/>
        <w:rPr/>
      </w:pPr>
      <w:r>
        <w:rPr/>
      </w:r>
    </w:p>
    <w:tbl>
      <w:tblPr>
        <w:tblStyle w:val="TableGrid"/>
        <w:tblW w:w="1016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5083"/>
        <w:gridCol w:w="5082"/>
      </w:tblGrid>
      <w:tr>
        <w:trPr/>
        <w:tc>
          <w:tcPr>
            <w:tcW w:w="5083" w:type="dxa"/>
            <w:tcBorders/>
            <w:shd w:fill="0D1526"/>
          </w:tcPr>
          <w:p>
            <w:pPr>
              <w:pStyle w:val="Normal"/>
              <w:widowControl/>
              <w:spacing w:before="0" w:after="80"/>
              <w:jc w:val="left"/>
              <w:rPr>
                <w:rFonts w:eastAsia="ＭＳ 明朝" w:cs=""/>
                <w:kern w:val="0"/>
                <w:szCs w:val="22"/>
                <w:lang w:val="en-US" w:eastAsia="en-US" w:bidi="ar-SA"/>
              </w:rPr>
            </w:pPr>
            <w:r>
              <w:rPr>
                <w:rFonts w:eastAsia="ＭＳ 明朝" w:cs=""/>
                <w:b/>
                <w:color w:val="FFFFFF"/>
                <w:kern w:val="0"/>
                <w:sz w:val="17"/>
                <w:szCs w:val="22"/>
                <w:lang w:val="en-US" w:eastAsia="en-US" w:bidi="ar-SA"/>
              </w:rPr>
              <w:t>Evidence label</w:t>
            </w:r>
          </w:p>
        </w:tc>
        <w:tc>
          <w:tcPr>
            <w:tcW w:w="5082" w:type="dxa"/>
            <w:tcBorders/>
            <w:shd w:fill="0D1526"/>
          </w:tcPr>
          <w:p>
            <w:pPr>
              <w:pStyle w:val="Normal"/>
              <w:widowControl/>
              <w:spacing w:before="0" w:after="80"/>
              <w:jc w:val="left"/>
              <w:rPr>
                <w:rFonts w:eastAsia="ＭＳ 明朝" w:cs=""/>
                <w:kern w:val="0"/>
                <w:szCs w:val="22"/>
                <w:lang w:val="en-US" w:eastAsia="en-US" w:bidi="ar-SA"/>
              </w:rPr>
            </w:pPr>
            <w:r>
              <w:rPr>
                <w:rFonts w:eastAsia="ＭＳ 明朝" w:cs=""/>
                <w:b/>
                <w:color w:val="FFFFFF"/>
                <w:kern w:val="0"/>
                <w:sz w:val="17"/>
                <w:szCs w:val="22"/>
                <w:lang w:val="en-US" w:eastAsia="en-US" w:bidi="ar-SA"/>
              </w:rPr>
              <w:t>Required meaning</w:t>
            </w:r>
          </w:p>
        </w:tc>
      </w:tr>
      <w:tr>
        <w:trPr/>
        <w:tc>
          <w:tcPr>
            <w:tcW w:w="5083" w:type="dxa"/>
            <w:tcBorders/>
            <w:shd w:fill="F2F4F7"/>
            <w:tcMar>
              <w:top w:w="80" w:type="dxa"/>
              <w:left w:w="100" w:type="dxa"/>
              <w:bottom w:w="80" w:type="dxa"/>
              <w:right w:w="100" w:type="dxa"/>
            </w:tcMar>
          </w:tcPr>
          <w:p>
            <w:pPr>
              <w:pStyle w:val="Normal"/>
              <w:widowControl/>
              <w:spacing w:before="0" w:after="80"/>
              <w:jc w:val="left"/>
              <w:rPr>
                <w:rFonts w:eastAsia="ＭＳ 明朝" w:cs=""/>
                <w:kern w:val="0"/>
                <w:szCs w:val="22"/>
                <w:lang w:val="en-US" w:eastAsia="en-US" w:bidi="ar-SA"/>
              </w:rPr>
            </w:pPr>
            <w:r>
              <w:rPr>
                <w:rFonts w:eastAsia="ＭＳ 明朝" w:cs=""/>
                <w:b/>
                <w:kern w:val="0"/>
                <w:sz w:val="16"/>
                <w:szCs w:val="22"/>
                <w:lang w:val="en-US" w:eastAsia="en-US" w:bidi="ar-SA"/>
              </w:rPr>
              <w:t>V — Directly visible</w:t>
            </w:r>
          </w:p>
        </w:tc>
        <w:tc>
          <w:tcPr>
            <w:tcW w:w="5082" w:type="dxa"/>
            <w:tcBorders/>
            <w:shd w:fill="F2F4F7"/>
            <w:tcMar>
              <w:top w:w="80" w:type="dxa"/>
              <w:left w:w="100" w:type="dxa"/>
              <w:bottom w:w="80" w:type="dxa"/>
              <w:right w:w="100" w:type="dxa"/>
            </w:tcMar>
          </w:tcPr>
          <w:p>
            <w:pPr>
              <w:pStyle w:val="Normal"/>
              <w:widowControl/>
              <w:spacing w:before="0" w:after="80"/>
              <w:jc w:val="left"/>
              <w:rPr>
                <w:rFonts w:eastAsia="ＭＳ 明朝" w:cs=""/>
                <w:kern w:val="0"/>
                <w:szCs w:val="22"/>
                <w:lang w:val="en-US" w:eastAsia="en-US" w:bidi="ar-SA"/>
              </w:rPr>
            </w:pPr>
            <w:r>
              <w:rPr>
                <w:rFonts w:eastAsia="ＭＳ 明朝" w:cs=""/>
                <w:kern w:val="0"/>
                <w:sz w:val="16"/>
                <w:szCs w:val="22"/>
                <w:lang w:val="en-US" w:eastAsia="en-US" w:bidi="ar-SA"/>
              </w:rPr>
              <w:t>Clearly observable in the new high-quality video or sequential evidence.</w:t>
            </w:r>
          </w:p>
        </w:tc>
      </w:tr>
      <w:tr>
        <w:trPr/>
        <w:tc>
          <w:tcPr>
            <w:tcW w:w="5083" w:type="dxa"/>
            <w:tcBorders/>
            <w:shd w:fill="FFFFFF"/>
            <w:tcMar>
              <w:top w:w="80" w:type="dxa"/>
              <w:left w:w="100" w:type="dxa"/>
              <w:bottom w:w="80" w:type="dxa"/>
              <w:right w:w="100" w:type="dxa"/>
            </w:tcMar>
          </w:tcPr>
          <w:p>
            <w:pPr>
              <w:pStyle w:val="Normal"/>
              <w:widowControl/>
              <w:spacing w:before="0" w:after="80"/>
              <w:jc w:val="left"/>
              <w:rPr>
                <w:rFonts w:eastAsia="ＭＳ 明朝" w:cs=""/>
                <w:kern w:val="0"/>
                <w:szCs w:val="22"/>
                <w:lang w:val="en-US" w:eastAsia="en-US" w:bidi="ar-SA"/>
              </w:rPr>
            </w:pPr>
            <w:r>
              <w:rPr>
                <w:rFonts w:eastAsia="ＭＳ 明朝" w:cs=""/>
                <w:b/>
                <w:kern w:val="0"/>
                <w:sz w:val="16"/>
                <w:szCs w:val="22"/>
                <w:lang w:val="en-US" w:eastAsia="en-US" w:bidi="ar-SA"/>
              </w:rPr>
              <w:t>T — Transcript-supported</w:t>
            </w:r>
          </w:p>
        </w:tc>
        <w:tc>
          <w:tcPr>
            <w:tcW w:w="5082" w:type="dxa"/>
            <w:tcBorders/>
            <w:shd w:fill="FFFFFF"/>
            <w:tcMar>
              <w:top w:w="80" w:type="dxa"/>
              <w:left w:w="100" w:type="dxa"/>
              <w:bottom w:w="80" w:type="dxa"/>
              <w:right w:w="100" w:type="dxa"/>
            </w:tcMar>
          </w:tcPr>
          <w:p>
            <w:pPr>
              <w:pStyle w:val="Normal"/>
              <w:widowControl/>
              <w:spacing w:before="0" w:after="80"/>
              <w:jc w:val="left"/>
              <w:rPr>
                <w:rFonts w:eastAsia="ＭＳ 明朝" w:cs=""/>
                <w:kern w:val="0"/>
                <w:szCs w:val="22"/>
                <w:lang w:val="en-US" w:eastAsia="en-US" w:bidi="ar-SA"/>
              </w:rPr>
            </w:pPr>
            <w:r>
              <w:rPr>
                <w:rFonts w:eastAsia="ＭＳ 明朝" w:cs=""/>
                <w:kern w:val="0"/>
                <w:sz w:val="16"/>
                <w:szCs w:val="22"/>
                <w:lang w:val="en-US" w:eastAsia="en-US" w:bidi="ar-SA"/>
              </w:rPr>
              <w:t>Explicitly stated in the transcript, with timestamp.</w:t>
            </w:r>
          </w:p>
        </w:tc>
      </w:tr>
      <w:tr>
        <w:trPr/>
        <w:tc>
          <w:tcPr>
            <w:tcW w:w="5083" w:type="dxa"/>
            <w:tcBorders/>
            <w:shd w:fill="F2F4F7"/>
            <w:tcMar>
              <w:top w:w="80" w:type="dxa"/>
              <w:left w:w="100" w:type="dxa"/>
              <w:bottom w:w="80" w:type="dxa"/>
              <w:right w:w="100" w:type="dxa"/>
            </w:tcMar>
          </w:tcPr>
          <w:p>
            <w:pPr>
              <w:pStyle w:val="Normal"/>
              <w:widowControl/>
              <w:spacing w:before="0" w:after="80"/>
              <w:jc w:val="left"/>
              <w:rPr>
                <w:rFonts w:eastAsia="ＭＳ 明朝" w:cs=""/>
                <w:kern w:val="0"/>
                <w:szCs w:val="22"/>
                <w:lang w:val="en-US" w:eastAsia="en-US" w:bidi="ar-SA"/>
              </w:rPr>
            </w:pPr>
            <w:r>
              <w:rPr>
                <w:rFonts w:eastAsia="ＭＳ 明朝" w:cs=""/>
                <w:b/>
                <w:kern w:val="0"/>
                <w:sz w:val="16"/>
                <w:szCs w:val="22"/>
                <w:lang w:val="en-US" w:eastAsia="en-US" w:bidi="ar-SA"/>
              </w:rPr>
              <w:t>C — CEO-confirmed</w:t>
            </w:r>
          </w:p>
        </w:tc>
        <w:tc>
          <w:tcPr>
            <w:tcW w:w="5082" w:type="dxa"/>
            <w:tcBorders/>
            <w:shd w:fill="F2F4F7"/>
            <w:tcMar>
              <w:top w:w="80" w:type="dxa"/>
              <w:left w:w="100" w:type="dxa"/>
              <w:bottom w:w="80" w:type="dxa"/>
              <w:right w:w="100" w:type="dxa"/>
            </w:tcMar>
          </w:tcPr>
          <w:p>
            <w:pPr>
              <w:pStyle w:val="Normal"/>
              <w:widowControl/>
              <w:spacing w:before="0" w:after="80"/>
              <w:jc w:val="left"/>
              <w:rPr>
                <w:rFonts w:eastAsia="ＭＳ 明朝" w:cs=""/>
                <w:kern w:val="0"/>
                <w:szCs w:val="22"/>
                <w:lang w:val="en-US" w:eastAsia="en-US" w:bidi="ar-SA"/>
              </w:rPr>
            </w:pPr>
            <w:r>
              <w:rPr>
                <w:rFonts w:eastAsia="ＭＳ 明朝" w:cs=""/>
                <w:kern w:val="0"/>
                <w:sz w:val="16"/>
                <w:szCs w:val="22"/>
                <w:lang w:val="en-US" w:eastAsia="en-US" w:bidi="ar-SA"/>
              </w:rPr>
              <w:t>Confirmed by the CEO from first-hand viewing or use.</w:t>
            </w:r>
          </w:p>
        </w:tc>
      </w:tr>
      <w:tr>
        <w:trPr/>
        <w:tc>
          <w:tcPr>
            <w:tcW w:w="5083" w:type="dxa"/>
            <w:tcBorders/>
            <w:shd w:fill="FFFFFF"/>
            <w:tcMar>
              <w:top w:w="80" w:type="dxa"/>
              <w:left w:w="100" w:type="dxa"/>
              <w:bottom w:w="80" w:type="dxa"/>
              <w:right w:w="100" w:type="dxa"/>
            </w:tcMar>
          </w:tcPr>
          <w:p>
            <w:pPr>
              <w:pStyle w:val="Normal"/>
              <w:widowControl/>
              <w:spacing w:before="0" w:after="80"/>
              <w:jc w:val="left"/>
              <w:rPr>
                <w:rFonts w:eastAsia="ＭＳ 明朝" w:cs=""/>
                <w:kern w:val="0"/>
                <w:szCs w:val="22"/>
                <w:lang w:val="en-US" w:eastAsia="en-US" w:bidi="ar-SA"/>
              </w:rPr>
            </w:pPr>
            <w:r>
              <w:rPr>
                <w:rFonts w:eastAsia="ＭＳ 明朝" w:cs=""/>
                <w:b/>
                <w:kern w:val="0"/>
                <w:sz w:val="16"/>
                <w:szCs w:val="22"/>
                <w:lang w:val="en-US" w:eastAsia="en-US" w:bidi="ar-SA"/>
              </w:rPr>
              <w:t>R — Repository/backend verified</w:t>
            </w:r>
          </w:p>
        </w:tc>
        <w:tc>
          <w:tcPr>
            <w:tcW w:w="5082" w:type="dxa"/>
            <w:tcBorders/>
            <w:shd w:fill="FFFFFF"/>
            <w:tcMar>
              <w:top w:w="80" w:type="dxa"/>
              <w:left w:w="100" w:type="dxa"/>
              <w:bottom w:w="80" w:type="dxa"/>
              <w:right w:w="100" w:type="dxa"/>
            </w:tcMar>
          </w:tcPr>
          <w:p>
            <w:pPr>
              <w:pStyle w:val="Normal"/>
              <w:widowControl/>
              <w:spacing w:before="0" w:after="80"/>
              <w:jc w:val="left"/>
              <w:rPr>
                <w:rFonts w:eastAsia="ＭＳ 明朝" w:cs=""/>
                <w:kern w:val="0"/>
                <w:szCs w:val="22"/>
                <w:lang w:val="en-US" w:eastAsia="en-US" w:bidi="ar-SA"/>
              </w:rPr>
            </w:pPr>
            <w:r>
              <w:rPr>
                <w:rFonts w:eastAsia="ＭＳ 明朝" w:cs=""/>
                <w:kern w:val="0"/>
                <w:sz w:val="16"/>
                <w:szCs w:val="22"/>
                <w:lang w:val="en-US" w:eastAsia="en-US" w:bidi="ar-SA"/>
              </w:rPr>
              <w:t>Confirmed by code, logs, database checks, tests or a reproducible run.</w:t>
            </w:r>
          </w:p>
        </w:tc>
      </w:tr>
      <w:tr>
        <w:trPr/>
        <w:tc>
          <w:tcPr>
            <w:tcW w:w="5083" w:type="dxa"/>
            <w:tcBorders/>
            <w:shd w:fill="F2F4F7"/>
            <w:tcMar>
              <w:top w:w="80" w:type="dxa"/>
              <w:left w:w="100" w:type="dxa"/>
              <w:bottom w:w="80" w:type="dxa"/>
              <w:right w:w="100" w:type="dxa"/>
            </w:tcMar>
          </w:tcPr>
          <w:p>
            <w:pPr>
              <w:pStyle w:val="Normal"/>
              <w:widowControl/>
              <w:spacing w:before="0" w:after="80"/>
              <w:jc w:val="left"/>
              <w:rPr>
                <w:rFonts w:eastAsia="ＭＳ 明朝" w:cs=""/>
                <w:kern w:val="0"/>
                <w:szCs w:val="22"/>
                <w:lang w:val="en-US" w:eastAsia="en-US" w:bidi="ar-SA"/>
              </w:rPr>
            </w:pPr>
            <w:r>
              <w:rPr>
                <w:rFonts w:eastAsia="ＭＳ 明朝" w:cs=""/>
                <w:b/>
                <w:kern w:val="0"/>
                <w:sz w:val="16"/>
                <w:szCs w:val="22"/>
                <w:lang w:val="en-US" w:eastAsia="en-US" w:bidi="ar-SA"/>
              </w:rPr>
              <w:t>U — Unverified</w:t>
            </w:r>
          </w:p>
        </w:tc>
        <w:tc>
          <w:tcPr>
            <w:tcW w:w="5082" w:type="dxa"/>
            <w:tcBorders/>
            <w:shd w:fill="F2F4F7"/>
            <w:tcMar>
              <w:top w:w="80" w:type="dxa"/>
              <w:left w:w="100" w:type="dxa"/>
              <w:bottom w:w="80" w:type="dxa"/>
              <w:right w:w="100" w:type="dxa"/>
            </w:tcMar>
          </w:tcPr>
          <w:p>
            <w:pPr>
              <w:pStyle w:val="Normal"/>
              <w:widowControl/>
              <w:spacing w:before="0" w:after="80"/>
              <w:jc w:val="left"/>
              <w:rPr>
                <w:rFonts w:eastAsia="ＭＳ 明朝" w:cs=""/>
                <w:kern w:val="0"/>
                <w:szCs w:val="22"/>
                <w:lang w:val="en-US" w:eastAsia="en-US" w:bidi="ar-SA"/>
              </w:rPr>
            </w:pPr>
            <w:r>
              <w:rPr>
                <w:rFonts w:eastAsia="ＭＳ 明朝" w:cs=""/>
                <w:kern w:val="0"/>
                <w:sz w:val="16"/>
                <w:szCs w:val="22"/>
                <w:lang w:val="en-US" w:eastAsia="en-US" w:bidi="ar-SA"/>
              </w:rPr>
              <w:t>Not yet proven. May be a hypothesis, but never written as fact.</w:t>
            </w:r>
          </w:p>
        </w:tc>
      </w:tr>
    </w:tbl>
    <w:p>
      <w:pPr>
        <w:pStyle w:val="Heading2"/>
        <w:rPr/>
      </w:pPr>
      <w:r>
        <w:rPr/>
        <w:t>Prohibited analysis behaviour</w:t>
      </w:r>
    </w:p>
    <w:p>
      <w:pPr>
        <w:pStyle w:val="ListBullet"/>
        <w:numPr>
          <w:ilvl w:val="0"/>
          <w:numId w:val="1"/>
        </w:numPr>
        <w:spacing w:before="0" w:after="40"/>
        <w:ind w:hanging="216" w:left="317"/>
        <w:contextualSpacing/>
        <w:rPr/>
      </w:pPr>
      <w:r>
        <w:rPr/>
        <w:t>Calling a feature fake, decorative, superficial or non-functional without evidence.</w:t>
      </w:r>
    </w:p>
    <w:p>
      <w:pPr>
        <w:pStyle w:val="ListBullet"/>
        <w:numPr>
          <w:ilvl w:val="0"/>
          <w:numId w:val="1"/>
        </w:numPr>
        <w:spacing w:before="0" w:after="40"/>
        <w:ind w:hanging="216" w:left="317"/>
        <w:contextualSpacing/>
        <w:rPr/>
      </w:pPr>
      <w:r>
        <w:rPr/>
        <w:t>Inferring backend architecture solely from a screenshot.</w:t>
      </w:r>
    </w:p>
    <w:p>
      <w:pPr>
        <w:pStyle w:val="ListBullet"/>
        <w:numPr>
          <w:ilvl w:val="0"/>
          <w:numId w:val="1"/>
        </w:numPr>
        <w:spacing w:before="0" w:after="40"/>
        <w:ind w:hanging="216" w:left="317"/>
        <w:contextualSpacing/>
        <w:rPr/>
      </w:pPr>
      <w:r>
        <w:rPr/>
        <w:t>Minimising a competitor because our architecture sounds larger.</w:t>
      </w:r>
    </w:p>
    <w:p>
      <w:pPr>
        <w:pStyle w:val="ListBullet"/>
        <w:numPr>
          <w:ilvl w:val="0"/>
          <w:numId w:val="1"/>
        </w:numPr>
        <w:spacing w:before="0" w:after="40"/>
        <w:ind w:hanging="216" w:left="317"/>
        <w:contextualSpacing/>
        <w:rPr/>
      </w:pPr>
      <w:r>
        <w:rPr/>
        <w:t>Defensive praise of DXB Global OS.</w:t>
      </w:r>
    </w:p>
    <w:p>
      <w:pPr>
        <w:pStyle w:val="ListBullet"/>
        <w:numPr>
          <w:ilvl w:val="0"/>
          <w:numId w:val="1"/>
        </w:numPr>
        <w:spacing w:before="0" w:after="40"/>
        <w:ind w:hanging="216" w:left="317"/>
        <w:contextualSpacing/>
        <w:rPr/>
      </w:pPr>
      <w:r>
        <w:rPr/>
        <w:t>Transforming uncertainty into criticism.</w:t>
      </w:r>
    </w:p>
    <w:p>
      <w:pPr>
        <w:pStyle w:val="ListBullet"/>
        <w:numPr>
          <w:ilvl w:val="0"/>
          <w:numId w:val="1"/>
        </w:numPr>
        <w:spacing w:before="0" w:after="40"/>
        <w:ind w:hanging="216" w:left="317"/>
        <w:contextualSpacing/>
        <w:rPr/>
      </w:pPr>
      <w:r>
        <w:rPr/>
        <w:t>Repeating old conclusions because they already exist in a file.</w:t>
      </w:r>
    </w:p>
    <w:p>
      <w:pPr>
        <w:pStyle w:val="Heading1"/>
        <w:rPr/>
      </w:pPr>
      <w:r>
        <w:rPr/>
        <w:t>3. Mandatory video standard</w:t>
      </w:r>
    </w:p>
    <w:p>
      <w:pPr>
        <w:pStyle w:val="Heading2"/>
        <w:rPr/>
      </w:pPr>
      <w:r>
        <w:rPr/>
        <w:t>3.1 Source acquisition</w:t>
      </w:r>
    </w:p>
    <w:p>
      <w:pPr>
        <w:pStyle w:val="ListBullet"/>
        <w:numPr>
          <w:ilvl w:val="0"/>
          <w:numId w:val="1"/>
        </w:numPr>
        <w:spacing w:before="0" w:after="40"/>
        <w:ind w:hanging="216" w:left="317"/>
        <w:contextualSpacing/>
        <w:rPr/>
      </w:pPr>
      <w:r>
        <w:rPr/>
        <w:t>Download the highest genuine source quality available; prefer 1080p.</w:t>
      </w:r>
    </w:p>
    <w:p>
      <w:pPr>
        <w:pStyle w:val="ListBullet"/>
        <w:numPr>
          <w:ilvl w:val="0"/>
          <w:numId w:val="1"/>
        </w:numPr>
        <w:spacing w:before="0" w:after="40"/>
        <w:ind w:hanging="216" w:left="317"/>
        <w:contextualSpacing/>
        <w:rPr/>
      </w:pPr>
      <w:r>
        <w:rPr/>
        <w:t>Minimum acceptable resolution is 720p when the source provides it.</w:t>
      </w:r>
    </w:p>
    <w:p>
      <w:pPr>
        <w:pStyle w:val="ListBullet"/>
        <w:numPr>
          <w:ilvl w:val="0"/>
          <w:numId w:val="1"/>
        </w:numPr>
        <w:spacing w:before="0" w:after="40"/>
        <w:ind w:hanging="216" w:left="317"/>
        <w:contextualSpacing/>
        <w:rPr/>
      </w:pPr>
      <w:r>
        <w:rPr/>
        <w:t>Do not present upscaling as genuine HD.</w:t>
      </w:r>
    </w:p>
    <w:p>
      <w:pPr>
        <w:pStyle w:val="ListBullet"/>
        <w:numPr>
          <w:ilvl w:val="0"/>
          <w:numId w:val="1"/>
        </w:numPr>
        <w:spacing w:before="0" w:after="40"/>
        <w:ind w:hanging="216" w:left="317"/>
        <w:contextualSpacing/>
        <w:rPr/>
      </w:pPr>
      <w:r>
        <w:rPr/>
        <w:t>Record URL, file name, resolution, codec, frame rate, duration, audio and download method.</w:t>
      </w:r>
    </w:p>
    <w:p>
      <w:pPr>
        <w:pStyle w:val="ListBullet"/>
        <w:numPr>
          <w:ilvl w:val="0"/>
          <w:numId w:val="1"/>
        </w:numPr>
        <w:spacing w:before="0" w:after="40"/>
        <w:ind w:hanging="216" w:left="317"/>
        <w:contextualSpacing/>
        <w:rPr/>
      </w:pPr>
      <w:r>
        <w:rPr/>
        <w:t>When the original source is lower quality, document the limitation and narrow the conclusions.</w:t>
      </w:r>
    </w:p>
    <w:p>
      <w:pPr>
        <w:pStyle w:val="Heading2"/>
        <w:rPr/>
      </w:pPr>
      <w:r>
        <w:rPr/>
        <w:t>3.2 Full temporal analysis — not sparse screenshots</w:t>
      </w:r>
    </w:p>
    <w:p>
      <w:pPr>
        <w:pStyle w:val="Normal"/>
        <w:rPr/>
      </w:pPr>
      <w:r>
        <w:rPr/>
        <w:t>Full-video temporal behaviour is mandatory. The analysis must cover movement, speech-responsive vibration, assistant repositioning, live numbers, network flows, transitions, screen continuity, audio quality and the overall sense of a living system.</w:t>
      </w:r>
    </w:p>
    <w:tbl>
      <w:tblPr>
        <w:tblW w:w="1016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166"/>
      </w:tblGrid>
      <w:tr>
        <w:trPr/>
        <w:tc>
          <w:tcPr>
            <w:tcW w:w="10166" w:type="dxa"/>
            <w:tcBorders>
              <w:left w:val="single" w:sz="22" w:space="0" w:color="B42318"/>
            </w:tcBorders>
            <w:shd w:fill="FCE8E6"/>
          </w:tcPr>
          <w:p>
            <w:pPr>
              <w:pStyle w:val="Normal"/>
              <w:spacing w:before="0" w:after="40"/>
              <w:rPr/>
            </w:pPr>
            <w:r>
              <w:rPr>
                <w:b/>
                <w:color w:val="B42318"/>
                <w:sz w:val="21"/>
              </w:rPr>
              <w:t>DO NOT MISREPRESENT THE METHOD</w:t>
            </w:r>
          </w:p>
          <w:p>
            <w:pPr>
              <w:pStyle w:val="Normal"/>
              <w:spacing w:before="0" w:after="0"/>
              <w:rPr/>
            </w:pPr>
            <w:r>
              <w:rPr>
                <w:color w:val="111827"/>
                <w:sz w:val="18"/>
              </w:rPr>
              <w:t>If only sparse frames were inspected, do not say the video was watched. Use full playback or dense time-sequenced local tooling and state exactly how the temporal analysis was performed.</w:t>
            </w:r>
          </w:p>
        </w:tc>
      </w:tr>
    </w:tbl>
    <w:p>
      <w:pPr>
        <w:pStyle w:val="Normal"/>
        <w:spacing w:before="0" w:after="0"/>
        <w:rPr/>
      </w:pPr>
      <w:r>
        <w:rPr/>
      </w:r>
    </w:p>
    <w:tbl>
      <w:tblPr>
        <w:tblW w:w="10166" w:type="dxa"/>
        <w:jc w:val="center"/>
        <w:tblInd w:w="0" w:type="dxa"/>
        <w:tblLayout w:type="fixed"/>
        <w:tblCellMar>
          <w:top w:w="50" w:type="dxa"/>
          <w:left w:w="50" w:type="dxa"/>
          <w:bottom w:w="20" w:type="dxa"/>
          <w:right w:w="50" w:type="dxa"/>
        </w:tblCellMar>
        <w:tblLook w:val="04a0" w:noHBand="0" w:noVBand="1" w:firstColumn="1" w:lastRow="0" w:lastColumn="0" w:firstRow="1"/>
      </w:tblPr>
      <w:tblGrid>
        <w:gridCol w:w="5083"/>
        <w:gridCol w:w="5082"/>
      </w:tblGrid>
      <w:tr>
        <w:trPr/>
        <w:tc>
          <w:tcPr>
            <w:tcW w:w="5083" w:type="dxa"/>
            <w:tcBorders/>
          </w:tcPr>
          <w:p>
            <w:pPr>
              <w:pStyle w:val="Normal"/>
              <w:spacing w:before="0" w:after="80"/>
              <w:jc w:val="center"/>
              <w:rPr/>
            </w:pPr>
            <w:r>
              <w:rPr/>
              <w:drawing>
                <wp:inline distT="0" distB="0" distL="0" distR="0">
                  <wp:extent cx="2697480" cy="292417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697480" cy="2924175"/>
                          </a:xfrm>
                          <a:prstGeom prst="rect">
                            <a:avLst/>
                          </a:prstGeom>
                        </pic:spPr>
                      </pic:pic>
                    </a:graphicData>
                  </a:graphic>
                </wp:inline>
              </w:drawing>
            </w:r>
          </w:p>
        </w:tc>
        <w:tc>
          <w:tcPr>
            <w:tcW w:w="5082" w:type="dxa"/>
            <w:tcBorders/>
          </w:tcPr>
          <w:p>
            <w:pPr>
              <w:pStyle w:val="Normal"/>
              <w:spacing w:before="0" w:after="80"/>
              <w:jc w:val="center"/>
              <w:rPr/>
            </w:pPr>
            <w:r>
              <w:rPr/>
              <w:drawing>
                <wp:inline distT="0" distB="0" distL="0" distR="0">
                  <wp:extent cx="2697480" cy="167767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2697480" cy="1677670"/>
                          </a:xfrm>
                          <a:prstGeom prst="rect">
                            <a:avLst/>
                          </a:prstGeom>
                        </pic:spPr>
                      </pic:pic>
                    </a:graphicData>
                  </a:graphic>
                </wp:inline>
              </w:drawing>
            </w:r>
          </w:p>
        </w:tc>
      </w:tr>
      <w:tr>
        <w:trPr/>
        <w:tc>
          <w:tcPr>
            <w:tcW w:w="5083" w:type="dxa"/>
            <w:tcBorders/>
            <w:tcMar>
              <w:top w:w="20" w:type="dxa"/>
              <w:left w:w="60" w:type="dxa"/>
              <w:bottom w:w="40" w:type="dxa"/>
              <w:right w:w="60" w:type="dxa"/>
            </w:tcMar>
          </w:tcPr>
          <w:p>
            <w:pPr>
              <w:pStyle w:val="Normal"/>
              <w:spacing w:before="0" w:after="80"/>
              <w:jc w:val="center"/>
              <w:rPr/>
            </w:pPr>
            <w:r>
              <w:rPr>
                <w:i/>
                <w:color w:val="4B5563"/>
                <w:sz w:val="15"/>
              </w:rPr>
              <w:t>Reference: assistant remains present and repositions within a live operating surface.</w:t>
            </w:r>
          </w:p>
        </w:tc>
        <w:tc>
          <w:tcPr>
            <w:tcW w:w="5082" w:type="dxa"/>
            <w:tcBorders/>
            <w:tcMar>
              <w:top w:w="20" w:type="dxa"/>
              <w:left w:w="60" w:type="dxa"/>
              <w:bottom w:w="40" w:type="dxa"/>
              <w:right w:w="60" w:type="dxa"/>
            </w:tcMar>
          </w:tcPr>
          <w:p>
            <w:pPr>
              <w:pStyle w:val="Normal"/>
              <w:spacing w:before="0" w:after="80"/>
              <w:jc w:val="center"/>
              <w:rPr/>
            </w:pPr>
            <w:r>
              <w:rPr>
                <w:i/>
                <w:color w:val="4B5563"/>
                <w:sz w:val="15"/>
              </w:rPr>
              <w:t>Reference: connected nodes, light, motion and system state are part of the experience.</w:t>
            </w:r>
          </w:p>
        </w:tc>
      </w:tr>
    </w:tbl>
    <w:p>
      <w:pPr>
        <w:pStyle w:val="Normal"/>
        <w:spacing w:before="0" w:after="0"/>
        <w:rPr/>
      </w:pPr>
      <w:r>
        <w:rPr/>
      </w:r>
    </w:p>
    <w:p>
      <w:pPr>
        <w:pStyle w:val="Heading1"/>
        <w:rPr/>
      </w:pPr>
      <w:r>
        <w:rPr/>
        <w:t>4. Audit and selective rewrite of existing work</w:t>
      </w:r>
    </w:p>
    <w:p>
      <w:pPr>
        <w:pStyle w:val="Normal"/>
        <w:rPr/>
      </w:pPr>
      <w:r>
        <w:rPr/>
        <w:t>Create a backup or version-control checkpoint before any rewrite. Inventory the raw material that survives — videos, audio, transcripts, timestamps, frames, the source list and its sha256 fingerprints — together with the original ODT, Dashboard/Hamza examples, complaint files and the relevant frontend/backend/database evidence. The 16 analysis files themselves no longer exist; they were deleted on the CEO’s order of 2026-08-02.</w:t>
      </w:r>
    </w:p>
    <w:tbl>
      <w:tblPr>
        <w:tblStyle w:val="TableGrid"/>
        <w:tblW w:w="1016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5083"/>
        <w:gridCol w:w="5082"/>
      </w:tblGrid>
      <w:tr>
        <w:trPr/>
        <w:tc>
          <w:tcPr>
            <w:tcW w:w="5083" w:type="dxa"/>
            <w:tcBorders/>
            <w:shd w:fill="0D1526"/>
          </w:tcPr>
          <w:p>
            <w:pPr>
              <w:pStyle w:val="Normal"/>
              <w:widowControl/>
              <w:spacing w:before="0" w:after="80"/>
              <w:jc w:val="left"/>
              <w:rPr>
                <w:rFonts w:eastAsia="ＭＳ 明朝" w:cs=""/>
                <w:kern w:val="0"/>
                <w:szCs w:val="22"/>
                <w:lang w:val="en-US" w:eastAsia="en-US" w:bidi="ar-SA"/>
              </w:rPr>
            </w:pPr>
            <w:r>
              <w:rPr>
                <w:rFonts w:eastAsia="ＭＳ 明朝" w:cs=""/>
                <w:b/>
                <w:color w:val="FFFFFF"/>
                <w:kern w:val="0"/>
                <w:szCs w:val="22"/>
                <w:lang w:val="en-US" w:eastAsia="en-US" w:bidi="ar-SA"/>
              </w:rPr>
              <w:t>Classification</w:t>
            </w:r>
          </w:p>
        </w:tc>
        <w:tc>
          <w:tcPr>
            <w:tcW w:w="5082" w:type="dxa"/>
            <w:tcBorders/>
            <w:shd w:fill="0D1526"/>
          </w:tcPr>
          <w:p>
            <w:pPr>
              <w:pStyle w:val="Normal"/>
              <w:widowControl/>
              <w:spacing w:before="0" w:after="80"/>
              <w:jc w:val="left"/>
              <w:rPr>
                <w:rFonts w:eastAsia="ＭＳ 明朝" w:cs=""/>
                <w:kern w:val="0"/>
                <w:szCs w:val="22"/>
                <w:lang w:val="en-US" w:eastAsia="en-US" w:bidi="ar-SA"/>
              </w:rPr>
            </w:pPr>
            <w:r>
              <w:rPr>
                <w:rFonts w:eastAsia="ＭＳ 明朝" w:cs=""/>
                <w:b/>
                <w:color w:val="FFFFFF"/>
                <w:kern w:val="0"/>
                <w:szCs w:val="22"/>
                <w:lang w:val="en-US" w:eastAsia="en-US" w:bidi="ar-SA"/>
              </w:rPr>
              <w:t>Action</w:t>
            </w:r>
          </w:p>
        </w:tc>
      </w:tr>
      <w:tr>
        <w:trPr/>
        <w:tc>
          <w:tcPr>
            <w:tcW w:w="5083" w:type="dxa"/>
            <w:tcBorders/>
            <w:shd w:fill="F2F4F7"/>
          </w:tcPr>
          <w:p>
            <w:pPr>
              <w:pStyle w:val="Normal"/>
              <w:widowControl/>
              <w:spacing w:before="0" w:after="80"/>
              <w:jc w:val="left"/>
              <w:rPr>
                <w:rFonts w:eastAsia="ＭＳ 明朝" w:cs=""/>
                <w:kern w:val="0"/>
                <w:szCs w:val="22"/>
                <w:lang w:val="en-US" w:eastAsia="en-US" w:bidi="ar-SA"/>
              </w:rPr>
            </w:pPr>
            <w:r>
              <w:rPr>
                <w:rFonts w:eastAsia="ＭＳ 明朝" w:cs=""/>
                <w:b/>
                <w:kern w:val="0"/>
                <w:sz w:val="17"/>
                <w:szCs w:val="22"/>
                <w:lang w:val="en-US" w:eastAsia="en-US" w:bidi="ar-SA"/>
              </w:rPr>
              <w:t>KEEP</w:t>
            </w:r>
          </w:p>
        </w:tc>
        <w:tc>
          <w:tcPr>
            <w:tcW w:w="5082" w:type="dxa"/>
            <w:tcBorders/>
          </w:tcPr>
          <w:p>
            <w:pPr>
              <w:pStyle w:val="Normal"/>
              <w:widowControl/>
              <w:spacing w:before="0" w:after="80"/>
              <w:jc w:val="left"/>
              <w:rPr>
                <w:rFonts w:eastAsia="ＭＳ 明朝" w:cs=""/>
                <w:kern w:val="0"/>
                <w:szCs w:val="22"/>
                <w:lang w:val="en-US" w:eastAsia="en-US" w:bidi="ar-SA"/>
              </w:rPr>
            </w:pPr>
            <w:r>
              <w:rPr>
                <w:rFonts w:eastAsia="ＭＳ 明朝" w:cs=""/>
                <w:kern w:val="0"/>
                <w:sz w:val="17"/>
                <w:szCs w:val="22"/>
                <w:lang w:val="en-US" w:eastAsia="en-US" w:bidi="ar-SA"/>
              </w:rPr>
              <w:t>Correct and reusable as written.</w:t>
            </w:r>
          </w:p>
        </w:tc>
      </w:tr>
      <w:tr>
        <w:trPr/>
        <w:tc>
          <w:tcPr>
            <w:tcW w:w="5083" w:type="dxa"/>
            <w:tcBorders/>
            <w:shd w:fill="FFF6DB"/>
          </w:tcPr>
          <w:p>
            <w:pPr>
              <w:pStyle w:val="Normal"/>
              <w:widowControl/>
              <w:spacing w:before="0" w:after="80"/>
              <w:jc w:val="left"/>
              <w:rPr>
                <w:rFonts w:eastAsia="ＭＳ 明朝" w:cs=""/>
                <w:kern w:val="0"/>
                <w:szCs w:val="22"/>
                <w:lang w:val="en-US" w:eastAsia="en-US" w:bidi="ar-SA"/>
              </w:rPr>
            </w:pPr>
            <w:r>
              <w:rPr>
                <w:rFonts w:eastAsia="ＭＳ 明朝" w:cs=""/>
                <w:b/>
                <w:kern w:val="0"/>
                <w:sz w:val="17"/>
                <w:szCs w:val="22"/>
                <w:lang w:val="en-US" w:eastAsia="en-US" w:bidi="ar-SA"/>
              </w:rPr>
              <w:t>REUSE WITH CORRECTION</w:t>
            </w:r>
          </w:p>
        </w:tc>
        <w:tc>
          <w:tcPr>
            <w:tcW w:w="5082" w:type="dxa"/>
            <w:tcBorders/>
          </w:tcPr>
          <w:p>
            <w:pPr>
              <w:pStyle w:val="Normal"/>
              <w:widowControl/>
              <w:spacing w:before="0" w:after="80"/>
              <w:jc w:val="left"/>
              <w:rPr>
                <w:rFonts w:eastAsia="ＭＳ 明朝" w:cs=""/>
                <w:kern w:val="0"/>
                <w:szCs w:val="22"/>
                <w:lang w:val="en-US" w:eastAsia="en-US" w:bidi="ar-SA"/>
              </w:rPr>
            </w:pPr>
            <w:r>
              <w:rPr>
                <w:rFonts w:eastAsia="ＭＳ 明朝" w:cs=""/>
                <w:kern w:val="0"/>
                <w:sz w:val="17"/>
                <w:szCs w:val="22"/>
                <w:lang w:val="en-US" w:eastAsia="en-US" w:bidi="ar-SA"/>
              </w:rPr>
              <w:t>Useful foundation; claims, wording or evidence labels must change.</w:t>
            </w:r>
          </w:p>
        </w:tc>
      </w:tr>
      <w:tr>
        <w:trPr/>
        <w:tc>
          <w:tcPr>
            <w:tcW w:w="5083" w:type="dxa"/>
            <w:tcBorders/>
            <w:shd w:fill="F2F4F7"/>
          </w:tcPr>
          <w:p>
            <w:pPr>
              <w:pStyle w:val="Normal"/>
              <w:widowControl/>
              <w:spacing w:before="0" w:after="80"/>
              <w:jc w:val="left"/>
              <w:rPr>
                <w:rFonts w:eastAsia="ＭＳ 明朝" w:cs=""/>
                <w:kern w:val="0"/>
                <w:szCs w:val="22"/>
                <w:lang w:val="en-US" w:eastAsia="en-US" w:bidi="ar-SA"/>
              </w:rPr>
            </w:pPr>
            <w:r>
              <w:rPr>
                <w:rFonts w:eastAsia="ＭＳ 明朝" w:cs=""/>
                <w:b/>
                <w:kern w:val="0"/>
                <w:sz w:val="17"/>
                <w:szCs w:val="22"/>
                <w:lang w:val="en-US" w:eastAsia="en-US" w:bidi="ar-SA"/>
              </w:rPr>
              <w:t>REPLACE</w:t>
            </w:r>
          </w:p>
        </w:tc>
        <w:tc>
          <w:tcPr>
            <w:tcW w:w="5082" w:type="dxa"/>
            <w:tcBorders/>
          </w:tcPr>
          <w:p>
            <w:pPr>
              <w:pStyle w:val="Normal"/>
              <w:widowControl/>
              <w:spacing w:before="0" w:after="80"/>
              <w:jc w:val="left"/>
              <w:rPr>
                <w:rFonts w:eastAsia="ＭＳ 明朝" w:cs=""/>
                <w:kern w:val="0"/>
                <w:szCs w:val="22"/>
                <w:lang w:val="en-US" w:eastAsia="en-US" w:bidi="ar-SA"/>
              </w:rPr>
            </w:pPr>
            <w:r>
              <w:rPr>
                <w:rFonts w:eastAsia="ＭＳ 明朝" w:cs=""/>
                <w:kern w:val="0"/>
                <w:sz w:val="17"/>
                <w:szCs w:val="22"/>
                <w:lang w:val="en-US" w:eastAsia="en-US" w:bidi="ar-SA"/>
              </w:rPr>
              <w:t>Unreliable and must be rewritten.</w:t>
            </w:r>
          </w:p>
        </w:tc>
      </w:tr>
      <w:tr>
        <w:trPr/>
        <w:tc>
          <w:tcPr>
            <w:tcW w:w="5083" w:type="dxa"/>
            <w:tcBorders/>
            <w:shd w:fill="F2F4F7"/>
          </w:tcPr>
          <w:p>
            <w:pPr>
              <w:pStyle w:val="Normal"/>
              <w:widowControl/>
              <w:spacing w:before="0" w:after="80"/>
              <w:jc w:val="left"/>
              <w:rPr>
                <w:rFonts w:eastAsia="ＭＳ 明朝" w:cs=""/>
                <w:kern w:val="0"/>
                <w:szCs w:val="22"/>
                <w:lang w:val="en-US" w:eastAsia="en-US" w:bidi="ar-SA"/>
              </w:rPr>
            </w:pPr>
            <w:r>
              <w:rPr>
                <w:rFonts w:eastAsia="ＭＳ 明朝" w:cs=""/>
                <w:b/>
                <w:kern w:val="0"/>
                <w:sz w:val="17"/>
                <w:szCs w:val="22"/>
                <w:lang w:val="en-US" w:eastAsia="en-US" w:bidi="ar-SA"/>
              </w:rPr>
              <w:t>ARCHIVE</w:t>
            </w:r>
          </w:p>
        </w:tc>
        <w:tc>
          <w:tcPr>
            <w:tcW w:w="5082" w:type="dxa"/>
            <w:tcBorders/>
          </w:tcPr>
          <w:p>
            <w:pPr>
              <w:pStyle w:val="Normal"/>
              <w:widowControl/>
              <w:spacing w:before="0" w:after="80"/>
              <w:jc w:val="left"/>
              <w:rPr>
                <w:rFonts w:eastAsia="ＭＳ 明朝" w:cs=""/>
                <w:kern w:val="0"/>
                <w:szCs w:val="22"/>
                <w:lang w:val="en-US" w:eastAsia="en-US" w:bidi="ar-SA"/>
              </w:rPr>
            </w:pPr>
            <w:r>
              <w:rPr>
                <w:rFonts w:eastAsia="ＭＳ 明朝" w:cs=""/>
                <w:kern w:val="0"/>
                <w:sz w:val="17"/>
                <w:szCs w:val="22"/>
                <w:lang w:val="en-US" w:eastAsia="en-US" w:bidi="ar-SA"/>
              </w:rPr>
              <w:t>Retained for history, not used as a current conclusion.</w:t>
            </w:r>
          </w:p>
        </w:tc>
      </w:tr>
    </w:tbl>
    <w:tbl>
      <w:tblPr>
        <w:tblW w:w="1016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166"/>
      </w:tblGrid>
      <w:tr>
        <w:trPr/>
        <w:tc>
          <w:tcPr>
            <w:tcW w:w="10166" w:type="dxa"/>
            <w:tcBorders>
              <w:left w:val="single" w:sz="22" w:space="0" w:color="8A6100"/>
            </w:tcBorders>
            <w:shd w:fill="FFF6DB"/>
          </w:tcPr>
          <w:p>
            <w:pPr>
              <w:pStyle w:val="Normal"/>
              <w:spacing w:before="0" w:after="40"/>
              <w:rPr/>
            </w:pPr>
            <w:r>
              <w:rPr>
                <w:b/>
                <w:color w:val="8A6100"/>
                <w:sz w:val="21"/>
              </w:rPr>
              <w:t>RULE FOR THE ANALYSES — REPLACED 2026-08-04 BY THE CEO’S OWN LATER ORDER</w:t>
            </w:r>
          </w:p>
          <w:p>
            <w:pPr>
              <w:pStyle w:val="Normal"/>
              <w:spacing w:before="0" w:after="0"/>
              <w:rPr/>
            </w:pPr>
            <w:r>
              <w:rPr>
                <w:color w:val="111827"/>
                <w:sz w:val="18"/>
              </w:rPr>
              <w:t>SUPERSEDED. This rule required correction in place, and there is nothing left to correct in place: the CEO’s live order of 2026-08-02 deleted all 16 files. What stands instead, from his orders of 2026-08-01 and 2026-08-02: the raw material is preserved and re-used (video, audio, transcripts, timestamps, sha256, source list); every source is watched whole, with its sound, the way a person watches it; each report is opened from nothing and the rejected text is never re-read while writing it. Evidence labels and a change log remain required on every file.</w:t>
            </w:r>
          </w:p>
        </w:tc>
      </w:tr>
    </w:tbl>
    <w:p>
      <w:pPr>
        <w:pStyle w:val="Normal"/>
        <w:spacing w:before="0" w:after="0"/>
        <w:rPr/>
      </w:pPr>
      <w:r>
        <w:rPr/>
      </w:r>
    </w:p>
    <w:p>
      <w:pPr>
        <w:pStyle w:val="Heading2"/>
        <w:rPr/>
      </w:pPr>
      <w:r>
        <w:rPr/>
        <w:t>Each revised competitor analysis must answer</w:t>
      </w:r>
    </w:p>
    <w:p>
      <w:pPr>
        <w:pStyle w:val="ListBullet"/>
        <w:numPr>
          <w:ilvl w:val="0"/>
          <w:numId w:val="1"/>
        </w:numPr>
        <w:spacing w:before="0" w:after="40"/>
        <w:ind w:hanging="216" w:left="317"/>
        <w:contextualSpacing/>
        <w:rPr/>
      </w:pPr>
      <w:r>
        <w:rPr/>
        <w:t>What is directly visible over time?</w:t>
      </w:r>
    </w:p>
    <w:p>
      <w:pPr>
        <w:pStyle w:val="ListBullet"/>
        <w:numPr>
          <w:ilvl w:val="0"/>
          <w:numId w:val="1"/>
        </w:numPr>
        <w:spacing w:before="0" w:after="40"/>
        <w:ind w:hanging="216" w:left="317"/>
        <w:contextualSpacing/>
        <w:rPr/>
      </w:pPr>
      <w:r>
        <w:rPr/>
        <w:t>What is stated in the transcript?</w:t>
      </w:r>
    </w:p>
    <w:p>
      <w:pPr>
        <w:pStyle w:val="ListBullet"/>
        <w:numPr>
          <w:ilvl w:val="0"/>
          <w:numId w:val="1"/>
        </w:numPr>
        <w:spacing w:before="0" w:after="40"/>
        <w:ind w:hanging="216" w:left="317"/>
        <w:contextualSpacing/>
        <w:rPr/>
      </w:pPr>
      <w:r>
        <w:rPr/>
        <w:t>What has the CEO confirmed?</w:t>
      </w:r>
    </w:p>
    <w:p>
      <w:pPr>
        <w:pStyle w:val="ListBullet"/>
        <w:numPr>
          <w:ilvl w:val="0"/>
          <w:numId w:val="1"/>
        </w:numPr>
        <w:spacing w:before="0" w:after="40"/>
        <w:ind w:hanging="216" w:left="317"/>
        <w:contextualSpacing/>
        <w:rPr/>
      </w:pPr>
      <w:r>
        <w:rPr/>
        <w:t>What is technically verified?</w:t>
      </w:r>
    </w:p>
    <w:p>
      <w:pPr>
        <w:pStyle w:val="ListBullet"/>
        <w:numPr>
          <w:ilvl w:val="0"/>
          <w:numId w:val="1"/>
        </w:numPr>
        <w:spacing w:before="0" w:after="40"/>
        <w:ind w:hanging="216" w:left="317"/>
        <w:contextualSpacing/>
        <w:rPr/>
      </w:pPr>
      <w:r>
        <w:rPr/>
        <w:t>What remains unverified?</w:t>
      </w:r>
    </w:p>
    <w:p>
      <w:pPr>
        <w:pStyle w:val="ListBullet"/>
        <w:numPr>
          <w:ilvl w:val="0"/>
          <w:numId w:val="1"/>
        </w:numPr>
        <w:spacing w:before="0" w:after="40"/>
        <w:ind w:hanging="216" w:left="317"/>
        <w:contextualSpacing/>
        <w:rPr/>
      </w:pPr>
      <w:r>
        <w:rPr/>
        <w:t>What does this system demonstrably do better than DXB today?</w:t>
      </w:r>
    </w:p>
    <w:p>
      <w:pPr>
        <w:pStyle w:val="ListBullet"/>
        <w:numPr>
          <w:ilvl w:val="0"/>
          <w:numId w:val="1"/>
        </w:numPr>
        <w:spacing w:before="0" w:after="40"/>
        <w:ind w:hanging="216" w:left="317"/>
        <w:contextualSpacing/>
        <w:rPr/>
      </w:pPr>
      <w:r>
        <w:rPr/>
        <w:t>What concrete capability or principle should DXB adopt?</w:t>
      </w:r>
    </w:p>
    <w:p>
      <w:pPr>
        <w:pStyle w:val="ListBullet"/>
        <w:numPr>
          <w:ilvl w:val="0"/>
          <w:numId w:val="1"/>
        </w:numPr>
        <w:spacing w:before="0" w:after="40"/>
        <w:ind w:hanging="216" w:left="317"/>
        <w:contextualSpacing/>
        <w:rPr/>
      </w:pPr>
      <w:r>
        <w:rPr/>
        <w:t>What should not be copied because it is irrelevant, weak or merely stylistic?</w:t>
      </w:r>
    </w:p>
    <w:p>
      <w:pPr>
        <w:pStyle w:val="Heading1"/>
        <w:rPr/>
      </w:pPr>
      <w:r>
        <w:rPr/>
        <w:t>5. Required honesty about the current DXB Global OS</w:t>
      </w:r>
    </w:p>
    <w:p>
      <w:pPr>
        <w:pStyle w:val="Normal"/>
        <w:rPr/>
      </w:pPr>
      <w:r>
        <w:rPr/>
        <w:t>The current product must be evaluated critically. Architecture language, project size and future potential do not excuse a weak visible product. The CEO’s present assessment is that the reference systems are substantially more coherent, alive and finished than the current DXB interface.</w:t>
      </w:r>
    </w:p>
    <w:tbl>
      <w:tblPr>
        <w:tblW w:w="1016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166"/>
      </w:tblGrid>
      <w:tr>
        <w:trPr/>
        <w:tc>
          <w:tcPr>
            <w:tcW w:w="10166" w:type="dxa"/>
            <w:tcBorders>
              <w:left w:val="single" w:sz="22" w:space="0" w:color="B42318"/>
            </w:tcBorders>
            <w:shd w:fill="FCE8E6"/>
          </w:tcPr>
          <w:p>
            <w:pPr>
              <w:pStyle w:val="Normal"/>
              <w:spacing w:before="0" w:after="40"/>
              <w:rPr/>
            </w:pPr>
            <w:r>
              <w:rPr>
                <w:b/>
                <w:color w:val="B42318"/>
                <w:sz w:val="21"/>
              </w:rPr>
              <w:t>CURRENT DESIGN STATUS</w:t>
            </w:r>
          </w:p>
          <w:p>
            <w:pPr>
              <w:pStyle w:val="Normal"/>
              <w:spacing w:before="0" w:after="0"/>
              <w:rPr/>
            </w:pPr>
            <w:r>
              <w:rPr>
                <w:color w:val="111827"/>
                <w:sz w:val="18"/>
              </w:rPr>
              <w:t>The only existing visual element that is pre-approved is the left navigation bar and its icons. No other current screen or component is automatically preserved.</w:t>
            </w:r>
          </w:p>
        </w:tc>
      </w:tr>
    </w:tbl>
    <w:p>
      <w:pPr>
        <w:pStyle w:val="Normal"/>
        <w:spacing w:before="0" w:after="0"/>
        <w:rPr/>
      </w:pPr>
      <w:r>
        <w:rPr/>
      </w:r>
    </w:p>
    <w:p>
      <w:pPr>
        <w:pStyle w:val="ListBullet"/>
        <w:numPr>
          <w:ilvl w:val="0"/>
          <w:numId w:val="1"/>
        </w:numPr>
        <w:spacing w:before="0" w:after="40"/>
        <w:ind w:hanging="216" w:left="317"/>
        <w:contextualSpacing/>
        <w:rPr/>
      </w:pPr>
      <w:r>
        <w:rPr/>
        <w:t>Repeated or meaningless internal events in executive/business views.</w:t>
      </w:r>
    </w:p>
    <w:p>
      <w:pPr>
        <w:pStyle w:val="ListBullet"/>
        <w:numPr>
          <w:ilvl w:val="0"/>
          <w:numId w:val="1"/>
        </w:numPr>
        <w:spacing w:before="0" w:after="40"/>
        <w:ind w:hanging="216" w:left="317"/>
        <w:contextualSpacing/>
        <w:rPr/>
      </w:pPr>
      <w:r>
        <w:rPr/>
        <w:t>Blank detail pages after clicking visible items.</w:t>
      </w:r>
    </w:p>
    <w:p>
      <w:pPr>
        <w:pStyle w:val="ListBullet"/>
        <w:numPr>
          <w:ilvl w:val="0"/>
          <w:numId w:val="1"/>
        </w:numPr>
        <w:spacing w:before="0" w:after="40"/>
        <w:ind w:hanging="216" w:left="317"/>
        <w:contextualSpacing/>
        <w:rPr/>
      </w:pPr>
      <w:r>
        <w:rPr/>
        <w:t>Unclear machine labels without human-readable identity or purpose.</w:t>
      </w:r>
    </w:p>
    <w:p>
      <w:pPr>
        <w:pStyle w:val="ListBullet"/>
        <w:numPr>
          <w:ilvl w:val="0"/>
          <w:numId w:val="1"/>
        </w:numPr>
        <w:spacing w:before="0" w:after="40"/>
        <w:ind w:hanging="216" w:left="317"/>
        <w:contextualSpacing/>
        <w:rPr/>
      </w:pPr>
      <w:r>
        <w:rPr/>
        <w:t>Empty reason, confidence and detail fields.</w:t>
      </w:r>
    </w:p>
    <w:p>
      <w:pPr>
        <w:pStyle w:val="ListBullet"/>
        <w:numPr>
          <w:ilvl w:val="0"/>
          <w:numId w:val="1"/>
        </w:numPr>
        <w:spacing w:before="0" w:after="40"/>
        <w:ind w:hanging="216" w:left="317"/>
        <w:contextualSpacing/>
        <w:rPr/>
      </w:pPr>
      <w:r>
        <w:rPr/>
        <w:t>Tiny, misaligned or unreadable table columns.</w:t>
      </w:r>
    </w:p>
    <w:p>
      <w:pPr>
        <w:pStyle w:val="ListBullet"/>
        <w:numPr>
          <w:ilvl w:val="0"/>
          <w:numId w:val="1"/>
        </w:numPr>
        <w:spacing w:before="0" w:after="40"/>
        <w:ind w:hanging="216" w:left="317"/>
        <w:contextualSpacing/>
        <w:rPr/>
      </w:pPr>
      <w:r>
        <w:rPr/>
        <w:t>Static, disconnected and visually dead pages.</w:t>
      </w:r>
    </w:p>
    <w:p>
      <w:pPr>
        <w:pStyle w:val="ListBullet"/>
        <w:numPr>
          <w:ilvl w:val="0"/>
          <w:numId w:val="1"/>
        </w:numPr>
        <w:spacing w:before="0" w:after="40"/>
        <w:ind w:hanging="216" w:left="317"/>
        <w:contextualSpacing/>
        <w:rPr/>
      </w:pPr>
      <w:r>
        <w:rPr/>
        <w:t>Charts, counts and cards without a real business decision behind them.</w:t>
      </w:r>
    </w:p>
    <w:p>
      <w:pPr>
        <w:pStyle w:val="ListBullet"/>
        <w:numPr>
          <w:ilvl w:val="0"/>
          <w:numId w:val="1"/>
        </w:numPr>
        <w:spacing w:before="0" w:after="40"/>
        <w:ind w:hanging="216" w:left="317"/>
        <w:contextualSpacing/>
        <w:rPr/>
      </w:pPr>
      <w:r>
        <w:rPr/>
        <w:t>Duplicated, stale, dummy or unexplained data.</w:t>
      </w:r>
    </w:p>
    <w:p>
      <w:pPr>
        <w:pStyle w:val="ListBullet"/>
        <w:numPr>
          <w:ilvl w:val="0"/>
          <w:numId w:val="1"/>
        </w:numPr>
        <w:spacing w:before="0" w:after="40"/>
        <w:ind w:hanging="216" w:left="317"/>
        <w:contextualSpacing/>
        <w:rPr/>
      </w:pPr>
      <w:r>
        <w:rPr/>
        <w:t>Fragmented Hamza identity across chat, voice and control.</w:t>
      </w:r>
    </w:p>
    <w:p>
      <w:pPr>
        <w:pStyle w:val="ListBullet"/>
        <w:numPr>
          <w:ilvl w:val="0"/>
          <w:numId w:val="1"/>
        </w:numPr>
        <w:spacing w:before="0" w:after="40"/>
        <w:ind w:hanging="216" w:left="317"/>
        <w:contextualSpacing/>
        <w:rPr/>
      </w:pPr>
      <w:r>
        <w:rPr/>
        <w:t>Inconsistent or missing morning briefings.</w:t>
      </w:r>
    </w:p>
    <w:p>
      <w:pPr>
        <w:pStyle w:val="ListBullet"/>
        <w:numPr>
          <w:ilvl w:val="0"/>
          <w:numId w:val="1"/>
        </w:numPr>
        <w:spacing w:before="0" w:after="40"/>
        <w:ind w:hanging="216" w:left="317"/>
        <w:contextualSpacing/>
        <w:rPr/>
      </w:pPr>
      <w:r>
        <w:rPr/>
        <w:t>Construction/build data mixed into the actual holding-company interface.</w:t>
      </w:r>
    </w:p>
    <w:p>
      <w:pPr>
        <w:pStyle w:val="ListBullet"/>
        <w:numPr>
          <w:ilvl w:val="0"/>
          <w:numId w:val="1"/>
        </w:numPr>
        <w:spacing w:before="0" w:after="40"/>
        <w:ind w:hanging="216" w:left="317"/>
        <w:contextualSpacing/>
        <w:rPr/>
      </w:pPr>
      <w:r>
        <w:rPr/>
        <w:t>Engineering telemetry shown instead of sales, revenue, portfolio, marketing and operations.</w:t>
      </w:r>
    </w:p>
    <w:tbl>
      <w:tblPr>
        <w:tblW w:w="10166" w:type="dxa"/>
        <w:jc w:val="center"/>
        <w:tblInd w:w="0" w:type="dxa"/>
        <w:tblLayout w:type="fixed"/>
        <w:tblCellMar>
          <w:top w:w="50" w:type="dxa"/>
          <w:left w:w="50" w:type="dxa"/>
          <w:bottom w:w="20" w:type="dxa"/>
          <w:right w:w="50" w:type="dxa"/>
        </w:tblCellMar>
        <w:tblLook w:val="04a0" w:noHBand="0" w:noVBand="1" w:firstColumn="1" w:lastRow="0" w:lastColumn="0" w:firstRow="1"/>
      </w:tblPr>
      <w:tblGrid>
        <w:gridCol w:w="5083"/>
        <w:gridCol w:w="5082"/>
      </w:tblGrid>
      <w:tr>
        <w:trPr/>
        <w:tc>
          <w:tcPr>
            <w:tcW w:w="5083" w:type="dxa"/>
            <w:tcBorders/>
          </w:tcPr>
          <w:p>
            <w:pPr>
              <w:pStyle w:val="Normal"/>
              <w:spacing w:before="0" w:after="80"/>
              <w:jc w:val="center"/>
              <w:rPr/>
            </w:pPr>
            <w:r>
              <w:rPr/>
              <w:drawing>
                <wp:inline distT="0" distB="0" distL="0" distR="0">
                  <wp:extent cx="2697480" cy="189484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2697480" cy="1894840"/>
                          </a:xfrm>
                          <a:prstGeom prst="rect">
                            <a:avLst/>
                          </a:prstGeom>
                        </pic:spPr>
                      </pic:pic>
                    </a:graphicData>
                  </a:graphic>
                </wp:inline>
              </w:drawing>
            </w:r>
          </w:p>
        </w:tc>
        <w:tc>
          <w:tcPr>
            <w:tcW w:w="5082" w:type="dxa"/>
            <w:tcBorders/>
          </w:tcPr>
          <w:p>
            <w:pPr>
              <w:pStyle w:val="Normal"/>
              <w:spacing w:before="0" w:after="80"/>
              <w:jc w:val="center"/>
              <w:rPr/>
            </w:pPr>
            <w:r>
              <w:rPr/>
              <w:drawing>
                <wp:inline distT="0" distB="0" distL="0" distR="0">
                  <wp:extent cx="2697480" cy="166370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2697480" cy="1663700"/>
                          </a:xfrm>
                          <a:prstGeom prst="rect">
                            <a:avLst/>
                          </a:prstGeom>
                        </pic:spPr>
                      </pic:pic>
                    </a:graphicData>
                  </a:graphic>
                </wp:inline>
              </w:drawing>
            </w:r>
          </w:p>
        </w:tc>
      </w:tr>
      <w:tr>
        <w:trPr/>
        <w:tc>
          <w:tcPr>
            <w:tcW w:w="5083" w:type="dxa"/>
            <w:tcBorders/>
            <w:tcMar>
              <w:top w:w="20" w:type="dxa"/>
              <w:left w:w="60" w:type="dxa"/>
              <w:bottom w:w="40" w:type="dxa"/>
              <w:right w:w="60" w:type="dxa"/>
            </w:tcMar>
          </w:tcPr>
          <w:p>
            <w:pPr>
              <w:pStyle w:val="Normal"/>
              <w:spacing w:before="0" w:after="80"/>
              <w:jc w:val="center"/>
              <w:rPr/>
            </w:pPr>
            <w:r>
              <w:rPr>
                <w:i/>
                <w:color w:val="4B5563"/>
                <w:sz w:val="15"/>
              </w:rPr>
              <w:t>Current evidence: repeated internal events and unclear executive relevance.</w:t>
            </w:r>
          </w:p>
        </w:tc>
        <w:tc>
          <w:tcPr>
            <w:tcW w:w="5082" w:type="dxa"/>
            <w:tcBorders/>
            <w:tcMar>
              <w:top w:w="20" w:type="dxa"/>
              <w:left w:w="60" w:type="dxa"/>
              <w:bottom w:w="40" w:type="dxa"/>
              <w:right w:w="60" w:type="dxa"/>
            </w:tcMar>
          </w:tcPr>
          <w:p>
            <w:pPr>
              <w:pStyle w:val="Normal"/>
              <w:spacing w:before="0" w:after="80"/>
              <w:jc w:val="center"/>
              <w:rPr/>
            </w:pPr>
            <w:r>
              <w:rPr>
                <w:i/>
                <w:color w:val="4B5563"/>
                <w:sz w:val="15"/>
              </w:rPr>
              <w:t>Current evidence: a visible decision route leads to an empty screen.</w:t>
            </w:r>
          </w:p>
        </w:tc>
      </w:tr>
    </w:tbl>
    <w:p>
      <w:pPr>
        <w:pStyle w:val="Normal"/>
        <w:spacing w:before="0" w:after="0"/>
        <w:rPr/>
      </w:pPr>
      <w:r>
        <w:rPr/>
      </w:r>
    </w:p>
    <w:tbl>
      <w:tblPr>
        <w:tblW w:w="10166" w:type="dxa"/>
        <w:jc w:val="center"/>
        <w:tblInd w:w="0" w:type="dxa"/>
        <w:tblLayout w:type="fixed"/>
        <w:tblCellMar>
          <w:top w:w="50" w:type="dxa"/>
          <w:left w:w="50" w:type="dxa"/>
          <w:bottom w:w="20" w:type="dxa"/>
          <w:right w:w="50" w:type="dxa"/>
        </w:tblCellMar>
        <w:tblLook w:val="04a0" w:noHBand="0" w:noVBand="1" w:firstColumn="1" w:lastRow="0" w:lastColumn="0" w:firstRow="1"/>
      </w:tblPr>
      <w:tblGrid>
        <w:gridCol w:w="5083"/>
        <w:gridCol w:w="5082"/>
      </w:tblGrid>
      <w:tr>
        <w:trPr/>
        <w:tc>
          <w:tcPr>
            <w:tcW w:w="5083" w:type="dxa"/>
            <w:tcBorders/>
          </w:tcPr>
          <w:p>
            <w:pPr>
              <w:pStyle w:val="Normal"/>
              <w:spacing w:before="0" w:after="80"/>
              <w:jc w:val="center"/>
              <w:rPr/>
            </w:pPr>
            <w:r>
              <w:rPr/>
              <w:drawing>
                <wp:inline distT="0" distB="0" distL="0" distR="0">
                  <wp:extent cx="2697480" cy="206502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2697480" cy="2065020"/>
                          </a:xfrm>
                          <a:prstGeom prst="rect">
                            <a:avLst/>
                          </a:prstGeom>
                        </pic:spPr>
                      </pic:pic>
                    </a:graphicData>
                  </a:graphic>
                </wp:inline>
              </w:drawing>
            </w:r>
          </w:p>
        </w:tc>
        <w:tc>
          <w:tcPr>
            <w:tcW w:w="5082" w:type="dxa"/>
            <w:tcBorders/>
          </w:tcPr>
          <w:p>
            <w:pPr>
              <w:pStyle w:val="Normal"/>
              <w:spacing w:before="0" w:after="80"/>
              <w:jc w:val="center"/>
              <w:rPr/>
            </w:pPr>
            <w:r>
              <w:rPr/>
              <w:drawing>
                <wp:inline distT="0" distB="0" distL="0" distR="0">
                  <wp:extent cx="2697480" cy="1852295"/>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2697480" cy="1852295"/>
                          </a:xfrm>
                          <a:prstGeom prst="rect">
                            <a:avLst/>
                          </a:prstGeom>
                        </pic:spPr>
                      </pic:pic>
                    </a:graphicData>
                  </a:graphic>
                </wp:inline>
              </w:drawing>
            </w:r>
          </w:p>
        </w:tc>
      </w:tr>
      <w:tr>
        <w:trPr/>
        <w:tc>
          <w:tcPr>
            <w:tcW w:w="5083" w:type="dxa"/>
            <w:tcBorders/>
            <w:tcMar>
              <w:top w:w="20" w:type="dxa"/>
              <w:left w:w="60" w:type="dxa"/>
              <w:bottom w:w="40" w:type="dxa"/>
              <w:right w:w="60" w:type="dxa"/>
            </w:tcMar>
          </w:tcPr>
          <w:p>
            <w:pPr>
              <w:pStyle w:val="Normal"/>
              <w:spacing w:before="0" w:after="80"/>
              <w:jc w:val="center"/>
              <w:rPr/>
            </w:pPr>
            <w:r>
              <w:rPr>
                <w:i/>
                <w:color w:val="4B5563"/>
                <w:sz w:val="15"/>
              </w:rPr>
              <w:t>Current evidence: machine-centric labels, missing context and weak readability.</w:t>
            </w:r>
          </w:p>
        </w:tc>
        <w:tc>
          <w:tcPr>
            <w:tcW w:w="5082" w:type="dxa"/>
            <w:tcBorders/>
            <w:tcMar>
              <w:top w:w="20" w:type="dxa"/>
              <w:left w:w="60" w:type="dxa"/>
              <w:bottom w:w="40" w:type="dxa"/>
              <w:right w:w="60" w:type="dxa"/>
            </w:tcMar>
          </w:tcPr>
          <w:p>
            <w:pPr>
              <w:pStyle w:val="Normal"/>
              <w:spacing w:before="0" w:after="80"/>
              <w:jc w:val="center"/>
              <w:rPr/>
            </w:pPr>
            <w:r>
              <w:rPr>
                <w:i/>
                <w:color w:val="4B5563"/>
                <w:sz w:val="15"/>
              </w:rPr>
              <w:t>Current evidence: construction/governance artifacts mixed with the business OS.</w:t>
            </w:r>
          </w:p>
        </w:tc>
      </w:tr>
    </w:tbl>
    <w:p>
      <w:pPr>
        <w:pStyle w:val="Normal"/>
        <w:spacing w:before="0" w:after="0"/>
        <w:rPr/>
      </w:pPr>
      <w:r>
        <w:rPr/>
      </w:r>
    </w:p>
    <w:p>
      <w:pPr>
        <w:pStyle w:val="Heading1"/>
        <w:rPr/>
      </w:pPr>
      <w:r>
        <w:rPr/>
        <w:t>6. Absolute data-domain separation</w:t>
      </w:r>
    </w:p>
    <w:p>
      <w:pPr>
        <w:pStyle w:val="Normal"/>
        <w:rPr/>
      </w:pPr>
      <w:r>
        <w:rPr/>
        <w:t>The holding-company operating dataset and the software-construction/engineering dataset are separate domains. The business OS must contain no build-process file, label, metric or navigation item unless it is intentionally exposed inside a clearly separated machine/admin environment.</w:t>
      </w:r>
    </w:p>
    <w:tbl>
      <w:tblPr>
        <w:tblStyle w:val="TableGrid"/>
        <w:tblW w:w="1016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5083"/>
        <w:gridCol w:w="5082"/>
      </w:tblGrid>
      <w:tr>
        <w:trPr/>
        <w:tc>
          <w:tcPr>
            <w:tcW w:w="5083" w:type="dxa"/>
            <w:tcBorders/>
            <w:shd w:fill="0D1526"/>
          </w:tcPr>
          <w:p>
            <w:pPr>
              <w:pStyle w:val="Normal"/>
              <w:widowControl/>
              <w:spacing w:before="0" w:after="80"/>
              <w:jc w:val="left"/>
              <w:rPr>
                <w:rFonts w:eastAsia="ＭＳ 明朝" w:cs=""/>
                <w:kern w:val="0"/>
                <w:szCs w:val="22"/>
                <w:lang w:val="en-US" w:eastAsia="en-US" w:bidi="ar-SA"/>
              </w:rPr>
            </w:pPr>
            <w:r>
              <w:rPr>
                <w:rFonts w:eastAsia="ＭＳ 明朝" w:cs=""/>
                <w:b/>
                <w:color w:val="FFFFFF"/>
                <w:kern w:val="0"/>
                <w:szCs w:val="22"/>
                <w:lang w:val="en-US" w:eastAsia="en-US" w:bidi="ar-SA"/>
              </w:rPr>
              <w:t>Business-facing Holding OS</w:t>
            </w:r>
          </w:p>
        </w:tc>
        <w:tc>
          <w:tcPr>
            <w:tcW w:w="5082" w:type="dxa"/>
            <w:tcBorders/>
            <w:shd w:fill="0D1526"/>
          </w:tcPr>
          <w:p>
            <w:pPr>
              <w:pStyle w:val="Normal"/>
              <w:widowControl/>
              <w:spacing w:before="0" w:after="80"/>
              <w:jc w:val="left"/>
              <w:rPr>
                <w:rFonts w:eastAsia="ＭＳ 明朝" w:cs=""/>
                <w:kern w:val="0"/>
                <w:szCs w:val="22"/>
                <w:lang w:val="en-US" w:eastAsia="en-US" w:bidi="ar-SA"/>
              </w:rPr>
            </w:pPr>
            <w:r>
              <w:rPr>
                <w:rFonts w:eastAsia="ＭＳ 明朝" w:cs=""/>
                <w:b/>
                <w:color w:val="FFFFFF"/>
                <w:kern w:val="0"/>
                <w:szCs w:val="22"/>
                <w:lang w:val="en-US" w:eastAsia="en-US" w:bidi="ar-SA"/>
              </w:rPr>
              <w:t>Machine / Admin environment</w:t>
            </w:r>
          </w:p>
        </w:tc>
      </w:tr>
      <w:tr>
        <w:trPr/>
        <w:tc>
          <w:tcPr>
            <w:tcW w:w="5083" w:type="dxa"/>
            <w:tcBorders/>
            <w:shd w:fill="EAF1FA"/>
          </w:tcPr>
          <w:p>
            <w:pPr>
              <w:pStyle w:val="Normal"/>
              <w:widowControl/>
              <w:spacing w:before="0" w:after="80"/>
              <w:jc w:val="left"/>
              <w:rPr>
                <w:rFonts w:eastAsia="ＭＳ 明朝" w:cs=""/>
                <w:kern w:val="0"/>
                <w:szCs w:val="22"/>
                <w:lang w:val="en-US" w:eastAsia="en-US" w:bidi="ar-SA"/>
              </w:rPr>
            </w:pPr>
            <w:r>
              <w:rPr>
                <w:rFonts w:eastAsia="ＭＳ 明朝" w:cs=""/>
                <w:kern w:val="0"/>
                <w:sz w:val="17"/>
                <w:szCs w:val="22"/>
                <w:lang w:val="en-US" w:eastAsia="en-US" w:bidi="ar-SA"/>
              </w:rPr>
              <w:t>Command, Finance, Operations, Organization, Intelligence, Governance and System — focused on real companies, sales, revenue, portfolio, marketing, decisions and execution.</w:t>
            </w:r>
          </w:p>
        </w:tc>
        <w:tc>
          <w:tcPr>
            <w:tcW w:w="5082" w:type="dxa"/>
            <w:tcBorders/>
            <w:shd w:fill="F2F4F7"/>
          </w:tcPr>
          <w:p>
            <w:pPr>
              <w:pStyle w:val="Normal"/>
              <w:widowControl/>
              <w:spacing w:before="0" w:after="80"/>
              <w:jc w:val="left"/>
              <w:rPr>
                <w:rFonts w:eastAsia="ＭＳ 明朝" w:cs=""/>
                <w:kern w:val="0"/>
                <w:szCs w:val="22"/>
                <w:lang w:val="en-US" w:eastAsia="en-US" w:bidi="ar-SA"/>
              </w:rPr>
            </w:pPr>
            <w:r>
              <w:rPr>
                <w:rFonts w:eastAsia="ＭＳ 明朝" w:cs=""/>
                <w:kern w:val="0"/>
                <w:sz w:val="17"/>
                <w:szCs w:val="22"/>
                <w:lang w:val="en-US" w:eastAsia="en-US" w:bidi="ar-SA"/>
              </w:rPr>
              <w:t>Code, build progress, orchestration internals, worker telemetry, development documents, system diagnostics, deployment and infrastructure.</w:t>
            </w:r>
          </w:p>
        </w:tc>
      </w:tr>
    </w:tbl>
    <w:p>
      <w:pPr>
        <w:pStyle w:val="Heading1"/>
        <w:rPr/>
      </w:pPr>
      <w:r>
        <w:rPr/>
        <w:t>7. Product target: a living, serious, revenue-centred Holding OS</w:t>
      </w:r>
    </w:p>
    <w:p>
      <w:pPr>
        <w:pStyle w:val="Normal"/>
        <w:rPr/>
      </w:pPr>
      <w:r>
        <w:rPr/>
        <w:t>The target is not a decorative dashboard. It is a living AI-native holding operating system whose primary business objective is to produce revenue and profit through real company operations.</w:t>
      </w:r>
    </w:p>
    <w:p>
      <w:pPr>
        <w:pStyle w:val="ListBullet"/>
        <w:numPr>
          <w:ilvl w:val="0"/>
          <w:numId w:val="1"/>
        </w:numPr>
        <w:spacing w:before="0" w:after="40"/>
        <w:ind w:hanging="216" w:left="317"/>
        <w:contextualSpacing/>
        <w:rPr/>
      </w:pPr>
      <w:r>
        <w:rPr/>
        <w:t>Every page reads traceable live data or shows an honest empty state.</w:t>
      </w:r>
    </w:p>
    <w:p>
      <w:pPr>
        <w:pStyle w:val="ListBullet"/>
        <w:numPr>
          <w:ilvl w:val="0"/>
          <w:numId w:val="1"/>
        </w:numPr>
        <w:spacing w:before="0" w:after="40"/>
        <w:ind w:hanging="216" w:left="317"/>
        <w:contextualSpacing/>
        <w:rPr/>
      </w:pPr>
      <w:r>
        <w:rPr/>
        <w:t>No panel shows a number without a source, query or calculation.</w:t>
      </w:r>
    </w:p>
    <w:p>
      <w:pPr>
        <w:pStyle w:val="ListBullet"/>
        <w:numPr>
          <w:ilvl w:val="0"/>
          <w:numId w:val="1"/>
        </w:numPr>
        <w:spacing w:before="0" w:after="40"/>
        <w:ind w:hanging="216" w:left="317"/>
        <w:contextualSpacing/>
        <w:rPr/>
      </w:pPr>
      <w:r>
        <w:rPr/>
        <w:t>Every click leads to meaningful detail, context and action.</w:t>
      </w:r>
    </w:p>
    <w:p>
      <w:pPr>
        <w:pStyle w:val="ListBullet"/>
        <w:numPr>
          <w:ilvl w:val="0"/>
          <w:numId w:val="1"/>
        </w:numPr>
        <w:spacing w:before="0" w:after="40"/>
        <w:ind w:hanging="216" w:left="317"/>
        <w:contextualSpacing/>
        <w:rPr/>
      </w:pPr>
      <w:r>
        <w:rPr/>
        <w:t>Animation communicates state, flow, priority and life—not decoration.</w:t>
      </w:r>
    </w:p>
    <w:p>
      <w:pPr>
        <w:pStyle w:val="ListBullet"/>
        <w:numPr>
          <w:ilvl w:val="0"/>
          <w:numId w:val="1"/>
        </w:numPr>
        <w:spacing w:before="0" w:after="40"/>
        <w:ind w:hanging="216" w:left="317"/>
        <w:contextualSpacing/>
        <w:rPr/>
      </w:pPr>
      <w:r>
        <w:rPr/>
        <w:t>2D, 2.5D or 3D is used where it improves understanding and presence.</w:t>
      </w:r>
    </w:p>
    <w:p>
      <w:pPr>
        <w:pStyle w:val="ListBullet"/>
        <w:numPr>
          <w:ilvl w:val="0"/>
          <w:numId w:val="1"/>
        </w:numPr>
        <w:spacing w:before="0" w:after="40"/>
        <w:ind w:hanging="216" w:left="317"/>
        <w:contextualSpacing/>
        <w:rPr/>
      </w:pPr>
      <w:r>
        <w:rPr/>
        <w:t>Charts exist only when they explain real business information.</w:t>
      </w:r>
    </w:p>
    <w:p>
      <w:pPr>
        <w:pStyle w:val="ListBullet"/>
        <w:numPr>
          <w:ilvl w:val="0"/>
          <w:numId w:val="1"/>
        </w:numPr>
        <w:spacing w:before="0" w:after="40"/>
        <w:ind w:hanging="216" w:left="317"/>
        <w:contextualSpacing/>
        <w:rPr/>
      </w:pPr>
      <w:r>
        <w:rPr/>
        <w:t>The interface feels premium, precise, intelligent and active.</w:t>
      </w:r>
    </w:p>
    <w:p>
      <w:pPr>
        <w:pStyle w:val="ListBullet"/>
        <w:numPr>
          <w:ilvl w:val="0"/>
          <w:numId w:val="1"/>
        </w:numPr>
        <w:spacing w:before="0" w:after="40"/>
        <w:ind w:hanging="216" w:left="317"/>
        <w:contextualSpacing/>
        <w:rPr/>
      </w:pPr>
      <w:r>
        <w:rPr/>
        <w:t>Luxury is a quality standard, not a literal Burj Al Arab theme.</w:t>
      </w:r>
    </w:p>
    <w:tbl>
      <w:tblPr>
        <w:tblW w:w="10166" w:type="dxa"/>
        <w:jc w:val="center"/>
        <w:tblInd w:w="0" w:type="dxa"/>
        <w:tblLayout w:type="fixed"/>
        <w:tblCellMar>
          <w:top w:w="50" w:type="dxa"/>
          <w:left w:w="50" w:type="dxa"/>
          <w:bottom w:w="20" w:type="dxa"/>
          <w:right w:w="50" w:type="dxa"/>
        </w:tblCellMar>
        <w:tblLook w:val="04a0" w:noHBand="0" w:noVBand="1" w:firstColumn="1" w:lastRow="0" w:lastColumn="0" w:firstRow="1"/>
      </w:tblPr>
      <w:tblGrid>
        <w:gridCol w:w="5083"/>
        <w:gridCol w:w="5082"/>
      </w:tblGrid>
      <w:tr>
        <w:trPr/>
        <w:tc>
          <w:tcPr>
            <w:tcW w:w="5083" w:type="dxa"/>
            <w:tcBorders/>
          </w:tcPr>
          <w:p>
            <w:pPr>
              <w:pStyle w:val="Normal"/>
              <w:spacing w:before="0" w:after="80"/>
              <w:jc w:val="center"/>
              <w:rPr/>
            </w:pPr>
            <w:r>
              <w:rPr/>
              <w:drawing>
                <wp:inline distT="0" distB="0" distL="0" distR="0">
                  <wp:extent cx="2697480" cy="349123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2697480" cy="3491230"/>
                          </a:xfrm>
                          <a:prstGeom prst="rect">
                            <a:avLst/>
                          </a:prstGeom>
                        </pic:spPr>
                      </pic:pic>
                    </a:graphicData>
                  </a:graphic>
                </wp:inline>
              </w:drawing>
            </w:r>
          </w:p>
        </w:tc>
        <w:tc>
          <w:tcPr>
            <w:tcW w:w="5082" w:type="dxa"/>
            <w:tcBorders/>
          </w:tcPr>
          <w:p>
            <w:pPr>
              <w:pStyle w:val="Normal"/>
              <w:spacing w:before="0" w:after="80"/>
              <w:jc w:val="center"/>
              <w:rPr/>
            </w:pPr>
            <w:r>
              <w:rPr/>
              <w:drawing>
                <wp:inline distT="0" distB="0" distL="0" distR="0">
                  <wp:extent cx="2697480" cy="4563745"/>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2697480" cy="4563745"/>
                          </a:xfrm>
                          <a:prstGeom prst="rect">
                            <a:avLst/>
                          </a:prstGeom>
                        </pic:spPr>
                      </pic:pic>
                    </a:graphicData>
                  </a:graphic>
                </wp:inline>
              </w:drawing>
            </w:r>
          </w:p>
        </w:tc>
      </w:tr>
      <w:tr>
        <w:trPr/>
        <w:tc>
          <w:tcPr>
            <w:tcW w:w="5083" w:type="dxa"/>
            <w:tcBorders/>
            <w:tcMar>
              <w:top w:w="20" w:type="dxa"/>
              <w:left w:w="60" w:type="dxa"/>
              <w:bottom w:w="40" w:type="dxa"/>
              <w:right w:w="60" w:type="dxa"/>
            </w:tcMar>
          </w:tcPr>
          <w:p>
            <w:pPr>
              <w:pStyle w:val="Normal"/>
              <w:spacing w:before="0" w:after="80"/>
              <w:jc w:val="center"/>
              <w:rPr/>
            </w:pPr>
            <w:r>
              <w:rPr>
                <w:i/>
                <w:color w:val="4B5563"/>
                <w:sz w:val="15"/>
              </w:rPr>
              <w:t>Reference: motion can show real work moving through a process.</w:t>
            </w:r>
          </w:p>
        </w:tc>
        <w:tc>
          <w:tcPr>
            <w:tcW w:w="5082" w:type="dxa"/>
            <w:tcBorders/>
            <w:tcMar>
              <w:top w:w="20" w:type="dxa"/>
              <w:left w:w="60" w:type="dxa"/>
              <w:bottom w:w="40" w:type="dxa"/>
              <w:right w:w="60" w:type="dxa"/>
            </w:tcMar>
          </w:tcPr>
          <w:p>
            <w:pPr>
              <w:pStyle w:val="Normal"/>
              <w:spacing w:before="0" w:after="80"/>
              <w:jc w:val="center"/>
              <w:rPr/>
            </w:pPr>
            <w:r>
              <w:rPr>
                <w:i/>
                <w:color w:val="4B5563"/>
                <w:sz w:val="15"/>
              </w:rPr>
              <w:t>Reference: agents have distinct identity, status, role and relationships.</w:t>
            </w:r>
          </w:p>
        </w:tc>
      </w:tr>
    </w:tbl>
    <w:p>
      <w:pPr>
        <w:pStyle w:val="Normal"/>
        <w:spacing w:before="0" w:after="0"/>
        <w:rPr/>
      </w:pPr>
      <w:r>
        <w:rPr/>
      </w:r>
    </w:p>
    <w:p>
      <w:pPr>
        <w:pStyle w:val="Heading1"/>
        <w:rPr/>
      </w:pPr>
      <w:r>
        <w:rPr/>
        <w:t>8. Hamza, directors and meeting room</w:t>
      </w:r>
    </w:p>
    <w:p>
      <w:pPr>
        <w:pStyle w:val="Heading2"/>
        <w:rPr/>
      </w:pPr>
      <w:r>
        <w:rPr/>
        <w:t>Hamza — one persistent operating intelligence</w:t>
      </w:r>
    </w:p>
    <w:p>
      <w:pPr>
        <w:pStyle w:val="ListBullet"/>
        <w:numPr>
          <w:ilvl w:val="0"/>
          <w:numId w:val="1"/>
        </w:numPr>
        <w:spacing w:before="0" w:after="40"/>
        <w:ind w:hanging="216" w:left="317"/>
        <w:contextualSpacing/>
        <w:rPr/>
      </w:pPr>
      <w:r>
        <w:rPr/>
        <w:t>One coherent identity across chat, voice, dashboards, meetings and system control.</w:t>
      </w:r>
    </w:p>
    <w:p>
      <w:pPr>
        <w:pStyle w:val="ListBullet"/>
        <w:numPr>
          <w:ilvl w:val="0"/>
          <w:numId w:val="1"/>
        </w:numPr>
        <w:spacing w:before="0" w:after="40"/>
        <w:ind w:hanging="216" w:left="317"/>
        <w:contextualSpacing/>
        <w:rPr/>
      </w:pPr>
      <w:r>
        <w:rPr/>
        <w:t>Knows the Kernel Holding system, company structure, departments, directors, policies, data and tools.</w:t>
      </w:r>
    </w:p>
    <w:p>
      <w:pPr>
        <w:pStyle w:val="ListBullet"/>
        <w:numPr>
          <w:ilvl w:val="0"/>
          <w:numId w:val="1"/>
        </w:numPr>
        <w:spacing w:before="0" w:after="40"/>
        <w:ind w:hanging="216" w:left="317"/>
        <w:contextualSpacing/>
        <w:rPr/>
      </w:pPr>
      <w:r>
        <w:rPr/>
        <w:t>Can navigate and operate the system, not merely answer questions.</w:t>
      </w:r>
    </w:p>
    <w:p>
      <w:pPr>
        <w:pStyle w:val="ListBullet"/>
        <w:numPr>
          <w:ilvl w:val="0"/>
          <w:numId w:val="1"/>
        </w:numPr>
        <w:spacing w:before="0" w:after="40"/>
        <w:ind w:hanging="216" w:left="317"/>
        <w:contextualSpacing/>
        <w:rPr/>
      </w:pPr>
      <w:r>
        <w:rPr/>
        <w:t>Repositions intelligently according to context and visibly responds while speaking.</w:t>
      </w:r>
    </w:p>
    <w:p>
      <w:pPr>
        <w:pStyle w:val="ListBullet"/>
        <w:numPr>
          <w:ilvl w:val="0"/>
          <w:numId w:val="1"/>
        </w:numPr>
        <w:spacing w:before="0" w:after="40"/>
        <w:ind w:hanging="216" w:left="317"/>
        <w:contextualSpacing/>
        <w:rPr/>
      </w:pPr>
      <w:r>
        <w:rPr/>
        <w:t>Uses a premium holographic/volumetric face without literal human facial detail; the speaking area may be an animated line/waveform.</w:t>
      </w:r>
    </w:p>
    <w:p>
      <w:pPr>
        <w:pStyle w:val="ListBullet"/>
        <w:numPr>
          <w:ilvl w:val="0"/>
          <w:numId w:val="1"/>
        </w:numPr>
        <w:spacing w:before="0" w:after="40"/>
        <w:ind w:hanging="216" w:left="317"/>
        <w:contextualSpacing/>
        <w:rPr/>
      </w:pPr>
      <w:r>
        <w:rPr/>
        <w:t>Communicates fluently in Turkish, English and Arabic.</w:t>
      </w:r>
    </w:p>
    <w:p>
      <w:pPr>
        <w:pStyle w:val="ListBullet"/>
        <w:numPr>
          <w:ilvl w:val="0"/>
          <w:numId w:val="1"/>
        </w:numPr>
        <w:spacing w:before="0" w:after="40"/>
        <w:ind w:hanging="216" w:left="317"/>
        <w:contextualSpacing/>
        <w:rPr/>
      </w:pPr>
      <w:r>
        <w:rPr/>
        <w:t>Never gives a lazy refusal: states the real constraint and proposes the safest workable path.</w:t>
      </w:r>
    </w:p>
    <w:tbl>
      <w:tblPr>
        <w:tblW w:w="1016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166"/>
      </w:tblGrid>
      <w:tr>
        <w:trPr/>
        <w:tc>
          <w:tcPr>
            <w:tcW w:w="10166" w:type="dxa"/>
            <w:tcBorders>
              <w:left w:val="single" w:sz="22" w:space="0" w:color="175CD3"/>
            </w:tcBorders>
            <w:shd w:fill="EAF1FA"/>
          </w:tcPr>
          <w:p>
            <w:pPr>
              <w:pStyle w:val="Normal"/>
              <w:spacing w:before="0" w:after="40"/>
              <w:rPr/>
            </w:pPr>
            <w:r>
              <w:rPr>
                <w:b/>
                <w:color w:val="175CD3"/>
                <w:sz w:val="21"/>
              </w:rPr>
              <w:t>VOICE DIRECTION</w:t>
            </w:r>
          </w:p>
          <w:p>
            <w:pPr>
              <w:pStyle w:val="Normal"/>
              <w:spacing w:before="0" w:after="0"/>
              <w:rPr/>
            </w:pPr>
            <w:r>
              <w:rPr>
                <w:color w:val="111827"/>
                <w:sz w:val="18"/>
              </w:rPr>
              <w:t>JARVIS-class quality: calm, precise, premium and human-like, using an original or properly licensed voice. Do not clone or imitate a real performer’s protected voice without rights.</w:t>
            </w:r>
          </w:p>
        </w:tc>
      </w:tr>
    </w:tbl>
    <w:p>
      <w:pPr>
        <w:pStyle w:val="Normal"/>
        <w:spacing w:before="0" w:after="0"/>
        <w:rPr/>
      </w:pPr>
      <w:r>
        <w:rPr/>
      </w:r>
    </w:p>
    <w:p>
      <w:pPr>
        <w:pStyle w:val="Heading2"/>
        <w:rPr/>
      </w:pPr>
      <w:r>
        <w:rPr/>
        <w:t>Directors and meeting room</w:t>
      </w:r>
    </w:p>
    <w:p>
      <w:pPr>
        <w:pStyle w:val="ListBullet"/>
        <w:numPr>
          <w:ilvl w:val="0"/>
          <w:numId w:val="1"/>
        </w:numPr>
        <w:spacing w:before="0" w:after="40"/>
        <w:ind w:hanging="216" w:left="317"/>
        <w:contextualSpacing/>
        <w:rPr/>
      </w:pPr>
      <w:r>
        <w:rPr/>
        <w:t>Approximately 20 directors with distinct identity, role, symbol and domain expertise.</w:t>
      </w:r>
    </w:p>
    <w:p>
      <w:pPr>
        <w:pStyle w:val="ListBullet"/>
        <w:numPr>
          <w:ilvl w:val="0"/>
          <w:numId w:val="1"/>
        </w:numPr>
        <w:spacing w:before="0" w:after="40"/>
        <w:ind w:hanging="216" w:left="317"/>
        <w:contextualSpacing/>
        <w:rPr/>
      </w:pPr>
      <w:r>
        <w:rPr/>
        <w:t>Hamza centrally positioned with relevant directors around it.</w:t>
      </w:r>
    </w:p>
    <w:p>
      <w:pPr>
        <w:pStyle w:val="ListBullet"/>
        <w:numPr>
          <w:ilvl w:val="0"/>
          <w:numId w:val="1"/>
        </w:numPr>
        <w:spacing w:before="0" w:after="40"/>
        <w:ind w:hanging="216" w:left="317"/>
        <w:contextualSpacing/>
        <w:rPr/>
      </w:pPr>
      <w:r>
        <w:rPr/>
        <w:t>Decisions, tasks, dissent, confidence and outcomes visible and traceable.</w:t>
      </w:r>
    </w:p>
    <w:p>
      <w:pPr>
        <w:pStyle w:val="ListBullet"/>
        <w:numPr>
          <w:ilvl w:val="0"/>
          <w:numId w:val="1"/>
        </w:numPr>
        <w:spacing w:before="0" w:after="40"/>
        <w:ind w:hanging="216" w:left="317"/>
        <w:contextualSpacing/>
        <w:rPr/>
      </w:pPr>
      <w:r>
        <w:rPr/>
        <w:t>A shared holographic language with clear individual recognition.</w:t>
      </w:r>
    </w:p>
    <w:tbl>
      <w:tblPr>
        <w:tblW w:w="10166" w:type="dxa"/>
        <w:jc w:val="center"/>
        <w:tblInd w:w="0" w:type="dxa"/>
        <w:tblLayout w:type="fixed"/>
        <w:tblCellMar>
          <w:top w:w="50" w:type="dxa"/>
          <w:left w:w="50" w:type="dxa"/>
          <w:bottom w:w="20" w:type="dxa"/>
          <w:right w:w="50" w:type="dxa"/>
        </w:tblCellMar>
        <w:tblLook w:val="04a0" w:noHBand="0" w:noVBand="1" w:firstColumn="1" w:lastRow="0" w:lastColumn="0" w:firstRow="1"/>
      </w:tblPr>
      <w:tblGrid>
        <w:gridCol w:w="5083"/>
        <w:gridCol w:w="5082"/>
      </w:tblGrid>
      <w:tr>
        <w:trPr/>
        <w:tc>
          <w:tcPr>
            <w:tcW w:w="5083" w:type="dxa"/>
            <w:tcBorders/>
          </w:tcPr>
          <w:p>
            <w:pPr>
              <w:pStyle w:val="Normal"/>
              <w:spacing w:before="0" w:after="80"/>
              <w:jc w:val="center"/>
              <w:rPr/>
            </w:pPr>
            <w:r>
              <w:rPr/>
              <w:drawing>
                <wp:inline distT="0" distB="0" distL="0" distR="0">
                  <wp:extent cx="2697480" cy="1516380"/>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0"/>
                          <a:stretch>
                            <a:fillRect/>
                          </a:stretch>
                        </pic:blipFill>
                        <pic:spPr bwMode="auto">
                          <a:xfrm>
                            <a:off x="0" y="0"/>
                            <a:ext cx="2697480" cy="1516380"/>
                          </a:xfrm>
                          <a:prstGeom prst="rect">
                            <a:avLst/>
                          </a:prstGeom>
                        </pic:spPr>
                      </pic:pic>
                    </a:graphicData>
                  </a:graphic>
                </wp:inline>
              </w:drawing>
            </w:r>
          </w:p>
        </w:tc>
        <w:tc>
          <w:tcPr>
            <w:tcW w:w="5082" w:type="dxa"/>
            <w:tcBorders/>
          </w:tcPr>
          <w:p>
            <w:pPr>
              <w:pStyle w:val="Normal"/>
              <w:spacing w:before="0" w:after="80"/>
              <w:jc w:val="center"/>
              <w:rPr/>
            </w:pPr>
            <w:r>
              <w:rPr/>
              <w:drawing>
                <wp:inline distT="0" distB="0" distL="0" distR="0">
                  <wp:extent cx="2697480" cy="1510665"/>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1"/>
                          <a:stretch>
                            <a:fillRect/>
                          </a:stretch>
                        </pic:blipFill>
                        <pic:spPr bwMode="auto">
                          <a:xfrm>
                            <a:off x="0" y="0"/>
                            <a:ext cx="2697480" cy="1510665"/>
                          </a:xfrm>
                          <a:prstGeom prst="rect">
                            <a:avLst/>
                          </a:prstGeom>
                        </pic:spPr>
                      </pic:pic>
                    </a:graphicData>
                  </a:graphic>
                </wp:inline>
              </w:drawing>
            </w:r>
          </w:p>
        </w:tc>
      </w:tr>
      <w:tr>
        <w:trPr/>
        <w:tc>
          <w:tcPr>
            <w:tcW w:w="5083" w:type="dxa"/>
            <w:tcBorders/>
            <w:tcMar>
              <w:top w:w="20" w:type="dxa"/>
              <w:left w:w="60" w:type="dxa"/>
              <w:bottom w:w="40" w:type="dxa"/>
              <w:right w:w="60" w:type="dxa"/>
            </w:tcMar>
          </w:tcPr>
          <w:p>
            <w:pPr>
              <w:pStyle w:val="Normal"/>
              <w:spacing w:before="0" w:after="80"/>
              <w:jc w:val="center"/>
              <w:rPr/>
            </w:pPr>
            <w:r>
              <w:rPr>
                <w:i/>
                <w:color w:val="4B5563"/>
                <w:sz w:val="15"/>
              </w:rPr>
              <w:t>CEO target direction: premium central Hamza presence, integrated with system telemetry.</w:t>
            </w:r>
          </w:p>
        </w:tc>
        <w:tc>
          <w:tcPr>
            <w:tcW w:w="5082" w:type="dxa"/>
            <w:tcBorders/>
            <w:tcMar>
              <w:top w:w="20" w:type="dxa"/>
              <w:left w:w="60" w:type="dxa"/>
              <w:bottom w:w="40" w:type="dxa"/>
              <w:right w:w="60" w:type="dxa"/>
            </w:tcMar>
          </w:tcPr>
          <w:p>
            <w:pPr>
              <w:pStyle w:val="Normal"/>
              <w:spacing w:before="0" w:after="80"/>
              <w:jc w:val="center"/>
              <w:rPr/>
            </w:pPr>
            <w:r>
              <w:rPr>
                <w:i/>
                <w:color w:val="4B5563"/>
                <w:sz w:val="15"/>
              </w:rPr>
              <w:t>Alternative target direction: volumetric identity with a living voice and control surface.</w:t>
            </w:r>
          </w:p>
        </w:tc>
      </w:tr>
    </w:tbl>
    <w:p>
      <w:pPr>
        <w:pStyle w:val="Normal"/>
        <w:spacing w:before="0" w:after="0"/>
        <w:rPr/>
      </w:pPr>
      <w:r>
        <w:rPr/>
      </w:r>
    </w:p>
    <w:p>
      <w:pPr>
        <w:pStyle w:val="Heading1"/>
        <w:rPr/>
      </w:pPr>
      <w:r>
        <w:rPr/>
        <w:t>9. Chat, voice, privileged actions and security</w:t>
      </w:r>
    </w:p>
    <w:p>
      <w:pPr>
        <w:pStyle w:val="Normal"/>
        <w:rPr/>
      </w:pPr>
      <w:r>
        <w:rPr/>
        <w:t>The current Chat with Hamza / voice-line surface must be redesigned to support context, history, actions, status, approvals and evidence—not a shallow text box.</w:t>
      </w:r>
    </w:p>
    <w:p>
      <w:pPr>
        <w:pStyle w:val="ListBullet"/>
        <w:numPr>
          <w:ilvl w:val="0"/>
          <w:numId w:val="1"/>
        </w:numPr>
        <w:spacing w:before="0" w:after="40"/>
        <w:ind w:hanging="216" w:left="317"/>
        <w:contextualSpacing/>
        <w:rPr/>
      </w:pPr>
      <w:r>
        <w:rPr/>
        <w:t>Use encrypted secret storage; never store passwords in plaintext.</w:t>
      </w:r>
    </w:p>
    <w:p>
      <w:pPr>
        <w:pStyle w:val="ListBullet"/>
        <w:numPr>
          <w:ilvl w:val="0"/>
          <w:numId w:val="1"/>
        </w:numPr>
        <w:spacing w:before="0" w:after="40"/>
        <w:ind w:hanging="216" w:left="317"/>
        <w:contextualSpacing/>
        <w:rPr/>
      </w:pPr>
      <w:r>
        <w:rPr/>
        <w:t>Apply least privilege, expiry/TTL, approval gates and audit logs.</w:t>
      </w:r>
    </w:p>
    <w:p>
      <w:pPr>
        <w:pStyle w:val="ListBullet"/>
        <w:numPr>
          <w:ilvl w:val="0"/>
          <w:numId w:val="1"/>
        </w:numPr>
        <w:spacing w:before="0" w:after="40"/>
        <w:ind w:hanging="216" w:left="317"/>
        <w:contextualSpacing/>
        <w:rPr/>
      </w:pPr>
      <w:r>
        <w:rPr/>
        <w:t>Delete or rotate temporary credentials according to policy.</w:t>
      </w:r>
    </w:p>
    <w:p>
      <w:pPr>
        <w:pStyle w:val="ListBullet"/>
        <w:numPr>
          <w:ilvl w:val="0"/>
          <w:numId w:val="1"/>
        </w:numPr>
        <w:spacing w:before="0" w:after="40"/>
        <w:ind w:hanging="216" w:left="317"/>
        <w:contextualSpacing/>
        <w:rPr/>
      </w:pPr>
      <w:r>
        <w:rPr/>
        <w:t>Make privileged actions observable and reversible where possible.</w:t>
      </w:r>
    </w:p>
    <w:p>
      <w:pPr>
        <w:pStyle w:val="ListBullet"/>
        <w:numPr>
          <w:ilvl w:val="0"/>
          <w:numId w:val="1"/>
        </w:numPr>
        <w:spacing w:before="0" w:after="40"/>
        <w:ind w:hanging="216" w:left="317"/>
        <w:contextualSpacing/>
        <w:rPr/>
      </w:pPr>
      <w:r>
        <w:rPr/>
        <w:t>When an action is blocked, provide the precise constraint and a safe alternative.</w:t>
      </w:r>
    </w:p>
    <w:p>
      <w:pPr>
        <w:pStyle w:val="Heading1"/>
        <w:rPr/>
      </w:pPr>
      <w:r>
        <w:rPr/>
        <w:t>10. Hardware and quality constraints</w:t>
      </w:r>
    </w:p>
    <w:tbl>
      <w:tblPr>
        <w:tblStyle w:val="TableGrid"/>
        <w:tblW w:w="1016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5083"/>
        <w:gridCol w:w="5082"/>
      </w:tblGrid>
      <w:tr>
        <w:trPr/>
        <w:tc>
          <w:tcPr>
            <w:tcW w:w="5083" w:type="dxa"/>
            <w:tcBorders/>
            <w:shd w:fill="0D1526"/>
          </w:tcPr>
          <w:p>
            <w:pPr>
              <w:pStyle w:val="Normal"/>
              <w:widowControl/>
              <w:spacing w:before="0" w:after="80"/>
              <w:jc w:val="left"/>
              <w:rPr>
                <w:rFonts w:eastAsia="ＭＳ 明朝" w:cs=""/>
                <w:kern w:val="0"/>
                <w:szCs w:val="22"/>
                <w:lang w:val="en-US" w:eastAsia="en-US" w:bidi="ar-SA"/>
              </w:rPr>
            </w:pPr>
            <w:r>
              <w:rPr>
                <w:rFonts w:eastAsia="ＭＳ 明朝" w:cs=""/>
                <w:b/>
                <w:color w:val="FFFFFF"/>
                <w:kern w:val="0"/>
                <w:szCs w:val="22"/>
                <w:lang w:val="en-US" w:eastAsia="en-US" w:bidi="ar-SA"/>
              </w:rPr>
              <w:t>Component</w:t>
            </w:r>
          </w:p>
        </w:tc>
        <w:tc>
          <w:tcPr>
            <w:tcW w:w="5082" w:type="dxa"/>
            <w:tcBorders/>
            <w:shd w:fill="0D1526"/>
          </w:tcPr>
          <w:p>
            <w:pPr>
              <w:pStyle w:val="Normal"/>
              <w:widowControl/>
              <w:spacing w:before="0" w:after="80"/>
              <w:jc w:val="left"/>
              <w:rPr>
                <w:rFonts w:eastAsia="ＭＳ 明朝" w:cs=""/>
                <w:kern w:val="0"/>
                <w:szCs w:val="22"/>
                <w:lang w:val="en-US" w:eastAsia="en-US" w:bidi="ar-SA"/>
              </w:rPr>
            </w:pPr>
            <w:r>
              <w:rPr>
                <w:rFonts w:eastAsia="ＭＳ 明朝" w:cs=""/>
                <w:b/>
                <w:color w:val="FFFFFF"/>
                <w:kern w:val="0"/>
                <w:szCs w:val="22"/>
                <w:lang w:val="en-US" w:eastAsia="en-US" w:bidi="ar-SA"/>
              </w:rPr>
              <w:t>Target</w:t>
            </w:r>
          </w:p>
        </w:tc>
      </w:tr>
      <w:tr>
        <w:trPr/>
        <w:tc>
          <w:tcPr>
            <w:tcW w:w="5083" w:type="dxa"/>
            <w:tcBorders/>
            <w:shd w:fill="F2F4F7"/>
          </w:tcPr>
          <w:p>
            <w:pPr>
              <w:pStyle w:val="Normal"/>
              <w:widowControl/>
              <w:spacing w:before="0" w:after="80"/>
              <w:jc w:val="left"/>
              <w:rPr>
                <w:rFonts w:eastAsia="ＭＳ 明朝" w:cs=""/>
                <w:kern w:val="0"/>
                <w:szCs w:val="22"/>
                <w:lang w:val="en-US" w:eastAsia="en-US" w:bidi="ar-SA"/>
              </w:rPr>
            </w:pPr>
            <w:r>
              <w:rPr>
                <w:rFonts w:eastAsia="ＭＳ 明朝" w:cs=""/>
                <w:b/>
                <w:kern w:val="0"/>
                <w:sz w:val="16"/>
                <w:szCs w:val="22"/>
                <w:lang w:val="en-US" w:eastAsia="en-US" w:bidi="ar-SA"/>
              </w:rPr>
              <w:t>CPU</w:t>
            </w:r>
          </w:p>
        </w:tc>
        <w:tc>
          <w:tcPr>
            <w:tcW w:w="5082" w:type="dxa"/>
            <w:tcBorders/>
          </w:tcPr>
          <w:p>
            <w:pPr>
              <w:pStyle w:val="Normal"/>
              <w:widowControl/>
              <w:spacing w:before="0" w:after="80"/>
              <w:jc w:val="left"/>
              <w:rPr>
                <w:rFonts w:eastAsia="ＭＳ 明朝" w:cs=""/>
                <w:kern w:val="0"/>
                <w:szCs w:val="22"/>
                <w:lang w:val="en-US" w:eastAsia="en-US" w:bidi="ar-SA"/>
              </w:rPr>
            </w:pPr>
            <w:r>
              <w:rPr>
                <w:rFonts w:eastAsia="ＭＳ 明朝" w:cs=""/>
                <w:kern w:val="0"/>
                <w:sz w:val="16"/>
                <w:szCs w:val="22"/>
                <w:lang w:val="en-US" w:eastAsia="en-US" w:bidi="ar-SA"/>
              </w:rPr>
              <w:t>AMD Ryzen 9 7900X — 12 cores / 24 threads</w:t>
            </w:r>
          </w:p>
        </w:tc>
      </w:tr>
      <w:tr>
        <w:trPr/>
        <w:tc>
          <w:tcPr>
            <w:tcW w:w="5083" w:type="dxa"/>
            <w:tcBorders/>
            <w:shd w:fill="F2F4F7"/>
          </w:tcPr>
          <w:p>
            <w:pPr>
              <w:pStyle w:val="Normal"/>
              <w:widowControl/>
              <w:spacing w:before="0" w:after="80"/>
              <w:jc w:val="left"/>
              <w:rPr>
                <w:rFonts w:eastAsia="ＭＳ 明朝" w:cs=""/>
                <w:kern w:val="0"/>
                <w:szCs w:val="22"/>
                <w:lang w:val="en-US" w:eastAsia="en-US" w:bidi="ar-SA"/>
              </w:rPr>
            </w:pPr>
            <w:r>
              <w:rPr>
                <w:rFonts w:eastAsia="ＭＳ 明朝" w:cs=""/>
                <w:b/>
                <w:kern w:val="0"/>
                <w:sz w:val="16"/>
                <w:szCs w:val="22"/>
                <w:lang w:val="en-US" w:eastAsia="en-US" w:bidi="ar-SA"/>
              </w:rPr>
              <w:t>GPU</w:t>
            </w:r>
          </w:p>
        </w:tc>
        <w:tc>
          <w:tcPr>
            <w:tcW w:w="5082" w:type="dxa"/>
            <w:tcBorders/>
          </w:tcPr>
          <w:p>
            <w:pPr>
              <w:pStyle w:val="Normal"/>
              <w:widowControl/>
              <w:spacing w:before="0" w:after="80"/>
              <w:jc w:val="left"/>
              <w:rPr>
                <w:rFonts w:eastAsia="ＭＳ 明朝" w:cs=""/>
                <w:kern w:val="0"/>
                <w:szCs w:val="22"/>
                <w:lang w:val="en-US" w:eastAsia="en-US" w:bidi="ar-SA"/>
              </w:rPr>
            </w:pPr>
            <w:r>
              <w:rPr>
                <w:rFonts w:eastAsia="ＭＳ 明朝" w:cs=""/>
                <w:kern w:val="0"/>
                <w:sz w:val="16"/>
                <w:szCs w:val="22"/>
                <w:lang w:val="en-US" w:eastAsia="en-US" w:bidi="ar-SA"/>
              </w:rPr>
              <w:t>RTX 5060 Ti — 16 GB GDDR7</w:t>
            </w:r>
          </w:p>
        </w:tc>
      </w:tr>
      <w:tr>
        <w:trPr/>
        <w:tc>
          <w:tcPr>
            <w:tcW w:w="5083" w:type="dxa"/>
            <w:tcBorders/>
            <w:shd w:fill="F2F4F7"/>
          </w:tcPr>
          <w:p>
            <w:pPr>
              <w:pStyle w:val="Normal"/>
              <w:widowControl/>
              <w:spacing w:before="0" w:after="80"/>
              <w:jc w:val="left"/>
              <w:rPr>
                <w:rFonts w:eastAsia="ＭＳ 明朝" w:cs=""/>
                <w:kern w:val="0"/>
                <w:szCs w:val="22"/>
                <w:lang w:val="en-US" w:eastAsia="en-US" w:bidi="ar-SA"/>
              </w:rPr>
            </w:pPr>
            <w:r>
              <w:rPr>
                <w:rFonts w:eastAsia="ＭＳ 明朝" w:cs=""/>
                <w:b/>
                <w:kern w:val="0"/>
                <w:sz w:val="16"/>
                <w:szCs w:val="22"/>
                <w:lang w:val="en-US" w:eastAsia="en-US" w:bidi="ar-SA"/>
              </w:rPr>
              <w:t>Memory</w:t>
            </w:r>
          </w:p>
        </w:tc>
        <w:tc>
          <w:tcPr>
            <w:tcW w:w="5082" w:type="dxa"/>
            <w:tcBorders/>
          </w:tcPr>
          <w:p>
            <w:pPr>
              <w:pStyle w:val="Normal"/>
              <w:widowControl/>
              <w:spacing w:before="0" w:after="80"/>
              <w:jc w:val="left"/>
              <w:rPr>
                <w:rFonts w:eastAsia="ＭＳ 明朝" w:cs=""/>
                <w:kern w:val="0"/>
                <w:szCs w:val="22"/>
                <w:lang w:val="en-US" w:eastAsia="en-US" w:bidi="ar-SA"/>
              </w:rPr>
            </w:pPr>
            <w:r>
              <w:rPr>
                <w:rFonts w:eastAsia="ＭＳ 明朝" w:cs=""/>
                <w:kern w:val="0"/>
                <w:sz w:val="16"/>
                <w:szCs w:val="22"/>
                <w:lang w:val="en-US" w:eastAsia="en-US" w:bidi="ar-SA"/>
              </w:rPr>
              <w:t>32 GB DDR5-6000 RAM</w:t>
            </w:r>
          </w:p>
        </w:tc>
      </w:tr>
      <w:tr>
        <w:trPr/>
        <w:tc>
          <w:tcPr>
            <w:tcW w:w="5083" w:type="dxa"/>
            <w:tcBorders/>
            <w:shd w:fill="F2F4F7"/>
          </w:tcPr>
          <w:p>
            <w:pPr>
              <w:pStyle w:val="Normal"/>
              <w:widowControl/>
              <w:spacing w:before="0" w:after="80"/>
              <w:jc w:val="left"/>
              <w:rPr>
                <w:rFonts w:eastAsia="ＭＳ 明朝" w:cs=""/>
                <w:kern w:val="0"/>
                <w:szCs w:val="22"/>
                <w:lang w:val="en-US" w:eastAsia="en-US" w:bidi="ar-SA"/>
              </w:rPr>
            </w:pPr>
            <w:r>
              <w:rPr>
                <w:rFonts w:eastAsia="ＭＳ 明朝" w:cs=""/>
                <w:b/>
                <w:kern w:val="0"/>
                <w:sz w:val="16"/>
                <w:szCs w:val="22"/>
                <w:lang w:val="en-US" w:eastAsia="en-US" w:bidi="ar-SA"/>
              </w:rPr>
              <w:t>Storage</w:t>
            </w:r>
          </w:p>
        </w:tc>
        <w:tc>
          <w:tcPr>
            <w:tcW w:w="5082" w:type="dxa"/>
            <w:tcBorders/>
          </w:tcPr>
          <w:p>
            <w:pPr>
              <w:pStyle w:val="Normal"/>
              <w:widowControl/>
              <w:spacing w:before="0" w:after="80"/>
              <w:jc w:val="left"/>
              <w:rPr>
                <w:rFonts w:eastAsia="ＭＳ 明朝" w:cs=""/>
                <w:kern w:val="0"/>
                <w:szCs w:val="22"/>
                <w:lang w:val="en-US" w:eastAsia="en-US" w:bidi="ar-SA"/>
              </w:rPr>
            </w:pPr>
            <w:r>
              <w:rPr>
                <w:rFonts w:eastAsia="ＭＳ 明朝" w:cs=""/>
                <w:kern w:val="0"/>
                <w:sz w:val="16"/>
                <w:szCs w:val="22"/>
                <w:lang w:val="en-US" w:eastAsia="en-US" w:bidi="ar-SA"/>
              </w:rPr>
              <w:t>2 TB Samsung 990 Pro NVMe SSD</w:t>
            </w:r>
          </w:p>
        </w:tc>
      </w:tr>
      <w:tr>
        <w:trPr/>
        <w:tc>
          <w:tcPr>
            <w:tcW w:w="5083" w:type="dxa"/>
            <w:tcBorders/>
            <w:shd w:fill="F2F4F7"/>
          </w:tcPr>
          <w:p>
            <w:pPr>
              <w:pStyle w:val="Normal"/>
              <w:widowControl/>
              <w:spacing w:before="0" w:after="80"/>
              <w:jc w:val="left"/>
              <w:rPr>
                <w:rFonts w:eastAsia="ＭＳ 明朝" w:cs=""/>
                <w:kern w:val="0"/>
                <w:szCs w:val="22"/>
                <w:lang w:val="en-US" w:eastAsia="en-US" w:bidi="ar-SA"/>
              </w:rPr>
            </w:pPr>
            <w:r>
              <w:rPr>
                <w:rFonts w:eastAsia="ＭＳ 明朝" w:cs=""/>
                <w:b/>
                <w:kern w:val="0"/>
                <w:sz w:val="16"/>
                <w:szCs w:val="22"/>
                <w:lang w:val="en-US" w:eastAsia="en-US" w:bidi="ar-SA"/>
              </w:rPr>
              <w:t>Platform</w:t>
            </w:r>
          </w:p>
        </w:tc>
        <w:tc>
          <w:tcPr>
            <w:tcW w:w="5082" w:type="dxa"/>
            <w:tcBorders/>
          </w:tcPr>
          <w:p>
            <w:pPr>
              <w:pStyle w:val="Normal"/>
              <w:widowControl/>
              <w:spacing w:before="0" w:after="80"/>
              <w:jc w:val="left"/>
              <w:rPr>
                <w:rFonts w:eastAsia="ＭＳ 明朝" w:cs=""/>
                <w:kern w:val="0"/>
                <w:szCs w:val="22"/>
                <w:lang w:val="en-US" w:eastAsia="en-US" w:bidi="ar-SA"/>
              </w:rPr>
            </w:pPr>
            <w:r>
              <w:rPr>
                <w:rFonts w:eastAsia="ＭＳ 明朝" w:cs=""/>
                <w:kern w:val="0"/>
                <w:sz w:val="16"/>
                <w:szCs w:val="22"/>
                <w:lang w:val="en-US" w:eastAsia="en-US" w:bidi="ar-SA"/>
              </w:rPr>
              <w:t>ASUS TUF Gaming B650-E WiFi; 360 mm liquid cooling; 700 W 80+ Gold PSU</w:t>
            </w:r>
          </w:p>
        </w:tc>
      </w:tr>
    </w:tbl>
    <w:p>
      <w:pPr>
        <w:pStyle w:val="Normal"/>
        <w:rPr/>
      </w:pPr>
      <w:r>
        <w:rPr/>
        <w:t>Do not lower product quality merely to save compute or implementation effort. Major paid services or recurring costs must be presented with cost, benefit, alternatives and operational consequences for CEO approval.</w:t>
      </w:r>
    </w:p>
    <w:p>
      <w:pPr>
        <w:pStyle w:val="Heading1"/>
        <w:rPr/>
      </w:pPr>
      <w:r>
        <w:rPr/>
        <w:t>11. Mandatory deliverables before implementation</w:t>
      </w:r>
    </w:p>
    <w:p>
      <w:pPr>
        <w:pStyle w:val="Heading2"/>
        <w:rPr/>
      </w:pPr>
      <w:r>
        <w:rPr/>
        <w:t>Phase 0 — Audit</w:t>
      </w:r>
    </w:p>
    <w:p>
      <w:pPr>
        <w:pStyle w:val="ListBullet"/>
        <w:numPr>
          <w:ilvl w:val="0"/>
          <w:numId w:val="1"/>
        </w:numPr>
        <w:spacing w:before="0" w:after="40"/>
        <w:ind w:hanging="216" w:left="317"/>
        <w:contextualSpacing/>
        <w:rPr/>
      </w:pPr>
      <w:r>
        <w:rPr/>
        <w:t>00_ARTIFACT_INVENTORY.md</w:t>
      </w:r>
    </w:p>
    <w:p>
      <w:pPr>
        <w:pStyle w:val="ListBullet"/>
        <w:numPr>
          <w:ilvl w:val="0"/>
          <w:numId w:val="1"/>
        </w:numPr>
        <w:spacing w:before="0" w:after="40"/>
        <w:ind w:hanging="216" w:left="317"/>
        <w:contextualSpacing/>
        <w:rPr/>
      </w:pPr>
      <w:r>
        <w:rPr/>
        <w:t>01_KEEP_REWRITE_REPLACE_MATRIX.md</w:t>
      </w:r>
    </w:p>
    <w:p>
      <w:pPr>
        <w:pStyle w:val="ListBullet"/>
        <w:numPr>
          <w:ilvl w:val="0"/>
          <w:numId w:val="1"/>
        </w:numPr>
        <w:spacing w:before="0" w:after="40"/>
        <w:ind w:hanging="216" w:left="317"/>
        <w:contextualSpacing/>
        <w:rPr/>
      </w:pPr>
      <w:r>
        <w:rPr/>
        <w:t>Backup/version-control checkpoint</w:t>
      </w:r>
    </w:p>
    <w:p>
      <w:pPr>
        <w:pStyle w:val="ListBullet"/>
        <w:numPr>
          <w:ilvl w:val="0"/>
          <w:numId w:val="1"/>
        </w:numPr>
        <w:spacing w:before="0" w:after="40"/>
        <w:ind w:hanging="216" w:left="317"/>
        <w:contextualSpacing/>
        <w:rPr/>
      </w:pPr>
      <w:r>
        <w:rPr/>
        <w:t>List of missing or inaccessible evidence</w:t>
      </w:r>
    </w:p>
    <w:p>
      <w:pPr>
        <w:pStyle w:val="Heading2"/>
        <w:rPr/>
      </w:pPr>
      <w:r>
        <w:rPr/>
        <w:t>Phase 1 — Video evidence</w:t>
      </w:r>
    </w:p>
    <w:p>
      <w:pPr>
        <w:pStyle w:val="ListBullet"/>
        <w:numPr>
          <w:ilvl w:val="0"/>
          <w:numId w:val="1"/>
        </w:numPr>
        <w:spacing w:before="0" w:after="40"/>
        <w:ind w:hanging="216" w:left="317"/>
        <w:contextualSpacing/>
        <w:rPr/>
      </w:pPr>
      <w:r>
        <w:rPr/>
        <w:t>02_VIDEO_SOURCE_MANIFEST.md</w:t>
      </w:r>
    </w:p>
    <w:p>
      <w:pPr>
        <w:pStyle w:val="ListBullet"/>
        <w:numPr>
          <w:ilvl w:val="0"/>
          <w:numId w:val="1"/>
        </w:numPr>
        <w:spacing w:before="0" w:after="40"/>
        <w:ind w:hanging="216" w:left="317"/>
        <w:contextualSpacing/>
        <w:rPr/>
      </w:pPr>
      <w:r>
        <w:rPr/>
        <w:t>High-quality source videos</w:t>
      </w:r>
    </w:p>
    <w:p>
      <w:pPr>
        <w:pStyle w:val="ListBullet"/>
        <w:numPr>
          <w:ilvl w:val="0"/>
          <w:numId w:val="1"/>
        </w:numPr>
        <w:spacing w:before="0" w:after="40"/>
        <w:ind w:hanging="216" w:left="317"/>
        <w:contextualSpacing/>
        <w:rPr/>
      </w:pPr>
      <w:r>
        <w:rPr/>
        <w:t>Validated transcripts and regenerated frames</w:t>
      </w:r>
    </w:p>
    <w:p>
      <w:pPr>
        <w:pStyle w:val="ListBullet"/>
        <w:numPr>
          <w:ilvl w:val="0"/>
          <w:numId w:val="1"/>
        </w:numPr>
        <w:spacing w:before="0" w:after="40"/>
        <w:ind w:hanging="216" w:left="317"/>
        <w:contextualSpacing/>
        <w:rPr/>
      </w:pPr>
      <w:r>
        <w:rPr/>
        <w:t>Per-video timestamped temporal-analysis notes</w:t>
      </w:r>
    </w:p>
    <w:p>
      <w:pPr>
        <w:pStyle w:val="Heading2"/>
        <w:rPr/>
      </w:pPr>
      <w:r>
        <w:rPr/>
        <w:t>Phase 2 — Corrected analysis</w:t>
      </w:r>
    </w:p>
    <w:p>
      <w:pPr>
        <w:pStyle w:val="ListBullet"/>
        <w:numPr>
          <w:ilvl w:val="0"/>
          <w:numId w:val="1"/>
        </w:numPr>
        <w:spacing w:before="0" w:after="40"/>
        <w:ind w:hanging="216" w:left="317"/>
        <w:contextualSpacing/>
        <w:rPr/>
      </w:pPr>
      <w:r>
        <w:rPr/>
        <w:t>One report per source, written from nothing, across the whole queue (34 sources)</w:t>
      </w:r>
    </w:p>
    <w:p>
      <w:pPr>
        <w:pStyle w:val="ListBullet"/>
        <w:numPr>
          <w:ilvl w:val="0"/>
          <w:numId w:val="1"/>
        </w:numPr>
        <w:spacing w:before="0" w:after="40"/>
        <w:ind w:hanging="216" w:left="317"/>
        <w:contextualSpacing/>
        <w:rPr/>
      </w:pPr>
      <w:r>
        <w:rPr/>
        <w:t>Per-file change logs</w:t>
      </w:r>
    </w:p>
    <w:p>
      <w:pPr>
        <w:pStyle w:val="ListBullet"/>
        <w:numPr>
          <w:ilvl w:val="0"/>
          <w:numId w:val="1"/>
        </w:numPr>
        <w:spacing w:before="0" w:after="40"/>
        <w:ind w:hanging="216" w:left="317"/>
        <w:contextualSpacing/>
        <w:rPr/>
      </w:pPr>
      <w:r>
        <w:rPr/>
        <w:t>03_COMPETITOR_CAPABILITY_MATRIX.md</w:t>
      </w:r>
    </w:p>
    <w:p>
      <w:pPr>
        <w:pStyle w:val="ListBullet"/>
        <w:numPr>
          <w:ilvl w:val="0"/>
          <w:numId w:val="1"/>
        </w:numPr>
        <w:spacing w:before="0" w:after="40"/>
        <w:ind w:hanging="216" w:left="317"/>
        <w:contextualSpacing/>
        <w:rPr/>
      </w:pPr>
      <w:r>
        <w:rPr/>
        <w:t>04_DXB_GAP_ANALYSIS.md</w:t>
      </w:r>
    </w:p>
    <w:p>
      <w:pPr>
        <w:pStyle w:val="ListBullet"/>
        <w:numPr>
          <w:ilvl w:val="0"/>
          <w:numId w:val="1"/>
        </w:numPr>
        <w:spacing w:before="0" w:after="40"/>
        <w:ind w:hanging="216" w:left="317"/>
        <w:contextualSpacing/>
        <w:rPr/>
      </w:pPr>
      <w:r>
        <w:rPr/>
        <w:t>Explicit correction of unsupported previous claims</w:t>
      </w:r>
    </w:p>
    <w:p>
      <w:pPr>
        <w:pStyle w:val="Heading2"/>
        <w:rPr/>
      </w:pPr>
      <w:r>
        <w:rPr/>
        <w:t>Phase 3 — Product architecture</w:t>
      </w:r>
    </w:p>
    <w:p>
      <w:pPr>
        <w:pStyle w:val="ListBullet"/>
        <w:numPr>
          <w:ilvl w:val="0"/>
          <w:numId w:val="1"/>
        </w:numPr>
        <w:spacing w:before="0" w:after="40"/>
        <w:ind w:hanging="216" w:left="317"/>
        <w:contextualSpacing/>
        <w:rPr/>
      </w:pPr>
      <w:r>
        <w:rPr/>
        <w:t>Business OS vs machine/admin separation</w:t>
      </w:r>
    </w:p>
    <w:p>
      <w:pPr>
        <w:pStyle w:val="ListBullet"/>
        <w:numPr>
          <w:ilvl w:val="0"/>
          <w:numId w:val="1"/>
        </w:numPr>
        <w:spacing w:before="0" w:after="40"/>
        <w:ind w:hanging="216" w:left="317"/>
        <w:contextualSpacing/>
        <w:rPr/>
      </w:pPr>
      <w:r>
        <w:rPr/>
        <w:t>Canonical entities, relationships and ownership</w:t>
      </w:r>
    </w:p>
    <w:p>
      <w:pPr>
        <w:pStyle w:val="ListBullet"/>
        <w:numPr>
          <w:ilvl w:val="0"/>
          <w:numId w:val="1"/>
        </w:numPr>
        <w:spacing w:before="0" w:after="40"/>
        <w:ind w:hanging="216" w:left="317"/>
        <w:contextualSpacing/>
        <w:rPr/>
      </w:pPr>
      <w:r>
        <w:rPr/>
        <w:t>Navigation/page map</w:t>
      </w:r>
    </w:p>
    <w:p>
      <w:pPr>
        <w:pStyle w:val="ListBullet"/>
        <w:numPr>
          <w:ilvl w:val="0"/>
          <w:numId w:val="1"/>
        </w:numPr>
        <w:spacing w:before="0" w:after="40"/>
        <w:ind w:hanging="216" w:left="317"/>
        <w:contextualSpacing/>
        <w:rPr/>
      </w:pPr>
      <w:r>
        <w:rPr/>
        <w:t>Live-data and honest-empty-state contracts</w:t>
      </w:r>
    </w:p>
    <w:p>
      <w:pPr>
        <w:pStyle w:val="ListBullet"/>
        <w:numPr>
          <w:ilvl w:val="0"/>
          <w:numId w:val="1"/>
        </w:numPr>
        <w:spacing w:before="0" w:after="40"/>
        <w:ind w:hanging="216" w:left="317"/>
        <w:contextualSpacing/>
        <w:rPr/>
      </w:pPr>
      <w:r>
        <w:rPr/>
        <w:t>Hamza/director/meeting architecture</w:t>
      </w:r>
    </w:p>
    <w:p>
      <w:pPr>
        <w:pStyle w:val="ListBullet"/>
        <w:numPr>
          <w:ilvl w:val="0"/>
          <w:numId w:val="1"/>
        </w:numPr>
        <w:spacing w:before="0" w:after="40"/>
        <w:ind w:hanging="216" w:left="317"/>
        <w:contextualSpacing/>
        <w:rPr/>
      </w:pPr>
      <w:r>
        <w:rPr/>
        <w:t>Revenue/profit-centred operating model</w:t>
      </w:r>
    </w:p>
    <w:p>
      <w:pPr>
        <w:pStyle w:val="Heading2"/>
        <w:rPr/>
      </w:pPr>
      <w:r>
        <w:rPr/>
        <w:t>Phase 4 — Visual approval</w:t>
      </w:r>
    </w:p>
    <w:p>
      <w:pPr>
        <w:pStyle w:val="ListBullet"/>
        <w:numPr>
          <w:ilvl w:val="0"/>
          <w:numId w:val="1"/>
        </w:numPr>
        <w:spacing w:before="0" w:after="40"/>
        <w:ind w:hanging="216" w:left="317"/>
        <w:contextualSpacing/>
        <w:rPr/>
      </w:pPr>
      <w:r>
        <w:rPr/>
        <w:t>Design and motion system</w:t>
      </w:r>
    </w:p>
    <w:p>
      <w:pPr>
        <w:pStyle w:val="ListBullet"/>
        <w:numPr>
          <w:ilvl w:val="0"/>
          <w:numId w:val="1"/>
        </w:numPr>
        <w:spacing w:before="0" w:after="40"/>
        <w:ind w:hanging="216" w:left="317"/>
        <w:contextualSpacing/>
        <w:rPr/>
      </w:pPr>
      <w:r>
        <w:rPr/>
        <w:t>High-fidelity global shell</w:t>
      </w:r>
    </w:p>
    <w:p>
      <w:pPr>
        <w:pStyle w:val="ListBullet"/>
        <w:numPr>
          <w:ilvl w:val="0"/>
          <w:numId w:val="1"/>
        </w:numPr>
        <w:spacing w:before="0" w:after="40"/>
        <w:ind w:hanging="216" w:left="317"/>
        <w:contextualSpacing/>
        <w:rPr/>
      </w:pPr>
      <w:r>
        <w:rPr/>
        <w:t>Every major page shown visually</w:t>
      </w:r>
    </w:p>
    <w:p>
      <w:pPr>
        <w:pStyle w:val="ListBullet"/>
        <w:numPr>
          <w:ilvl w:val="0"/>
          <w:numId w:val="1"/>
        </w:numPr>
        <w:spacing w:before="0" w:after="40"/>
        <w:ind w:hanging="216" w:left="317"/>
        <w:contextualSpacing/>
        <w:rPr/>
      </w:pPr>
      <w:r>
        <w:rPr/>
        <w:t>Normal/loading/empty/error/permission/live states</w:t>
      </w:r>
    </w:p>
    <w:p>
      <w:pPr>
        <w:pStyle w:val="ListBullet"/>
        <w:numPr>
          <w:ilvl w:val="0"/>
          <w:numId w:val="1"/>
        </w:numPr>
        <w:spacing w:before="0" w:after="40"/>
        <w:ind w:hanging="216" w:left="317"/>
        <w:contextualSpacing/>
        <w:rPr/>
      </w:pPr>
      <w:r>
        <w:rPr/>
        <w:t>Hamza states and repositioning</w:t>
      </w:r>
    </w:p>
    <w:p>
      <w:pPr>
        <w:pStyle w:val="ListBullet"/>
        <w:numPr>
          <w:ilvl w:val="0"/>
          <w:numId w:val="1"/>
        </w:numPr>
        <w:spacing w:before="0" w:after="40"/>
        <w:ind w:hanging="216" w:left="317"/>
        <w:contextualSpacing/>
        <w:rPr/>
      </w:pPr>
      <w:r>
        <w:rPr/>
        <w:t>Directors and meeting room</w:t>
      </w:r>
    </w:p>
    <w:p>
      <w:pPr>
        <w:pStyle w:val="ListBullet"/>
        <w:numPr>
          <w:ilvl w:val="0"/>
          <w:numId w:val="1"/>
        </w:numPr>
        <w:spacing w:before="0" w:after="40"/>
        <w:ind w:hanging="216" w:left="317"/>
        <w:contextualSpacing/>
        <w:rPr/>
      </w:pPr>
      <w:r>
        <w:rPr/>
        <w:t>Chat/Voice redesign</w:t>
      </w:r>
    </w:p>
    <w:p>
      <w:pPr>
        <w:pStyle w:val="ListBullet"/>
        <w:numPr>
          <w:ilvl w:val="0"/>
          <w:numId w:val="1"/>
        </w:numPr>
        <w:spacing w:before="0" w:after="40"/>
        <w:ind w:hanging="216" w:left="317"/>
        <w:contextualSpacing/>
        <w:rPr/>
      </w:pPr>
      <w:r>
        <w:rPr/>
        <w:t>Real or clearly labelled sample data</w:t>
      </w:r>
    </w:p>
    <w:p>
      <w:pPr>
        <w:pStyle w:val="ListBullet"/>
        <w:numPr>
          <w:ilvl w:val="0"/>
          <w:numId w:val="1"/>
        </w:numPr>
        <w:spacing w:before="0" w:after="40"/>
        <w:ind w:hanging="216" w:left="317"/>
        <w:contextualSpacing/>
        <w:rPr/>
      </w:pPr>
      <w:r>
        <w:rPr/>
        <w:t>Function-to-visual mapping</w:t>
      </w:r>
    </w:p>
    <w:tbl>
      <w:tblPr>
        <w:tblW w:w="1016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166"/>
      </w:tblGrid>
      <w:tr>
        <w:trPr/>
        <w:tc>
          <w:tcPr>
            <w:tcW w:w="10166" w:type="dxa"/>
            <w:tcBorders>
              <w:left w:val="single" w:sz="22" w:space="0" w:color="B42318"/>
            </w:tcBorders>
            <w:shd w:fill="FCE8E6"/>
          </w:tcPr>
          <w:p>
            <w:pPr>
              <w:pStyle w:val="Normal"/>
              <w:spacing w:before="0" w:after="40"/>
              <w:rPr/>
            </w:pPr>
            <w:r>
              <w:rPr>
                <w:b/>
                <w:color w:val="B42318"/>
                <w:sz w:val="21"/>
              </w:rPr>
              <w:t>APPROVAL GATE</w:t>
            </w:r>
          </w:p>
          <w:p>
            <w:pPr>
              <w:pStyle w:val="Normal"/>
              <w:spacing w:before="0" w:after="0"/>
              <w:rPr/>
            </w:pPr>
            <w:r>
              <w:rPr>
                <w:color w:val="111827"/>
                <w:sz w:val="18"/>
              </w:rPr>
              <w:t>Implementation begins only after the CEO explicitly approves the complete visual design package.</w:t>
            </w:r>
          </w:p>
        </w:tc>
      </w:tr>
    </w:tbl>
    <w:p>
      <w:pPr>
        <w:pStyle w:val="Normal"/>
        <w:spacing w:before="0" w:after="0"/>
        <w:rPr/>
      </w:pPr>
      <w:r>
        <w:rPr/>
      </w:r>
    </w:p>
    <w:p>
      <w:pPr>
        <w:pStyle w:val="Heading1"/>
        <w:rPr/>
      </w:pPr>
      <w:r>
        <w:rPr/>
        <w:t>12. Rejection conditions</w:t>
      </w:r>
    </w:p>
    <w:p>
      <w:pPr>
        <w:pStyle w:val="ListBullet"/>
        <w:numPr>
          <w:ilvl w:val="0"/>
          <w:numId w:val="1"/>
        </w:numPr>
        <w:spacing w:before="0" w:after="40"/>
        <w:ind w:hanging="216" w:left="317"/>
        <w:contextualSpacing/>
        <w:rPr/>
      </w:pPr>
      <w:r>
        <w:rPr/>
        <w:t>Low-resolution or sparse-frame analysis is used as the main evidence.</w:t>
      </w:r>
    </w:p>
    <w:p>
      <w:pPr>
        <w:pStyle w:val="ListBullet"/>
        <w:numPr>
          <w:ilvl w:val="0"/>
          <w:numId w:val="1"/>
        </w:numPr>
        <w:spacing w:before="0" w:after="40"/>
        <w:ind w:hanging="216" w:left="317"/>
        <w:contextualSpacing/>
        <w:rPr/>
      </w:pPr>
      <w:r>
        <w:rPr/>
        <w:t>The agent claims to have watched a video when it inspected only isolated frames.</w:t>
      </w:r>
    </w:p>
    <w:p>
      <w:pPr>
        <w:pStyle w:val="ListBullet"/>
        <w:numPr>
          <w:ilvl w:val="0"/>
          <w:numId w:val="1"/>
        </w:numPr>
        <w:spacing w:before="0" w:after="40"/>
        <w:ind w:hanging="216" w:left="317"/>
        <w:contextualSpacing/>
        <w:rPr/>
      </w:pPr>
      <w:r>
        <w:rPr/>
        <w:t>Unsupported criticism remains.</w:t>
      </w:r>
    </w:p>
    <w:p>
      <w:pPr>
        <w:pStyle w:val="ListBullet"/>
        <w:numPr>
          <w:ilvl w:val="0"/>
          <w:numId w:val="1"/>
        </w:numPr>
        <w:spacing w:before="0" w:after="40"/>
        <w:ind w:hanging="216" w:left="317"/>
        <w:contextualSpacing/>
        <w:rPr/>
      </w:pPr>
      <w:r>
        <w:rPr/>
        <w:t>CEO-confirmed evidence is ignored or mislabelled.</w:t>
      </w:r>
    </w:p>
    <w:p>
      <w:pPr>
        <w:pStyle w:val="ListBullet"/>
        <w:numPr>
          <w:ilvl w:val="0"/>
          <w:numId w:val="1"/>
        </w:numPr>
        <w:spacing w:before="0" w:after="40"/>
        <w:ind w:hanging="216" w:left="317"/>
        <w:contextualSpacing/>
        <w:rPr/>
      </w:pPr>
      <w:r>
        <w:rPr/>
        <w:t>All old work is discarded without assessing reuse. Clarified 2026-08-04: the CEO’s own order discarded the 16 VERDICTS, while the raw material was assessed and kept — so obeying him satisfies this condition rather than breaking it.</w:t>
      </w:r>
    </w:p>
    <w:p>
      <w:pPr>
        <w:pStyle w:val="ListBullet"/>
        <w:numPr>
          <w:ilvl w:val="0"/>
          <w:numId w:val="1"/>
        </w:numPr>
        <w:spacing w:before="0" w:after="40"/>
        <w:ind w:hanging="216" w:left="317"/>
        <w:contextualSpacing/>
        <w:rPr/>
      </w:pPr>
      <w:r>
        <w:rPr/>
        <w:t>Files are overwritten without backup and change history.</w:t>
      </w:r>
    </w:p>
    <w:p>
      <w:pPr>
        <w:pStyle w:val="ListBullet"/>
        <w:numPr>
          <w:ilvl w:val="0"/>
          <w:numId w:val="1"/>
        </w:numPr>
        <w:spacing w:before="0" w:after="40"/>
        <w:ind w:hanging="216" w:left="317"/>
        <w:contextualSpacing/>
        <w:rPr/>
      </w:pPr>
      <w:r>
        <w:rPr/>
        <w:t>DXB is praised defensively rather than audited honestly.</w:t>
      </w:r>
    </w:p>
    <w:p>
      <w:pPr>
        <w:pStyle w:val="ListBullet"/>
        <w:numPr>
          <w:ilvl w:val="0"/>
          <w:numId w:val="1"/>
        </w:numPr>
        <w:spacing w:before="0" w:after="40"/>
        <w:ind w:hanging="216" w:left="317"/>
        <w:contextualSpacing/>
        <w:rPr/>
      </w:pPr>
      <w:r>
        <w:rPr/>
        <w:t>Construction data remains mixed with the business OS.</w:t>
      </w:r>
    </w:p>
    <w:p>
      <w:pPr>
        <w:pStyle w:val="ListBullet"/>
        <w:numPr>
          <w:ilvl w:val="0"/>
          <w:numId w:val="1"/>
        </w:numPr>
        <w:spacing w:before="0" w:after="40"/>
        <w:ind w:hanging="216" w:left="317"/>
        <w:contextualSpacing/>
        <w:rPr/>
      </w:pPr>
      <w:r>
        <w:rPr/>
        <w:t>Design is described only in prose without visual mockups.</w:t>
      </w:r>
    </w:p>
    <w:p>
      <w:pPr>
        <w:pStyle w:val="ListBullet"/>
        <w:numPr>
          <w:ilvl w:val="0"/>
          <w:numId w:val="1"/>
        </w:numPr>
        <w:spacing w:before="0" w:after="40"/>
        <w:ind w:hanging="216" w:left="317"/>
        <w:contextualSpacing/>
        <w:rPr/>
      </w:pPr>
      <w:r>
        <w:rPr/>
        <w:t>Implementation starts before CEO approval.</w:t>
      </w:r>
    </w:p>
    <w:p>
      <w:pPr>
        <w:pStyle w:val="ListBullet"/>
        <w:numPr>
          <w:ilvl w:val="0"/>
          <w:numId w:val="1"/>
        </w:numPr>
        <w:spacing w:before="0" w:after="40"/>
        <w:ind w:hanging="216" w:left="317"/>
        <w:contextualSpacing/>
        <w:rPr/>
      </w:pPr>
      <w:r>
        <w:rPr/>
        <w:t>Numbers or charts lack traceable provenance.</w:t>
      </w:r>
    </w:p>
    <w:p>
      <w:pPr>
        <w:pStyle w:val="ListBullet"/>
        <w:numPr>
          <w:ilvl w:val="0"/>
          <w:numId w:val="1"/>
        </w:numPr>
        <w:spacing w:before="0" w:after="40"/>
        <w:ind w:hanging="216" w:left="317"/>
        <w:contextualSpacing/>
        <w:rPr/>
      </w:pPr>
      <w:r>
        <w:rPr/>
        <w:t>Hamza remains fragmented.</w:t>
      </w:r>
    </w:p>
    <w:p>
      <w:pPr>
        <w:pStyle w:val="ListBullet"/>
        <w:numPr>
          <w:ilvl w:val="0"/>
          <w:numId w:val="1"/>
        </w:numPr>
        <w:spacing w:before="0" w:after="40"/>
        <w:ind w:hanging="216" w:left="317"/>
        <w:contextualSpacing/>
        <w:rPr/>
      </w:pPr>
      <w:r>
        <w:rPr/>
        <w:t>“</w:t>
      </w:r>
      <w:r>
        <w:rPr/>
        <w:t>Living UI” becomes decorative noise.</w:t>
      </w:r>
    </w:p>
    <w:p>
      <w:pPr>
        <w:pStyle w:val="Heading1"/>
        <w:rPr/>
      </w:pPr>
      <w:r>
        <w:rPr/>
        <w:t>13. Required Superpowers sequence</w:t>
      </w:r>
    </w:p>
    <w:p>
      <w:pPr>
        <w:pStyle w:val="ListNumber"/>
        <w:numPr>
          <w:ilvl w:val="0"/>
          <w:numId w:val="4"/>
        </w:numPr>
        <w:spacing w:before="0" w:after="40"/>
        <w:contextualSpacing/>
        <w:rPr/>
      </w:pPr>
      <w:r>
        <w:rPr/>
        <w:t>Invoke `superpowers:brainstorming`.</w:t>
      </w:r>
    </w:p>
    <w:p>
      <w:pPr>
        <w:pStyle w:val="ListNumber"/>
        <w:numPr>
          <w:ilvl w:val="0"/>
          <w:numId w:val="4"/>
        </w:numPr>
        <w:spacing w:before="0" w:after="40"/>
        <w:contextualSpacing/>
        <w:rPr/>
      </w:pPr>
      <w:r>
        <w:rPr/>
        <w:t>Read this directive, the original ODT, complaint files, the rival-intelligence ledger and the reports written so far, transcripts, videos and relevant code. The 16 old analyses were deleted on the CEO’s order and may not be restored from version history.</w:t>
      </w:r>
    </w:p>
    <w:p>
      <w:pPr>
        <w:pStyle w:val="ListNumber"/>
        <w:numPr>
          <w:ilvl w:val="0"/>
          <w:numId w:val="4"/>
        </w:numPr>
        <w:spacing w:before="0" w:after="40"/>
        <w:contextualSpacing/>
        <w:rPr/>
      </w:pPr>
      <w:r>
        <w:rPr/>
        <w:t>Complete Phase 0 and propose the evidence method, rewrite policy, architecture approach and acceptance test.</w:t>
      </w:r>
    </w:p>
    <w:p>
      <w:pPr>
        <w:pStyle w:val="ListNumber"/>
        <w:numPr>
          <w:ilvl w:val="0"/>
          <w:numId w:val="4"/>
        </w:numPr>
        <w:spacing w:before="0" w:after="40"/>
        <w:contextualSpacing/>
        <w:rPr/>
      </w:pPr>
      <w:r>
        <w:rPr/>
        <w:t>Ask questions one at a time—and only after inspecting available evidence.</w:t>
      </w:r>
    </w:p>
    <w:p>
      <w:pPr>
        <w:pStyle w:val="ListNumber"/>
        <w:numPr>
          <w:ilvl w:val="0"/>
          <w:numId w:val="4"/>
        </w:numPr>
        <w:spacing w:before="0" w:after="40"/>
        <w:contextualSpacing/>
        <w:rPr/>
      </w:pPr>
      <w:r>
        <w:rPr/>
        <w:t>Do not edit production code or begin implementation.</w:t>
      </w:r>
    </w:p>
    <w:p>
      <w:pPr>
        <w:pStyle w:val="ListNumber"/>
        <w:numPr>
          <w:ilvl w:val="0"/>
          <w:numId w:val="4"/>
        </w:numPr>
        <w:spacing w:before="0" w:after="40"/>
        <w:contextualSpacing/>
        <w:rPr/>
      </w:pPr>
      <w:r>
        <w:rPr/>
        <w:t>After methodology/design approval, invoke `superpowers:writing-plans`.</w:t>
      </w:r>
    </w:p>
    <w:p>
      <w:pPr>
        <w:pStyle w:val="ListNumber"/>
        <w:numPr>
          <w:ilvl w:val="0"/>
          <w:numId w:val="4"/>
        </w:numPr>
        <w:spacing w:before="0" w:after="40"/>
        <w:contextualSpacing/>
        <w:rPr/>
      </w:pPr>
      <w:r>
        <w:rPr/>
        <w:t>After plan approval, execute in controlled stages with review and verification.</w:t>
      </w:r>
    </w:p>
    <w:p>
      <w:pPr>
        <w:pStyle w:val="Normal"/>
        <w:rPr/>
      </w:pPr>
      <w:r>
        <w:rPr/>
        <w:t>Do not layer `/ultraplan` on top of this workflow unless the CEO explicitly changes the instruction.</w:t>
      </w:r>
    </w:p>
    <w:p>
      <w:pPr>
        <w:pStyle w:val="Heading1"/>
        <w:rPr/>
      </w:pPr>
      <w:r>
        <w:rPr/>
        <w:t>14. Additional source URLs</w:t>
      </w:r>
    </w:p>
    <w:p>
      <w:pPr>
        <w:pStyle w:val="Normal"/>
        <w:rPr/>
      </w:pPr>
      <w:r>
        <w:rPr/>
        <w:t>Analyse all previously collected videos and every additional URL below. These are supplementary inputs; do not reduce the product vision to only the features shown in them.</w:t>
      </w:r>
    </w:p>
    <w:p>
      <w:pPr>
        <w:pStyle w:val="ListNumber"/>
        <w:numPr>
          <w:ilvl w:val="0"/>
          <w:numId w:val="4"/>
        </w:numPr>
        <w:spacing w:before="0" w:after="20"/>
        <w:contextualSpacing/>
        <w:rPr/>
      </w:pPr>
      <w:r>
        <w:rPr>
          <w:color w:val="175CD3"/>
          <w:sz w:val="16"/>
        </w:rPr>
        <w:t>https://www.instagram.com/reel/DZoJOLQoQY2/?utm_source=ig_web_copy_link&amp;igsh=NTc4MTIwNjQ2YQ==</w:t>
      </w:r>
    </w:p>
    <w:p>
      <w:pPr>
        <w:pStyle w:val="ListNumber"/>
        <w:numPr>
          <w:ilvl w:val="0"/>
          <w:numId w:val="4"/>
        </w:numPr>
        <w:spacing w:before="0" w:after="20"/>
        <w:contextualSpacing/>
        <w:rPr/>
      </w:pPr>
      <w:r>
        <w:rPr>
          <w:color w:val="175CD3"/>
          <w:sz w:val="16"/>
        </w:rPr>
        <w:t>https://www.instagram.com/reel/DZC-H3tRH7C/?igsh=Y3d6Y3Y3MTR5dm5k</w:t>
      </w:r>
    </w:p>
    <w:p>
      <w:pPr>
        <w:pStyle w:val="ListNumber"/>
        <w:numPr>
          <w:ilvl w:val="0"/>
          <w:numId w:val="4"/>
        </w:numPr>
        <w:spacing w:before="0" w:after="20"/>
        <w:contextualSpacing/>
        <w:rPr/>
      </w:pPr>
      <w:r>
        <w:rPr>
          <w:color w:val="175CD3"/>
          <w:sz w:val="16"/>
        </w:rPr>
        <w:t>https://www.instagram.com/reel/DZc0F3Nx2rb/?igsh=ZHV5YXpwZTBzdzcx</w:t>
      </w:r>
    </w:p>
    <w:p>
      <w:pPr>
        <w:pStyle w:val="ListNumber"/>
        <w:numPr>
          <w:ilvl w:val="0"/>
          <w:numId w:val="4"/>
        </w:numPr>
        <w:spacing w:before="0" w:after="20"/>
        <w:contextualSpacing/>
        <w:rPr/>
      </w:pPr>
      <w:r>
        <w:rPr>
          <w:color w:val="175CD3"/>
          <w:sz w:val="16"/>
        </w:rPr>
        <w:t>https://www.instagram.com/reel/Da0EUZAu0ve/?igsh=MWI2Nm13bng3b2l4cg==</w:t>
      </w:r>
    </w:p>
    <w:p>
      <w:pPr>
        <w:pStyle w:val="ListNumber"/>
        <w:numPr>
          <w:ilvl w:val="0"/>
          <w:numId w:val="4"/>
        </w:numPr>
        <w:spacing w:before="0" w:after="20"/>
        <w:contextualSpacing/>
        <w:rPr/>
      </w:pPr>
      <w:r>
        <w:rPr>
          <w:color w:val="175CD3"/>
          <w:sz w:val="16"/>
        </w:rPr>
        <w:t>https://www.instagram.com/reel/DXyvXCNITAK/?igsh=MWgyM3R1eWFpdmI0bg==</w:t>
      </w:r>
    </w:p>
    <w:p>
      <w:pPr>
        <w:pStyle w:val="ListNumber"/>
        <w:numPr>
          <w:ilvl w:val="0"/>
          <w:numId w:val="4"/>
        </w:numPr>
        <w:spacing w:before="0" w:after="20"/>
        <w:contextualSpacing/>
        <w:rPr/>
      </w:pPr>
      <w:r>
        <w:rPr>
          <w:color w:val="175CD3"/>
          <w:sz w:val="16"/>
        </w:rPr>
        <w:t>https://www.instagram.com/reel/DanLpQ2KdzV/?igsh=aTVieWdmbDBpNXZs</w:t>
      </w:r>
    </w:p>
    <w:p>
      <w:pPr>
        <w:pStyle w:val="ListNumber"/>
        <w:numPr>
          <w:ilvl w:val="0"/>
          <w:numId w:val="4"/>
        </w:numPr>
        <w:spacing w:before="0" w:after="20"/>
        <w:contextualSpacing/>
        <w:rPr/>
      </w:pPr>
      <w:r>
        <w:rPr>
          <w:color w:val="175CD3"/>
          <w:sz w:val="16"/>
        </w:rPr>
        <w:t>https://www.instagram.com/reel/DaTUI9xChIR/?igsh=cWsxbDBmN3BsNDFx</w:t>
      </w:r>
    </w:p>
    <w:p>
      <w:pPr>
        <w:pStyle w:val="ListNumber"/>
        <w:numPr>
          <w:ilvl w:val="0"/>
          <w:numId w:val="4"/>
        </w:numPr>
        <w:spacing w:before="0" w:after="20"/>
        <w:contextualSpacing/>
        <w:rPr/>
      </w:pPr>
      <w:r>
        <w:rPr>
          <w:color w:val="175CD3"/>
          <w:sz w:val="16"/>
        </w:rPr>
        <w:t>https://www.instagram.com/reel/Da1NGf0sfs3/?igsh=NXVnazFmZ2V5cm1j</w:t>
      </w:r>
    </w:p>
    <w:p>
      <w:pPr>
        <w:pStyle w:val="ListNumber"/>
        <w:numPr>
          <w:ilvl w:val="0"/>
          <w:numId w:val="4"/>
        </w:numPr>
        <w:spacing w:before="0" w:after="20"/>
        <w:contextualSpacing/>
        <w:rPr/>
      </w:pPr>
      <w:r>
        <w:rPr>
          <w:color w:val="175CD3"/>
          <w:sz w:val="16"/>
        </w:rPr>
        <w:t>https://www.instagram.com/reel/DZY7s0LK2vj/?igsh=YmhzMmNxdGd3ZHVt</w:t>
      </w:r>
    </w:p>
    <w:p>
      <w:pPr>
        <w:pStyle w:val="ListNumber"/>
        <w:numPr>
          <w:ilvl w:val="0"/>
          <w:numId w:val="4"/>
        </w:numPr>
        <w:spacing w:before="0" w:after="20"/>
        <w:contextualSpacing/>
        <w:rPr/>
      </w:pPr>
      <w:r>
        <w:rPr>
          <w:color w:val="175CD3"/>
          <w:sz w:val="16"/>
        </w:rPr>
        <w:t>https://www.instagram.com/reel/Day97uOu0SA/?igsh=MTNoMHZjZ2RvazR5cA==</w:t>
      </w:r>
    </w:p>
    <w:p>
      <w:pPr>
        <w:pStyle w:val="ListNumber"/>
        <w:numPr>
          <w:ilvl w:val="0"/>
          <w:numId w:val="4"/>
        </w:numPr>
        <w:spacing w:before="0" w:after="20"/>
        <w:contextualSpacing/>
        <w:rPr/>
      </w:pPr>
      <w:r>
        <w:rPr>
          <w:color w:val="175CD3"/>
          <w:sz w:val="16"/>
        </w:rPr>
        <w:t>https://www.instagram.com/reel/Dajd_9PuW1r/?igsh=NGFpejduNGNjdWhq</w:t>
      </w:r>
    </w:p>
    <w:p>
      <w:pPr>
        <w:pStyle w:val="ListNumber"/>
        <w:numPr>
          <w:ilvl w:val="0"/>
          <w:numId w:val="4"/>
        </w:numPr>
        <w:spacing w:before="0" w:after="20"/>
        <w:contextualSpacing/>
        <w:rPr/>
      </w:pPr>
      <w:hyperlink r:id="rId13">
        <w:r>
          <w:rPr>
            <w:rStyle w:val="Hyperlink"/>
            <w:color w:val="175CD3"/>
            <w:sz w:val="16"/>
          </w:rPr>
          <w:t>https://www.instagram.com/reel/DaWrNiQO7QH/?igsh=YzRkazFkZWExbGkx</w:t>
        </w:r>
      </w:hyperlink>
    </w:p>
    <w:p>
      <w:pPr>
        <w:pStyle w:val="ListNumber"/>
        <w:numPr>
          <w:ilvl w:val="0"/>
          <w:numId w:val="4"/>
        </w:numPr>
        <w:spacing w:before="0" w:after="20"/>
        <w:contextualSpacing/>
        <w:rPr/>
      </w:pPr>
      <w:hyperlink r:id="rId15">
        <w:r>
          <w:rPr>
            <w:rStyle w:val="Hyperlink"/>
            <w:color w:val="175CD3"/>
            <w:sz w:val="16"/>
          </w:rPr>
          <w:t>https://www.instagram.com/reel/DZ1BSCyRtD0/?igsh=NG1oaGN5MmIyYmdx</w:t>
        </w:r>
      </w:hyperlink>
    </w:p>
    <w:p>
      <w:pPr>
        <w:pStyle w:val="ListNumber"/>
        <w:numPr>
          <w:ilvl w:val="0"/>
          <w:numId w:val="4"/>
        </w:numPr>
        <w:spacing w:before="0" w:after="20"/>
        <w:contextualSpacing/>
        <w:rPr/>
      </w:pPr>
      <w:hyperlink r:id="rId16">
        <w:r>
          <w:rPr>
            <w:rStyle w:val="Hyperlink"/>
            <w:color w:val="175CD3"/>
            <w:sz w:val="16"/>
          </w:rPr>
          <w:t>https://www.instagram.com/reel/DbcPo0dMQ3d/?igsh=MWIwOXZkYzg4Ymt5Yg</w:t>
        </w:r>
      </w:hyperlink>
      <w:hyperlink r:id="rId17">
        <w:r>
          <w:rPr>
            <w:color w:val="175CD3"/>
            <w:sz w:val="16"/>
          </w:rPr>
          <w:t>==</w:t>
        </w:r>
      </w:hyperlink>
    </w:p>
    <w:p>
      <w:pPr>
        <w:pStyle w:val="ListNumber"/>
        <w:numPr>
          <w:ilvl w:val="0"/>
          <w:numId w:val="4"/>
        </w:numPr>
        <w:spacing w:before="0" w:after="20"/>
        <w:contextualSpacing/>
        <w:rPr/>
      </w:pPr>
      <w:hyperlink r:id="rId18">
        <w:r>
          <w:rPr>
            <w:rStyle w:val="Hyperlink"/>
            <w:color w:val="175CD3"/>
            <w:sz w:val="16"/>
          </w:rPr>
          <w:t>https://www.instagram.com/reel/DaYUSD_ALo0/?igsh=MXcyZ2hpaTBjeTQ4Ng</w:t>
        </w:r>
      </w:hyperlink>
      <w:hyperlink r:id="rId19">
        <w:r>
          <w:rPr>
            <w:color w:val="175CD3"/>
            <w:sz w:val="16"/>
          </w:rPr>
          <w:t>==</w:t>
        </w:r>
      </w:hyperlink>
    </w:p>
    <w:p>
      <w:pPr>
        <w:pStyle w:val="ListNumber"/>
        <w:numPr>
          <w:ilvl w:val="0"/>
          <w:numId w:val="4"/>
        </w:numPr>
        <w:spacing w:before="0" w:after="20"/>
        <w:contextualSpacing/>
        <w:rPr/>
      </w:pPr>
      <w:hyperlink r:id="rId21">
        <w:r>
          <w:rPr>
            <w:rStyle w:val="Hyperlink"/>
            <w:color w:val="175CD3"/>
            <w:sz w:val="16"/>
          </w:rPr>
          <w:t>https://www.instagram.com/reel/DYw6w3RxYJ0/?igsh=eXloNGx0c2lnMjR2</w:t>
        </w:r>
      </w:hyperlink>
    </w:p>
    <w:p>
      <w:pPr>
        <w:pStyle w:val="ListNumber"/>
        <w:numPr>
          <w:ilvl w:val="0"/>
          <w:numId w:val="4"/>
        </w:numPr>
        <w:spacing w:before="0" w:after="20"/>
        <w:contextualSpacing/>
        <w:rPr/>
      </w:pPr>
      <w:hyperlink r:id="rId22">
        <w:r>
          <w:rPr>
            <w:rStyle w:val="Hyperlink"/>
            <w:color w:val="175CD3"/>
            <w:sz w:val="16"/>
          </w:rPr>
          <w:t>https://www.instagram.com/reel/DbeNY9aRtri/?igsh=MTBiaHZyOXNuc2VlZQ</w:t>
        </w:r>
      </w:hyperlink>
      <w:hyperlink r:id="rId23">
        <w:r>
          <w:rPr>
            <w:color w:val="175CD3"/>
            <w:sz w:val="16"/>
          </w:rPr>
          <w:t>==</w:t>
        </w:r>
      </w:hyperlink>
    </w:p>
    <w:p>
      <w:pPr>
        <w:pStyle w:val="ListNumber"/>
        <w:numPr>
          <w:ilvl w:val="0"/>
          <w:numId w:val="0"/>
        </w:numPr>
        <w:spacing w:before="0" w:after="20"/>
        <w:ind w:hanging="0" w:left="360"/>
        <w:contextualSpacing/>
        <w:rPr>
          <w:color w:val="175CD3"/>
          <w:sz w:val="16"/>
        </w:rPr>
      </w:pPr>
      <w:r>
        <w:rPr/>
      </w:r>
    </w:p>
    <w:p>
      <w:pPr>
        <w:pStyle w:val="Heading1"/>
        <w:rPr/>
      </w:pPr>
      <w:r>
        <w:rPr/>
        <w:t>15. Exact starting command</w:t>
      </w:r>
    </w:p>
    <w:tbl>
      <w:tblPr>
        <w:tblW w:w="1016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166"/>
      </w:tblGrid>
      <w:tr>
        <w:trPr/>
        <w:tc>
          <w:tcPr>
            <w:tcW w:w="10166" w:type="dxa"/>
            <w:tcBorders>
              <w:left w:val="single" w:sz="22" w:space="0" w:color="8A6100"/>
            </w:tcBorders>
            <w:shd w:fill="FFF6DB"/>
          </w:tcPr>
          <w:p>
            <w:pPr>
              <w:pStyle w:val="Normal"/>
              <w:spacing w:before="0" w:after="40"/>
              <w:rPr/>
            </w:pPr>
            <w:r>
              <w:rPr>
                <w:b/>
                <w:color w:val="8A6100"/>
                <w:sz w:val="21"/>
              </w:rPr>
              <w:t>RUN THIS NOW</w:t>
            </w:r>
          </w:p>
          <w:p>
            <w:pPr>
              <w:pStyle w:val="Normal"/>
              <w:spacing w:before="0" w:after="0"/>
              <w:rPr/>
            </w:pPr>
            <w:r>
              <w:rPr>
                <w:color w:val="111827"/>
                <w:sz w:val="18"/>
              </w:rPr>
              <w:t>Read 00_READ_FIRST_MASTER_DIRECTIVE.md in full and treat it as the controlling CEO directive.. Do not implement or redesign production code. First inspect the repository and all existing artifacts, create a backup/checkpoint, and complete Phase 0: artifact inventory plus the KEEP / REUSE WITH CORRECTION / REPLACE / ARCHIVE matrix. Then present the revised video-analysis method, evidence standard, selective-rewrite plan and design-approval workflow. Ask only one question at a time, after you have inspected everything that can answer it.</w:t>
            </w:r>
          </w:p>
        </w:tc>
      </w:tr>
    </w:tbl>
    <w:p>
      <w:pPr>
        <w:pStyle w:val="Normal"/>
        <w:spacing w:before="0" w:after="0"/>
        <w:rPr/>
      </w:pPr>
      <w:r>
        <w:rPr/>
      </w:r>
    </w:p>
    <w:p>
      <w:pPr>
        <w:pStyle w:val="SmallNote"/>
        <w:rPr/>
      </w:pPr>
      <w:r>
        <w:rPr/>
        <w:t>Source package: `source/CEO_RAW_NOTES_AND_VISUAL_EVIDENCE_ORIGINAL.odt` and selected images under `evidence/`. Screenshots are explanatory evidence only; high-quality full videos remain primary for temporal conclusions.</w:t>
      </w:r>
    </w:p>
    <w:p>
      <w:pPr>
        <w:pStyle w:val="SmallNote"/>
        <w:rPr/>
      </w:pPr>
      <w:r>
        <w:rPr/>
      </w:r>
    </w:p>
    <w:p>
      <w:pPr>
        <w:pStyle w:val="SmallNote"/>
        <w:spacing w:before="0" w:after="40"/>
        <w:rPr/>
      </w:pPr>
      <w:r>
        <w:rPr/>
        <w:t xml:space="preserve">Önemli Memory Repo: </w:t>
      </w:r>
      <w:hyperlink r:id="rId24">
        <w:r>
          <w:rPr>
            <w:rStyle w:val="Hyperlink"/>
          </w:rPr>
          <w:t>https://github.com/topoteretes/cognee</w:t>
        </w:r>
      </w:hyperlink>
      <w:hyperlink r:id="rId25">
        <w:r>
          <w:rPr/>
          <w:t xml:space="preserve"> study it carefully and craft it if you find it correctly for real usefull.</w:t>
        </w:r>
      </w:hyperlink>
    </w:p>
    <w:sectPr>
      <w:headerReference w:type="even" r:id="rId26"/>
      <w:headerReference w:type="default" r:id="rId27"/>
      <w:headerReference w:type="first" r:id="rId28"/>
      <w:footerReference w:type="even" r:id="rId29"/>
      <w:footerReference w:type="default" r:id="rId30"/>
      <w:footerReference w:type="first" r:id="rId31"/>
      <w:type w:val="nextPage"/>
      <w:pgSz w:w="12240" w:h="15840"/>
      <w:pgMar w:left="1037" w:right="1037" w:gutter="0" w:header="720" w:top="936" w:footer="720" w:bottom="93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4B5563"/>
        <w:sz w:val="14"/>
      </w:rPr>
      <w:t>Confidential working document — evidence first, design before implementation</w:t>
    </w:r>
  </w:p>
  <w:p>
    <w:pPr>
      <w:pStyle w:val="Normal"/>
      <w:spacing w:before="0" w:after="80"/>
      <w:jc w:val="right"/>
      <w:rPr/>
    </w:pPr>
    <w:r>
      <w:rPr>
        <w:color w:val="4B5563"/>
        <w:sz w:val="14"/>
      </w:rPr>
      <w:t xml:space="preserve">Page </w:t>
    </w:r>
    <w:r>
      <w:rPr/>
      <w:fldChar w:fldCharType="begin"/>
    </w:r>
    <w:r>
      <w:rPr/>
      <w:instrText xml:space="preserve"> PAGE </w:instrText>
    </w:r>
    <w:r>
      <w:rPr/>
      <w:fldChar w:fldCharType="separate"/>
    </w:r>
    <w:r>
      <w:rPr/>
      <w:t>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4B5563"/>
        <w:sz w:val="14"/>
      </w:rPr>
      <w:t>Confidential working document — evidence first, design before implementation</w:t>
    </w:r>
  </w:p>
  <w:p>
    <w:pPr>
      <w:pStyle w:val="Normal"/>
      <w:spacing w:before="0" w:after="80"/>
      <w:jc w:val="right"/>
      <w:rPr/>
    </w:pPr>
    <w:r>
      <w:rPr>
        <w:color w:val="4B5563"/>
        <w:sz w:val="14"/>
      </w:rPr>
      <w:t xml:space="preserve">Page </w:t>
    </w:r>
    <w:r>
      <w:rPr/>
      <w:fldChar w:fldCharType="begin"/>
    </w:r>
    <w:r>
      <w:rPr/>
      <w:instrText xml:space="preserve"> PAGE </w:instrText>
    </w:r>
    <w:r>
      <w:rPr/>
      <w:fldChar w:fldCharType="separate"/>
    </w:r>
    <w:r>
      <w:rPr/>
      <w:t>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b/>
        <w:color w:val="C99B3B"/>
        <w:sz w:val="15"/>
      </w:rPr>
      <w:t>DXB GLOBAL OS  |  CEO MASTER DIRECTIVE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b/>
        <w:color w:val="C99B3B"/>
        <w:sz w:val="15"/>
      </w:rPr>
      <w:t>DXB GLOBAL OS  |  CEO MASTER DIRECTIVE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59" w:before="0" w:after="80"/>
      <w:jc w:val="left"/>
    </w:pPr>
    <w:rPr>
      <w:rFonts w:ascii="Arial" w:hAnsi="Arial" w:eastAsia="ＭＳ 明朝" w:cs="" w:cstheme="minorBidi" w:eastAsiaTheme="minorEastAsia"/>
      <w:color w:val="auto"/>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00" w:after="100"/>
      <w:outlineLvl w:val="0"/>
    </w:pPr>
    <w:rPr>
      <w:rFonts w:ascii="Calibri" w:hAnsi="Calibri" w:eastAsia="ＭＳ ゴシック" w:cs="" w:asciiTheme="majorHAnsi" w:cstheme="majorBidi" w:eastAsiaTheme="majorEastAsia" w:hAnsiTheme="majorHAnsi"/>
      <w:b/>
      <w:bCs/>
      <w:color w:val="0D1526"/>
      <w:sz w:val="30"/>
      <w:szCs w:val="28"/>
    </w:rPr>
  </w:style>
  <w:style w:type="paragraph" w:styleId="Heading2">
    <w:name w:val="Heading 2"/>
    <w:basedOn w:val="Normal"/>
    <w:next w:val="Normal"/>
    <w:link w:val="Heading2Char"/>
    <w:uiPriority w:val="9"/>
    <w:unhideWhenUsed/>
    <w:qFormat/>
    <w:rsid w:val="00fc693f"/>
    <w:pPr>
      <w:keepNext w:val="true"/>
      <w:keepLines/>
      <w:spacing w:before="140" w:after="60"/>
      <w:outlineLvl w:val="1"/>
    </w:pPr>
    <w:rPr>
      <w:rFonts w:ascii="Calibri" w:hAnsi="Calibri" w:eastAsia="ＭＳ ゴシック" w:cs="" w:asciiTheme="majorHAnsi" w:cstheme="majorBidi" w:eastAsiaTheme="majorEastAsia" w:hAnsiTheme="majorHAnsi"/>
      <w:b/>
      <w:bCs/>
      <w:color w:val="7A1B13"/>
      <w:sz w:val="23"/>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11827"/>
      <w:sz w:val="20"/>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b/>
      <w:color w:val="0D1526"/>
      <w:spacing w:val="5"/>
      <w:kern w:val="2"/>
      <w:sz w:val="48"/>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B5563"/>
      <w:spacing w:val="15"/>
      <w:sz w:val="22"/>
      <w:szCs w:val="24"/>
    </w:rPr>
  </w:style>
  <w:style w:type="paragraph" w:styleId="ListParagraph">
    <w:name w:val="List Paragraph"/>
    <w:basedOn w:val="Normal"/>
    <w:uiPriority w:val="34"/>
    <w:qFormat/>
    <w:rsid w:val="00fc693f"/>
    <w:pPr>
      <w:spacing w:before="0" w:after="8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left="720"/>
      <w:contextualSpacing/>
    </w:pPr>
    <w:rPr/>
  </w:style>
  <w:style w:type="paragraph" w:styleId="List3">
    <w:name w:val="List 3"/>
    <w:basedOn w:val="Normal"/>
    <w:uiPriority w:val="99"/>
    <w:unhideWhenUsed/>
    <w:qFormat/>
    <w:rsid w:val="00326f90"/>
    <w:pPr>
      <w:spacing w:before="0" w:after="80"/>
      <w:ind w:hanging="360" w:lef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SmallNote" w:customStyle="1">
    <w:name w:val="Small Note"/>
    <w:qFormat/>
    <w:pPr>
      <w:widowControl/>
      <w:bidi w:val="0"/>
      <w:spacing w:lineRule="auto" w:line="276" w:before="0" w:after="40"/>
      <w:jc w:val="left"/>
    </w:pPr>
    <w:rPr>
      <w:rFonts w:ascii="Arial" w:hAnsi="Arial" w:eastAsia="ＭＳ 明朝" w:cs=""/>
      <w:color w:val="4B5563"/>
      <w:kern w:val="0"/>
      <w:sz w:val="16"/>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www.instagram.com/reel/DaWrNiQO7QH/?igsh=YzRkazFkZWExbGkx" TargetMode="External"/><Relationship Id="rId13" Type="http://schemas.openxmlformats.org/officeDocument/2006/relationships/hyperlink" Target="" TargetMode="External"/><Relationship Id="rId14" Type="http://schemas.openxmlformats.org/officeDocument/2006/relationships/hyperlink" Target="https://www.instagram.com/reel/DZ1BSCyRtD0/?igsh=NG1oaGN5MmIyYmdx" TargetMode="External"/><Relationship Id="rId15" Type="http://schemas.openxmlformats.org/officeDocument/2006/relationships/hyperlink" Target="" TargetMode="External"/><Relationship Id="rId16" Type="http://schemas.openxmlformats.org/officeDocument/2006/relationships/hyperlink" Target="https://www.instagram.com/reel/DbcPo0dMQ3d/?igsh=MWIwOXZkYzg4Ymt5Yg" TargetMode="External"/><Relationship Id="rId17" Type="http://schemas.openxmlformats.org/officeDocument/2006/relationships/hyperlink" Target="" TargetMode="External"/><Relationship Id="rId18" Type="http://schemas.openxmlformats.org/officeDocument/2006/relationships/hyperlink" Target="https://www.instagram.com/reel/DaYUSD_ALo0/?igsh=MXcyZ2hpaTBjeTQ4Ng" TargetMode="External"/><Relationship Id="rId19" Type="http://schemas.openxmlformats.org/officeDocument/2006/relationships/hyperlink" Target="" TargetMode="External"/><Relationship Id="rId20" Type="http://schemas.openxmlformats.org/officeDocument/2006/relationships/hyperlink" Target="https://www.instagram.com/reel/DYw6w3RxYJ0/?igsh=eXloNGx0c2lnMjR2" TargetMode="External"/><Relationship Id="rId21" Type="http://schemas.openxmlformats.org/officeDocument/2006/relationships/hyperlink" Target="" TargetMode="External"/><Relationship Id="rId22" Type="http://schemas.openxmlformats.org/officeDocument/2006/relationships/hyperlink" Target="https://www.instagram.com/reel/DbeNY9aRtri/?igsh=MTBiaHZyOXNuc2VlZQ" TargetMode="External"/><Relationship Id="rId23" Type="http://schemas.openxmlformats.org/officeDocument/2006/relationships/hyperlink" Target="" TargetMode="External"/><Relationship Id="rId24" Type="http://schemas.openxmlformats.org/officeDocument/2006/relationships/hyperlink" Target="https://github.com/topoteretes/cognee" TargetMode="External"/><Relationship Id="rId25" Type="http://schemas.openxmlformats.org/officeDocument/2006/relationships/hyperlink" Target="" TargetMode="External"/><Relationship Id="rId26" Type="http://schemas.openxmlformats.org/officeDocument/2006/relationships/header" Target="header1.xml"/><Relationship Id="rId27" Type="http://schemas.openxmlformats.org/officeDocument/2006/relationships/header" Target="header2.xml"/><Relationship Id="rId28" Type="http://schemas.openxmlformats.org/officeDocument/2006/relationships/header" Target="header3.xml"/><Relationship Id="rId29" Type="http://schemas.openxmlformats.org/officeDocument/2006/relationships/footer" Target="footer1.xml"/><Relationship Id="rId30" Type="http://schemas.openxmlformats.org/officeDocument/2006/relationships/footer" Target="footer2.xml"/><Relationship Id="rId31" Type="http://schemas.openxmlformats.org/officeDocument/2006/relationships/footer" Target="footer3.xml"/><Relationship Id="rId32" Type="http://schemas.openxmlformats.org/officeDocument/2006/relationships/numbering" Target="numbering.xml"/><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Relationship Id="rId3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Application>LibreOffice/24.2.7.2$Linux_X86_64 LibreOffice_project/420$Build-2</Application>
  <AppVersion>15.0000</AppVersion>
  <Pages>9</Pages>
  <Words>2161</Words>
  <Characters>14163</Characters>
  <CharactersWithSpaces>15966</CharactersWithSpaces>
  <Paragraphs>257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2026-08-01T17:45:24Z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