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DC810">
      <w:pPr>
        <w:pStyle w:val="3"/>
        <w:keepNext/>
        <w:keepLines/>
        <w:widowControl/>
        <w:snapToGrid w:val="0"/>
        <w:spacing w:before="180" w:after="100" w:line="300" w:lineRule="auto"/>
        <w:ind w:firstLine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⑦ 工程与伦理</w:t>
      </w:r>
    </w:p>
    <w:p w14:paraId="598ACDA1">
      <w:pPr>
        <w:widowControl/>
        <w:numPr>
          <w:ilvl w:val="0"/>
          <w:numId w:val="7"/>
        </w:numPr>
        <w:snapToGrid w:val="0"/>
        <w:spacing w:before="0" w:after="80" w:line="300" w:lineRule="auto"/>
        <w:ind w:left="480" w:hanging="240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成本与延迟（token 花费、单次响应时间）</w:t>
      </w:r>
    </w:p>
    <w:p w14:paraId="12C3EC9A">
      <w:pPr>
        <w:widowControl/>
        <w:numPr>
          <w:ilvl w:val="0"/>
          <w:numId w:val="7"/>
        </w:numPr>
        <w:snapToGrid w:val="0"/>
        <w:spacing w:before="0" w:after="80" w:line="300" w:lineRule="auto"/>
        <w:ind w:left="480" w:hanging="240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权限与隐私（是否涉及个人信息、如何脱敏）</w:t>
      </w:r>
    </w:p>
    <w:p w14:paraId="01D080EF">
      <w:pPr>
        <w:widowControl/>
        <w:numPr>
          <w:ilvl w:val="0"/>
          <w:numId w:val="7"/>
        </w:numPr>
        <w:snapToGrid w:val="0"/>
        <w:spacing w:before="0" w:after="80" w:line="300" w:lineRule="auto"/>
        <w:ind w:left="480" w:hanging="240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数据许可与使用范围：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本项目使用公开医学NLP基准IMCS-V2-NER（IMCS21-CBLUE Task1），从天池取得平台版数据，用于课程实体识别训练与评估。我们核对论文、作者仓库和平台条款，固定版本与划分；医疗原文和逐样本资料在本地受控保存，公开交付源码、聚合统计与复现流程，不重新分发原始数据。训练数据特征研究与评分核验详见附录D。</w:t>
      </w:r>
    </w:p>
    <w:p w14:paraId="5B56EC3F">
      <w:pPr>
        <w:widowControl/>
        <w:numPr>
          <w:ilvl w:val="0"/>
          <w:numId w:val="7"/>
        </w:numPr>
        <w:snapToGrid w:val="0"/>
        <w:spacing w:before="0" w:after="80" w:line="300" w:lineRule="auto"/>
        <w:ind w:left="480" w:hanging="240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AI 使用声明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：用了哪些工具、用在哪些环节（写代码 / 调试 / 写作 / 评估）、如何验证 AI 的输出、人工修改了什么</w:t>
      </w:r>
    </w:p>
    <w:p w14:paraId="699D1C11">
      <w:pPr>
        <w:pStyle w:val="3"/>
        <w:keepNext/>
        <w:keepLines/>
        <w:widowControl/>
        <w:snapToGrid w:val="0"/>
        <w:spacing w:before="180" w:after="100" w:line="300" w:lineRule="auto"/>
        <w:ind w:firstLine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⑧ 分工与贡献</w:t>
      </w:r>
    </w:p>
    <w:tbl>
      <w:tblPr>
        <w:tblStyle w:val="33"/>
        <w:tblW w:w="8795" w:type="dxa"/>
        <w:jc w:val="center"/>
        <w:tblBorders>
          <w:top w:val="none" w:color="000000" w:sz="12" w:space="0"/>
          <w:left w:val="none" w:color="000000" w:sz="0" w:space="0"/>
          <w:bottom w:val="non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70" w:type="dxa"/>
          <w:left w:w="80" w:type="dxa"/>
          <w:bottom w:w="70" w:type="dxa"/>
          <w:right w:w="80" w:type="dxa"/>
        </w:tblCellMar>
      </w:tblPr>
      <w:tblGrid>
        <w:gridCol w:w="757"/>
        <w:gridCol w:w="757"/>
        <w:gridCol w:w="1329"/>
        <w:gridCol w:w="4338"/>
        <w:gridCol w:w="1614"/>
      </w:tblGrid>
      <w:tr w14:paraId="3994FDFC">
        <w:tblPrEx>
          <w:tblBorders>
            <w:top w:val="none" w:color="000000" w:sz="12" w:space="0"/>
            <w:left w:val="none" w:color="000000" w:sz="0" w:space="0"/>
            <w:bottom w:val="non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7991A">
            <w:pPr>
              <w:keepNext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F19C9">
            <w:pPr>
              <w:keepNext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060FF">
            <w:pPr>
              <w:keepNext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4"/>
                <w:lang w:val="en-US" w:eastAsia="zh-CN"/>
              </w:rPr>
              <w:t>负责模块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162F1">
            <w:pPr>
              <w:keepNext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4"/>
                <w:lang w:val="en-US" w:eastAsia="zh-CN"/>
              </w:rPr>
              <w:t>产出证据（文件/提交记录/实验）</w:t>
            </w:r>
          </w:p>
        </w:tc>
        <w:tc>
          <w:tcPr>
            <w:tcW w:w="16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35B18">
            <w:pPr>
              <w:keepNext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szCs w:val="24"/>
                <w:lang w:val="en-US" w:eastAsia="zh-CN"/>
              </w:rPr>
              <w:t>工作量占比</w:t>
            </w:r>
          </w:p>
        </w:tc>
      </w:tr>
      <w:tr w14:paraId="3EC79B53">
        <w:tblPrEx>
          <w:tblBorders>
            <w:top w:val="none" w:color="000000" w:sz="12" w:space="0"/>
            <w:left w:val="none" w:color="000000" w:sz="0" w:space="0"/>
            <w:bottom w:val="non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70" w:type="dxa"/>
            <w:left w:w="80" w:type="dxa"/>
            <w:bottom w:w="70" w:type="dxa"/>
            <w:right w:w="80" w:type="dxa"/>
          </w:tblCellMar>
        </w:tblPrEx>
        <w:trPr>
          <w:trHeight w:val="0" w:hRule="atLeast"/>
          <w:jc w:val="center"/>
        </w:trPr>
        <w:tc>
          <w:tcPr>
            <w:tcW w:w="757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CB5E8">
            <w:pPr>
              <w:keepNext w:val="0"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757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38B56">
            <w:pPr>
              <w:keepNext w:val="0"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329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6F09E">
            <w:pPr>
              <w:keepNext w:val="0"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4338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8534D">
            <w:pPr>
              <w:keepNext w:val="0"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</w:pPr>
          </w:p>
        </w:tc>
        <w:tc>
          <w:tcPr>
            <w:tcW w:w="1614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974AD">
            <w:pPr>
              <w:keepNext w:val="0"/>
              <w:widowControl/>
              <w:snapToGrid w:val="0"/>
              <w:spacing w:before="0" w:after="0" w:line="240" w:lineRule="auto"/>
              <w:ind w:left="0" w:leftChars="0" w:right="0" w:rightChars="0" w:firstLine="0" w:firstLineChars="0"/>
              <w:jc w:val="righ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4"/>
                <w:szCs w:val="24"/>
                <w:lang w:val="en-US" w:eastAsia="zh-CN"/>
              </w:rPr>
              <w:t>%</w:t>
            </w:r>
          </w:p>
        </w:tc>
      </w:tr>
    </w:tbl>
    <w:p w14:paraId="47653B9A">
      <w:pPr>
        <w:widowControl/>
        <w:snapToGrid w:val="0"/>
        <w:spacing w:before="120" w:after="80" w:line="300" w:lineRule="auto"/>
        <w:ind w:firstLine="48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本表须与每人单独提交的《贡献声明表》一致；不一致时以教师核验为准。</w:t>
      </w:r>
    </w:p>
    <w:p w14:paraId="0D6A00F6">
      <w:pPr>
        <w:pStyle w:val="3"/>
        <w:keepNext/>
        <w:keepLines/>
        <w:widowControl/>
        <w:snapToGrid w:val="0"/>
        <w:spacing w:before="180" w:after="100" w:line="300" w:lineRule="auto"/>
        <w:ind w:firstLine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附录</w:t>
      </w:r>
    </w:p>
    <w:p w14:paraId="70E95462">
      <w:pPr>
        <w:widowControl/>
        <w:snapToGrid w:val="0"/>
        <w:spacing w:before="0" w:after="80" w:line="300" w:lineRule="auto"/>
        <w:ind w:firstLine="48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A. 复现指南：环境 + 一条可执行命令 + 预期输出</w:t>
      </w:r>
    </w:p>
    <w:p w14:paraId="5DE7159C">
      <w:pPr>
        <w:widowControl/>
        <w:snapToGrid w:val="0"/>
        <w:spacing w:before="0" w:after="80" w:line="300" w:lineRule="auto"/>
        <w:ind w:firstLine="48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B. 代码结构说明（目录树 + 各脚本职责）</w:t>
      </w:r>
    </w:p>
    <w:p w14:paraId="6EC8A7B0">
      <w:pPr>
        <w:widowControl/>
        <w:snapToGrid w:val="0"/>
        <w:spacing w:before="0" w:after="80" w:line="300" w:lineRule="auto"/>
        <w:ind w:firstLine="480" w:firstLineChars="200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C. 关键运行日志片段（训练曲线、评测输出）与</w:t>
      </w: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迭代记录</w:t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（如 git 提交记录截图、实验日志），用于证明推进过程与工作量</w:t>
      </w:r>
    </w:p>
    <w:p w14:paraId="6153374A">
      <w:pPr>
        <w:pStyle w:val="3"/>
        <w:keepNext/>
        <w:pageBreakBefore/>
        <w:widowControl/>
        <w:snapToGrid w:val="0"/>
        <w:spacing w:before="180" w:after="100" w:line="30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D. 数据来源与许可说明</w:t>
      </w:r>
    </w:p>
    <w:p w14:paraId="24749A8B">
      <w:pPr>
        <w:pStyle w:val="4"/>
        <w:keepNext/>
        <w:widowControl/>
        <w:snapToGrid w:val="0"/>
        <w:spacing w:before="180" w:after="100" w:line="30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D.1 数据集来源与学术出处</w:t>
      </w:r>
    </w:p>
    <w:p w14:paraId="20173A60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IMCS-21是中文医疗咨询基准（Chen等，Bioinformatics，2023，39(1)：btac817）。作者将2.0修订版IMCS21-CBLUE接入CBLUE，其中Task1即IMCS-V2-NER，实体边界与类别识别符合课程“信息抽取／序列标注”方向。</w:t>
      </w:r>
    </w:p>
    <w:p w14:paraId="449DF23D">
      <w:pPr>
        <w:pStyle w:val="15"/>
        <w:keepNext/>
        <w:widowControl/>
        <w:snapToGrid w:val="0"/>
        <w:spacing w:before="60" w:after="60" w:line="300" w:lineRule="auto"/>
        <w:ind w:firstLine="0" w:firstLineChars="0"/>
        <w:jc w:val="center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表D-1 官方资源与数据来源</w:t>
      </w:r>
    </w:p>
    <w:tbl>
      <w:tblPr>
        <w:tblStyle w:val="33"/>
        <w:tblW w:w="864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0" w:type="dxa"/>
          <w:left w:w="65" w:type="dxa"/>
          <w:bottom w:w="60" w:type="dxa"/>
          <w:right w:w="65" w:type="dxa"/>
        </w:tblCellMar>
      </w:tblPr>
      <w:tblGrid>
        <w:gridCol w:w="2590"/>
        <w:gridCol w:w="3670"/>
        <w:gridCol w:w="2380"/>
      </w:tblGrid>
      <w:tr w14:paraId="7AC51BD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tblHeader/>
          <w:jc w:val="center"/>
        </w:trPr>
        <w:tc>
          <w:tcPr>
            <w:tcW w:w="2590" w:type="dxa"/>
            <w:tcBorders>
              <w:bottom w:val="single" w:color="000000" w:sz="6" w:space="0"/>
            </w:tcBorders>
            <w:vAlign w:val="center"/>
          </w:tcPr>
          <w:p w14:paraId="5D034F57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官方资源</w:t>
            </w:r>
          </w:p>
        </w:tc>
        <w:tc>
          <w:tcPr>
            <w:tcW w:w="3670" w:type="dxa"/>
            <w:tcBorders>
              <w:bottom w:val="single" w:color="000000" w:sz="6" w:space="0"/>
            </w:tcBorders>
            <w:vAlign w:val="center"/>
          </w:tcPr>
          <w:p w14:paraId="475638F3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资源性质与用途</w:t>
            </w:r>
          </w:p>
        </w:tc>
        <w:tc>
          <w:tcPr>
            <w:tcW w:w="2380" w:type="dxa"/>
            <w:tcBorders>
              <w:bottom w:val="single" w:color="000000" w:sz="6" w:space="0"/>
            </w:tcBorders>
            <w:vAlign w:val="center"/>
          </w:tcPr>
          <w:p w14:paraId="168243CD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可点击链接</w:t>
            </w:r>
          </w:p>
        </w:tc>
      </w:tr>
      <w:tr w14:paraId="676D0B2C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590" w:type="dxa"/>
            <w:vAlign w:val="center"/>
          </w:tcPr>
          <w:p w14:paraId="6CCC3F76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IMCS-21原论文</w:t>
            </w:r>
          </w:p>
        </w:tc>
        <w:tc>
          <w:tcPr>
            <w:tcW w:w="3670" w:type="dxa"/>
            <w:vAlign w:val="center"/>
          </w:tcPr>
          <w:p w14:paraId="3060393A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基准出处与任务定义</w:t>
            </w:r>
          </w:p>
        </w:tc>
        <w:tc>
          <w:tcPr>
            <w:tcW w:w="2380" w:type="dxa"/>
            <w:vAlign w:val="center"/>
          </w:tcPr>
          <w:p w14:paraId="408FB608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fldChar w:fldCharType="begin"/>
            </w:r>
            <w:r>
              <w:instrText xml:space="preserve"> HYPERLINK "https://doi.org/10.1093/bioinformatics/btac817" </w:instrText>
            </w:r>
            <w:r>
              <w:fldChar w:fldCharType="separate"/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t>论文 DOI</w:t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fldChar w:fldCharType="end"/>
            </w:r>
          </w:p>
        </w:tc>
      </w:tr>
      <w:tr w14:paraId="0F4CBC6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590" w:type="dxa"/>
            <w:vAlign w:val="center"/>
          </w:tcPr>
          <w:p w14:paraId="6A242D55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IMCS-21原仓库</w:t>
            </w:r>
          </w:p>
        </w:tc>
        <w:tc>
          <w:tcPr>
            <w:tcW w:w="3670" w:type="dxa"/>
            <w:vAlign w:val="center"/>
          </w:tcPr>
          <w:p w14:paraId="4368EEA3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原研究数据与实现</w:t>
            </w:r>
          </w:p>
        </w:tc>
        <w:tc>
          <w:tcPr>
            <w:tcW w:w="2380" w:type="dxa"/>
            <w:vAlign w:val="center"/>
          </w:tcPr>
          <w:p w14:paraId="4B1C1962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fldChar w:fldCharType="begin"/>
            </w:r>
            <w:r>
              <w:instrText xml:space="preserve"> HYPERLINK "https://github.com/lemuria-wchen/imcs21" </w:instrText>
            </w:r>
            <w:r>
              <w:fldChar w:fldCharType="separate"/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t>作者仓库</w:t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fldChar w:fldCharType="end"/>
            </w:r>
          </w:p>
        </w:tc>
      </w:tr>
      <w:tr w14:paraId="3441903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590" w:type="dxa"/>
            <w:vAlign w:val="center"/>
          </w:tcPr>
          <w:p w14:paraId="0D070DD7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IMCS21-CBLUE</w:t>
            </w:r>
          </w:p>
        </w:tc>
        <w:tc>
          <w:tcPr>
            <w:tcW w:w="3670" w:type="dxa"/>
            <w:vAlign w:val="center"/>
          </w:tcPr>
          <w:p w14:paraId="5DAE000D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2.0修订与平台适配</w:t>
            </w:r>
          </w:p>
        </w:tc>
        <w:tc>
          <w:tcPr>
            <w:tcW w:w="2380" w:type="dxa"/>
            <w:vAlign w:val="center"/>
          </w:tcPr>
          <w:p w14:paraId="3335D478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fldChar w:fldCharType="begin"/>
            </w:r>
            <w:r>
              <w:instrText xml:space="preserve"> HYPERLINK "https://github.com/lemuria-wchen/imcs21-cblue" </w:instrText>
            </w:r>
            <w:r>
              <w:fldChar w:fldCharType="separate"/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t>修订版仓库</w:t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fldChar w:fldCharType="end"/>
            </w:r>
          </w:p>
        </w:tc>
      </w:tr>
      <w:tr w14:paraId="03CF348E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590" w:type="dxa"/>
            <w:vAlign w:val="center"/>
          </w:tcPr>
          <w:p w14:paraId="774BC6C4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Task1任务目录</w:t>
            </w:r>
          </w:p>
        </w:tc>
        <w:tc>
          <w:tcPr>
            <w:tcW w:w="3670" w:type="dxa"/>
            <w:vAlign w:val="center"/>
          </w:tcPr>
          <w:p w14:paraId="3B0F2588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NER标签、接口与评分</w:t>
            </w:r>
          </w:p>
        </w:tc>
        <w:tc>
          <w:tcPr>
            <w:tcW w:w="2380" w:type="dxa"/>
            <w:vAlign w:val="center"/>
          </w:tcPr>
          <w:p w14:paraId="72499C26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fldChar w:fldCharType="begin"/>
            </w:r>
            <w:r>
              <w:instrText xml:space="preserve"> HYPERLINK "https://github.com/lemuria-wchen/imcs21-cblue/tree/main/task1" </w:instrText>
            </w:r>
            <w:r>
              <w:fldChar w:fldCharType="separate"/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t>Task1页面</w:t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fldChar w:fldCharType="end"/>
            </w:r>
          </w:p>
        </w:tc>
      </w:tr>
      <w:tr w14:paraId="2688E19F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590" w:type="dxa"/>
            <w:vAlign w:val="center"/>
          </w:tcPr>
          <w:p w14:paraId="07C678D0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CBLUE官方仓库</w:t>
            </w:r>
          </w:p>
        </w:tc>
        <w:tc>
          <w:tcPr>
            <w:tcW w:w="3670" w:type="dxa"/>
            <w:vAlign w:val="center"/>
          </w:tcPr>
          <w:p w14:paraId="3460E6EA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医疗语言理解评测体系</w:t>
            </w:r>
          </w:p>
        </w:tc>
        <w:tc>
          <w:tcPr>
            <w:tcW w:w="2380" w:type="dxa"/>
            <w:vAlign w:val="center"/>
          </w:tcPr>
          <w:p w14:paraId="065C9202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fldChar w:fldCharType="begin"/>
            </w:r>
            <w:r>
              <w:instrText xml:space="preserve"> HYPERLINK "https://github.com/CBLUEbenchmark/CBLUE" </w:instrText>
            </w:r>
            <w:r>
              <w:fldChar w:fldCharType="separate"/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t>CBLUE</w:t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fldChar w:fldCharType="end"/>
            </w:r>
          </w:p>
        </w:tc>
      </w:tr>
      <w:tr w14:paraId="5FAC7F12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590" w:type="dxa"/>
            <w:vAlign w:val="center"/>
          </w:tcPr>
          <w:p w14:paraId="4A2EDE25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天池数据集95414</w:t>
            </w:r>
          </w:p>
        </w:tc>
        <w:tc>
          <w:tcPr>
            <w:tcW w:w="3670" w:type="dxa"/>
            <w:vAlign w:val="center"/>
          </w:tcPr>
          <w:p w14:paraId="09615503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正式数据包与任务入口</w:t>
            </w:r>
          </w:p>
        </w:tc>
        <w:tc>
          <w:tcPr>
            <w:tcW w:w="2380" w:type="dxa"/>
            <w:vAlign w:val="center"/>
          </w:tcPr>
          <w:p w14:paraId="7DF0E3B9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fldChar w:fldCharType="begin"/>
            </w:r>
            <w:r>
              <w:instrText xml:space="preserve"> HYPERLINK "https://tianchi.aliyun.com/dataset/95414" </w:instrText>
            </w:r>
            <w:r>
              <w:fldChar w:fldCharType="separate"/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t>天池下载页</w:t>
            </w:r>
            <w:r>
              <w:rPr>
                <w:rFonts w:hint="eastAsia" w:ascii="Times New Roman" w:hAnsi="Times New Roman" w:eastAsia="宋体" w:cs="Times New Roman"/>
                <w:b w:val="0"/>
                <w:color w:val="0563C1"/>
                <w:sz w:val="21"/>
                <w:szCs w:val="21"/>
                <w:u w:val="single"/>
                <w:lang w:val="en-US" w:eastAsia="zh-CN"/>
              </w:rPr>
              <w:fldChar w:fldCharType="end"/>
            </w:r>
          </w:p>
        </w:tc>
      </w:tr>
    </w:tbl>
    <w:p w14:paraId="738CE0C7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项目从天池下载IMCS-V2-NER.zip。GitHub原仓库也有数据；按对话ID和句子ID比对固定版本后，train/dev句子文本相同，BIO标签序列不同的句子分别为17,653句和5,845句。平台更新记载了NER标注修订，故全组采用平台包统一金标、文件结构和提交接口，GitHub用于研究追溯。</w:t>
      </w:r>
    </w:p>
    <w:p w14:paraId="72695125">
      <w:pPr>
        <w:pStyle w:val="4"/>
        <w:keepNext/>
        <w:widowControl/>
        <w:snapToGrid w:val="0"/>
        <w:spacing w:before="180" w:after="100" w:line="30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D.2 数据内容、版本与文件组成</w:t>
      </w:r>
    </w:p>
    <w:p w14:paraId="665A5198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数据以对话ID为顶层键，dialogue数组保存句子；句内含sentence_id、speaker、sentence及有标注集的BIO_label。五类实体为Symptom（症状）、Drug（药品）、Drug_Category（药物类别）、Medical_Examination（医学检查）、Operation（医疗操作）。每类设B/I标签，加O共11类；原文每个Unicode码点对应一个标签，空格与标点保留。</w:t>
      </w:r>
    </w:p>
    <w:p w14:paraId="428C7379">
      <w:pPr>
        <w:pStyle w:val="15"/>
        <w:keepNext/>
        <w:widowControl/>
        <w:snapToGrid w:val="0"/>
        <w:spacing w:before="60" w:after="60" w:line="300" w:lineRule="auto"/>
        <w:ind w:firstLine="0" w:firstLineChars="0"/>
        <w:jc w:val="center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表D-2 平台数据文件与规模</w:t>
      </w:r>
    </w:p>
    <w:tbl>
      <w:tblPr>
        <w:tblStyle w:val="33"/>
        <w:tblW w:w="864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0" w:type="dxa"/>
          <w:left w:w="65" w:type="dxa"/>
          <w:bottom w:w="60" w:type="dxa"/>
          <w:right w:w="65" w:type="dxa"/>
        </w:tblCellMar>
      </w:tblPr>
      <w:tblGrid>
        <w:gridCol w:w="2980"/>
        <w:gridCol w:w="900"/>
        <w:gridCol w:w="1120"/>
        <w:gridCol w:w="1050"/>
        <w:gridCol w:w="2590"/>
      </w:tblGrid>
      <w:tr w14:paraId="65CA525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tblHeader/>
          <w:jc w:val="center"/>
        </w:trPr>
        <w:tc>
          <w:tcPr>
            <w:tcW w:w="2980" w:type="dxa"/>
            <w:tcBorders>
              <w:bottom w:val="single" w:color="000000" w:sz="6" w:space="0"/>
            </w:tcBorders>
            <w:vAlign w:val="center"/>
          </w:tcPr>
          <w:p w14:paraId="1063152C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文件名</w:t>
            </w:r>
          </w:p>
        </w:tc>
        <w:tc>
          <w:tcPr>
            <w:tcW w:w="900" w:type="dxa"/>
            <w:tcBorders>
              <w:bottom w:val="single" w:color="000000" w:sz="6" w:space="0"/>
            </w:tcBorders>
            <w:vAlign w:val="center"/>
          </w:tcPr>
          <w:p w14:paraId="0FD90182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对话数</w:t>
            </w:r>
          </w:p>
        </w:tc>
        <w:tc>
          <w:tcPr>
            <w:tcW w:w="1120" w:type="dxa"/>
            <w:tcBorders>
              <w:bottom w:val="single" w:color="000000" w:sz="6" w:space="0"/>
            </w:tcBorders>
            <w:vAlign w:val="center"/>
          </w:tcPr>
          <w:p w14:paraId="08D12429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句子数</w:t>
            </w:r>
          </w:p>
        </w:tc>
        <w:tc>
          <w:tcPr>
            <w:tcW w:w="1050" w:type="dxa"/>
            <w:tcBorders>
              <w:bottom w:val="single" w:color="000000" w:sz="6" w:space="0"/>
            </w:tcBorders>
            <w:vAlign w:val="center"/>
          </w:tcPr>
          <w:p w14:paraId="32B75EB5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BIO标注</w:t>
            </w:r>
          </w:p>
        </w:tc>
        <w:tc>
          <w:tcPr>
            <w:tcW w:w="2590" w:type="dxa"/>
            <w:tcBorders>
              <w:bottom w:val="single" w:color="000000" w:sz="6" w:space="0"/>
            </w:tcBorders>
            <w:vAlign w:val="center"/>
          </w:tcPr>
          <w:p w14:paraId="4987057E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</w:tr>
      <w:tr w14:paraId="51CAA7D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980" w:type="dxa"/>
            <w:vAlign w:val="center"/>
          </w:tcPr>
          <w:p w14:paraId="6C68F1D0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IMCS-V2_train.json</w:t>
            </w:r>
          </w:p>
        </w:tc>
        <w:tc>
          <w:tcPr>
            <w:tcW w:w="900" w:type="dxa"/>
            <w:vAlign w:val="center"/>
          </w:tcPr>
          <w:p w14:paraId="01786297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2,472</w:t>
            </w:r>
          </w:p>
        </w:tc>
        <w:tc>
          <w:tcPr>
            <w:tcW w:w="1120" w:type="dxa"/>
            <w:vAlign w:val="center"/>
          </w:tcPr>
          <w:p w14:paraId="2E04A46F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98,529</w:t>
            </w:r>
          </w:p>
        </w:tc>
        <w:tc>
          <w:tcPr>
            <w:tcW w:w="1050" w:type="dxa"/>
            <w:vAlign w:val="center"/>
          </w:tcPr>
          <w:p w14:paraId="3DD613E1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有</w:t>
            </w:r>
          </w:p>
        </w:tc>
        <w:tc>
          <w:tcPr>
            <w:tcW w:w="2590" w:type="dxa"/>
            <w:vAlign w:val="center"/>
          </w:tcPr>
          <w:p w14:paraId="4063268A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内部训练与验证来源</w:t>
            </w:r>
          </w:p>
        </w:tc>
      </w:tr>
      <w:tr w14:paraId="0F978A3B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980" w:type="dxa"/>
            <w:vAlign w:val="center"/>
          </w:tcPr>
          <w:p w14:paraId="095B3C1F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IMCS-V2_dev.json</w:t>
            </w:r>
          </w:p>
        </w:tc>
        <w:tc>
          <w:tcPr>
            <w:tcW w:w="900" w:type="dxa"/>
            <w:vAlign w:val="center"/>
          </w:tcPr>
          <w:p w14:paraId="4DE43019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833</w:t>
            </w:r>
          </w:p>
        </w:tc>
        <w:tc>
          <w:tcPr>
            <w:tcW w:w="1120" w:type="dxa"/>
            <w:vAlign w:val="center"/>
          </w:tcPr>
          <w:p w14:paraId="2006FEF9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33,267</w:t>
            </w:r>
          </w:p>
        </w:tc>
        <w:tc>
          <w:tcPr>
            <w:tcW w:w="1050" w:type="dxa"/>
            <w:vAlign w:val="center"/>
          </w:tcPr>
          <w:p w14:paraId="51A087F5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有</w:t>
            </w:r>
          </w:p>
        </w:tc>
        <w:tc>
          <w:tcPr>
            <w:tcW w:w="2590" w:type="dxa"/>
            <w:vAlign w:val="center"/>
          </w:tcPr>
          <w:p w14:paraId="46284AD5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统一最终评估</w:t>
            </w:r>
          </w:p>
        </w:tc>
      </w:tr>
      <w:tr w14:paraId="7E776097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2980" w:type="dxa"/>
            <w:vAlign w:val="center"/>
          </w:tcPr>
          <w:p w14:paraId="69F8C76E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IMCS-V2_test.json</w:t>
            </w:r>
          </w:p>
        </w:tc>
        <w:tc>
          <w:tcPr>
            <w:tcW w:w="900" w:type="dxa"/>
            <w:vAlign w:val="center"/>
          </w:tcPr>
          <w:p w14:paraId="44EAD6C8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811</w:t>
            </w:r>
          </w:p>
        </w:tc>
        <w:tc>
          <w:tcPr>
            <w:tcW w:w="1120" w:type="dxa"/>
            <w:vAlign w:val="center"/>
          </w:tcPr>
          <w:p w14:paraId="09C8D082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32,935</w:t>
            </w:r>
          </w:p>
        </w:tc>
        <w:tc>
          <w:tcPr>
            <w:tcW w:w="1050" w:type="dxa"/>
            <w:vAlign w:val="center"/>
          </w:tcPr>
          <w:p w14:paraId="332B27C1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无</w:t>
            </w:r>
          </w:p>
        </w:tc>
        <w:tc>
          <w:tcPr>
            <w:tcW w:w="2590" w:type="dxa"/>
            <w:vAlign w:val="center"/>
          </w:tcPr>
          <w:p w14:paraId="3F62649D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平台测试输入</w:t>
            </w:r>
          </w:p>
        </w:tc>
      </w:tr>
    </w:tbl>
    <w:p w14:paraId="5F609B2C">
      <w:pPr>
        <w:widowControl/>
        <w:snapToGrid w:val="0"/>
        <w:spacing w:before="0" w:after="60" w:line="26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1"/>
          <w:szCs w:val="21"/>
          <w:lang w:val="en-US" w:eastAsia="zh-CN"/>
        </w:rPr>
        <w:t>项目固定使用上述V2文件；IMCS-V2-NER_test.json为提交模板，example_pred.json为格式示例。原ZIP以本地SHA-256标识版本：</w:t>
      </w:r>
    </w:p>
    <w:p w14:paraId="72F83DB9">
      <w:pPr>
        <w:widowControl/>
        <w:snapToGrid w:val="0"/>
        <w:spacing w:before="0" w:after="60" w:line="26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0"/>
          <w:szCs w:val="20"/>
          <w:lang w:val="en-US" w:eastAsia="zh-CN"/>
        </w:rPr>
        <w:t>84e34d2417b839d9fbe5c5f391e44de2a9b01bd5f31d576b8feccc78c1dfbc67</w:t>
      </w:r>
    </w:p>
    <w:p w14:paraId="10AB442D">
      <w:pPr>
        <w:pStyle w:val="4"/>
        <w:keepNext/>
        <w:pageBreakBefore/>
        <w:widowControl/>
        <w:snapToGrid w:val="0"/>
        <w:spacing w:before="180" w:after="100" w:line="30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D.3 本项目的数据划分与使用方式</w:t>
      </w:r>
    </w:p>
    <w:p w14:paraId="6827FAF1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官方train按完整对话固定划分：对话ID排序后以种子42打乱，前247组为internal_val，其余2,225组为internal_train，名单保存在split_v1.json。划分经完整覆盖、互斥及各方案名单一致性检查，避免同一对话跨训练与验证集合。</w:t>
      </w:r>
    </w:p>
    <w:p w14:paraId="6D1392A6">
      <w:pPr>
        <w:pStyle w:val="15"/>
        <w:keepNext/>
        <w:widowControl/>
        <w:snapToGrid w:val="0"/>
        <w:spacing w:before="60" w:after="60" w:line="300" w:lineRule="auto"/>
        <w:ind w:firstLine="0" w:firstLineChars="0"/>
        <w:jc w:val="center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表D-3 项目统一数据协议</w:t>
      </w:r>
    </w:p>
    <w:tbl>
      <w:tblPr>
        <w:tblStyle w:val="33"/>
        <w:tblW w:w="864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0" w:type="dxa"/>
          <w:left w:w="65" w:type="dxa"/>
          <w:bottom w:w="60" w:type="dxa"/>
          <w:right w:w="65" w:type="dxa"/>
        </w:tblCellMar>
      </w:tblPr>
      <w:tblGrid>
        <w:gridCol w:w="1880"/>
        <w:gridCol w:w="2050"/>
        <w:gridCol w:w="1400"/>
        <w:gridCol w:w="3310"/>
      </w:tblGrid>
      <w:tr w14:paraId="5E361B6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tblHeader/>
          <w:jc w:val="center"/>
        </w:trPr>
        <w:tc>
          <w:tcPr>
            <w:tcW w:w="1880" w:type="dxa"/>
            <w:tcBorders>
              <w:bottom w:val="single" w:color="000000" w:sz="6" w:space="0"/>
            </w:tcBorders>
            <w:vAlign w:val="center"/>
          </w:tcPr>
          <w:p w14:paraId="178B61EE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集合</w:t>
            </w:r>
          </w:p>
        </w:tc>
        <w:tc>
          <w:tcPr>
            <w:tcW w:w="2050" w:type="dxa"/>
            <w:tcBorders>
              <w:bottom w:val="single" w:color="000000" w:sz="6" w:space="0"/>
            </w:tcBorders>
            <w:vAlign w:val="center"/>
          </w:tcPr>
          <w:p w14:paraId="7CD43B81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对话数／句子数</w:t>
            </w:r>
          </w:p>
        </w:tc>
        <w:tc>
          <w:tcPr>
            <w:tcW w:w="1400" w:type="dxa"/>
            <w:tcBorders>
              <w:bottom w:val="single" w:color="000000" w:sz="6" w:space="0"/>
            </w:tcBorders>
            <w:vAlign w:val="center"/>
          </w:tcPr>
          <w:p w14:paraId="24D2650F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实体数</w:t>
            </w:r>
          </w:p>
        </w:tc>
        <w:tc>
          <w:tcPr>
            <w:tcW w:w="3310" w:type="dxa"/>
            <w:tcBorders>
              <w:bottom w:val="single" w:color="000000" w:sz="6" w:space="0"/>
            </w:tcBorders>
            <w:vAlign w:val="center"/>
          </w:tcPr>
          <w:p w14:paraId="2BA9FAF8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实际用途</w:t>
            </w:r>
          </w:p>
        </w:tc>
      </w:tr>
      <w:tr w14:paraId="6DD67933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1880" w:type="dxa"/>
            <w:vAlign w:val="center"/>
          </w:tcPr>
          <w:p w14:paraId="04BC49EC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internal_train</w:t>
            </w:r>
          </w:p>
        </w:tc>
        <w:tc>
          <w:tcPr>
            <w:tcW w:w="2050" w:type="dxa"/>
            <w:vAlign w:val="center"/>
          </w:tcPr>
          <w:p w14:paraId="68DF82FB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2,225／88,842</w:t>
            </w:r>
          </w:p>
        </w:tc>
        <w:tc>
          <w:tcPr>
            <w:tcW w:w="1400" w:type="dxa"/>
            <w:vAlign w:val="center"/>
          </w:tcPr>
          <w:p w14:paraId="04814DEA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62,671</w:t>
            </w:r>
          </w:p>
        </w:tc>
        <w:tc>
          <w:tcPr>
            <w:tcW w:w="3310" w:type="dxa"/>
            <w:vAlign w:val="center"/>
          </w:tcPr>
          <w:p w14:paraId="66228C5B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模型训练及词典等训练资源构建</w:t>
            </w:r>
          </w:p>
        </w:tc>
      </w:tr>
      <w:tr w14:paraId="50F9DEA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1880" w:type="dxa"/>
            <w:vAlign w:val="center"/>
          </w:tcPr>
          <w:p w14:paraId="210D78F4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internal_val</w:t>
            </w:r>
          </w:p>
        </w:tc>
        <w:tc>
          <w:tcPr>
            <w:tcW w:w="2050" w:type="dxa"/>
            <w:vAlign w:val="center"/>
          </w:tcPr>
          <w:p w14:paraId="71EF8981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247／9,687</w:t>
            </w:r>
          </w:p>
        </w:tc>
        <w:tc>
          <w:tcPr>
            <w:tcW w:w="1400" w:type="dxa"/>
            <w:vAlign w:val="center"/>
          </w:tcPr>
          <w:p w14:paraId="51905912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6,601</w:t>
            </w:r>
          </w:p>
        </w:tc>
        <w:tc>
          <w:tcPr>
            <w:tcW w:w="3310" w:type="dxa"/>
            <w:vAlign w:val="center"/>
          </w:tcPr>
          <w:p w14:paraId="72F80B10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参数实验与模型选择</w:t>
            </w:r>
          </w:p>
        </w:tc>
      </w:tr>
      <w:tr w14:paraId="20D315BA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1880" w:type="dxa"/>
            <w:vAlign w:val="center"/>
          </w:tcPr>
          <w:p w14:paraId="705090AB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official_dev</w:t>
            </w:r>
          </w:p>
        </w:tc>
        <w:tc>
          <w:tcPr>
            <w:tcW w:w="2050" w:type="dxa"/>
            <w:vAlign w:val="center"/>
          </w:tcPr>
          <w:p w14:paraId="3B475FDA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833／33,267</w:t>
            </w:r>
          </w:p>
        </w:tc>
        <w:tc>
          <w:tcPr>
            <w:tcW w:w="1400" w:type="dxa"/>
            <w:vAlign w:val="center"/>
          </w:tcPr>
          <w:p w14:paraId="3304AB6B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23,578</w:t>
            </w:r>
          </w:p>
        </w:tc>
        <w:tc>
          <w:tcPr>
            <w:tcW w:w="3310" w:type="dxa"/>
            <w:vAlign w:val="center"/>
          </w:tcPr>
          <w:p w14:paraId="5B399458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方案确定后的统一最终评估</w:t>
            </w:r>
          </w:p>
        </w:tc>
      </w:tr>
      <w:tr w14:paraId="42B95A1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1880" w:type="dxa"/>
            <w:vAlign w:val="center"/>
          </w:tcPr>
          <w:p w14:paraId="04C56BFB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official_test</w:t>
            </w:r>
          </w:p>
        </w:tc>
        <w:tc>
          <w:tcPr>
            <w:tcW w:w="2050" w:type="dxa"/>
            <w:vAlign w:val="center"/>
          </w:tcPr>
          <w:p w14:paraId="490403CA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811／32,935</w:t>
            </w:r>
          </w:p>
        </w:tc>
        <w:tc>
          <w:tcPr>
            <w:tcW w:w="1400" w:type="dxa"/>
            <w:vAlign w:val="center"/>
          </w:tcPr>
          <w:p w14:paraId="3BC15CD8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无本地金标</w:t>
            </w:r>
          </w:p>
        </w:tc>
        <w:tc>
          <w:tcPr>
            <w:tcW w:w="3310" w:type="dxa"/>
            <w:vAlign w:val="center"/>
          </w:tcPr>
          <w:p w14:paraId="221446BD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按平台接口校验并提交预测</w:t>
            </w:r>
          </w:p>
        </w:tc>
      </w:tr>
    </w:tbl>
    <w:p w14:paraId="71DC6C90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交接时检查字段、完整ID集合、字符与标签长度及BIO合法转移，保留原文坐标。三种方案统一输出“对话ID→句子ID→BIO字符串”，经同一程序校验和评分；按README取得数据并载入固定名单，即可复核此流程。模型内部词片对齐不改写原始数据。</w:t>
      </w:r>
    </w:p>
    <w:p w14:paraId="1C035070">
      <w:pPr>
        <w:pStyle w:val="4"/>
        <w:keepNext/>
        <w:widowControl/>
        <w:snapToGrid w:val="0"/>
        <w:spacing w:before="180" w:after="100" w:line="30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D.4 数据许可与使用范围</w:t>
      </w:r>
    </w:p>
    <w:p w14:paraId="79C7DC2A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天池发布页标注</w:t>
      </w:r>
      <w:r>
        <w:fldChar w:fldCharType="begin"/>
      </w:r>
      <w:r>
        <w:instrText xml:space="preserve"> HYPERLINK "https://creativecommons.org/licenses/by-nc-sa/4.0/deed.zh-hans" </w:instrText>
      </w:r>
      <w:r>
        <w:fldChar w:fldCharType="separate"/>
      </w:r>
      <w:r>
        <w:rPr>
          <w:rFonts w:hint="eastAsia" w:ascii="Times New Roman" w:hAnsi="Times New Roman" w:eastAsia="宋体" w:cs="Times New Roman"/>
          <w:b w:val="0"/>
          <w:color w:val="0563C1"/>
          <w:sz w:val="24"/>
          <w:szCs w:val="24"/>
          <w:u w:val="single"/>
          <w:lang w:val="en-US" w:eastAsia="zh-CN"/>
        </w:rPr>
        <w:t>CC BY-NC-SA 4.0</w:t>
      </w:r>
      <w:r>
        <w:rPr>
          <w:rFonts w:hint="eastAsia" w:ascii="Times New Roman" w:hAnsi="Times New Roman" w:eastAsia="宋体" w:cs="Times New Roman"/>
          <w:b w:val="0"/>
          <w:color w:val="0563C1"/>
          <w:sz w:val="24"/>
          <w:szCs w:val="24"/>
          <w:u w:val="single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，要求署名、非商业性使用与相同方式共享。我们结合原论文、作者仓库及Task1说明核对来源，保留论文引用和平台获取入口，并按任务要求使用数据。CBLUE代码的Apache-2.0许可、论文的CC BY 4.0开放获取条件与数据使用条款分别适用。</w:t>
      </w:r>
    </w:p>
    <w:p w14:paraId="3FAED1FA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数据用于课程医疗实体识别训练、评估与报告分析。原始医疗对话、完整逐样本预测及含原文的错误记录在本地受控保存；公开交付提供源码、评估工具、人工样例、复现流程、聚合统计和经筛选的核验日志，不重新分发医疗原文。复现者从正式来源取得数据并遵循相应条款，第⑦节与本附录共同说明来源及使用范围。</w:t>
      </w:r>
    </w:p>
    <w:p w14:paraId="742FA306">
      <w:pPr>
        <w:pStyle w:val="4"/>
        <w:keepNext/>
        <w:widowControl/>
        <w:snapToGrid w:val="0"/>
        <w:spacing w:before="180" w:after="100" w:line="30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D.5 训练数据特征研究与评分可信度补充核验</w:t>
      </w:r>
    </w:p>
    <w:p w14:paraId="41F61A6B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训练数据特征研究以固定internal_train为范围，统计实体类别与长度、句长、无实体句和多实体句。实体按出现位置计数，句长按原始Unicode码点计算；另以原始B标签计数、非O字符数和句长独立核对统计结果。</w:t>
      </w:r>
    </w:p>
    <w:p w14:paraId="05A074D3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共覆盖2,225组对话、88,842句及62,671个实体。症状占实体数67.35%，O占字符数83.17%；多实体句占16.36%，直接相邻实体共1,737对。句长中位数为9，P95为38。图D-1—D-4展示相应分布。</w:t>
      </w:r>
    </w:p>
    <w:p w14:paraId="62BA88BD">
      <w:pPr>
        <w:keepNext/>
        <w:pageBreakBefore/>
        <w:widowControl/>
        <w:snapToGrid w:val="0"/>
        <w:spacing w:before="0" w:after="0" w:line="240" w:lineRule="auto"/>
        <w:ind w:firstLine="0" w:firstLineChars="0"/>
        <w:jc w:val="center"/>
      </w:pPr>
      <w:r>
        <w:drawing>
          <wp:inline distT="0" distB="0" distL="114300" distR="114300">
            <wp:extent cx="4718050" cy="2146300"/>
            <wp:effectExtent l="0" t="0" r="6350" b="6350"/>
            <wp:docPr id="101" name="图D-1 训练集五类实体规模与占比" descr="图D-1 训练集五类实体规模与占比；既有内部训练集统计图，非模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D-1 训练集五类实体规模与占比" descr="图D-1 训练集五类实体规模与占比；既有内部训练集统计图，非模型结果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FECC">
      <w:pPr>
        <w:pStyle w:val="15"/>
        <w:widowControl/>
        <w:snapToGrid w:val="0"/>
        <w:spacing w:before="60" w:after="60" w:line="300" w:lineRule="auto"/>
        <w:ind w:firstLine="0" w:firstLineChars="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图D-1 训练集五类实体规模与占比</w:t>
      </w:r>
    </w:p>
    <w:p w14:paraId="43DBAB7B">
      <w:pPr>
        <w:keepNext/>
        <w:widowControl/>
        <w:snapToGrid w:val="0"/>
        <w:spacing w:before="0" w:after="0" w:line="240" w:lineRule="auto"/>
        <w:ind w:firstLine="0" w:firstLineChars="0"/>
        <w:jc w:val="center"/>
      </w:pPr>
      <w:r>
        <w:drawing>
          <wp:inline distT="0" distB="0" distL="114300" distR="114300">
            <wp:extent cx="4584700" cy="1900555"/>
            <wp:effectExtent l="0" t="0" r="6350" b="4445"/>
            <wp:docPr id="102" name="图D-2 五类实体长度结构比较" descr="图D-2 五类实体长度结构比较；既有内部训练集统计图，非模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D-2 五类实体长度结构比较" descr="图D-2 五类实体长度结构比较；既有内部训练集统计图，非模型结果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C0CD">
      <w:pPr>
        <w:pStyle w:val="15"/>
        <w:widowControl/>
        <w:snapToGrid w:val="0"/>
        <w:spacing w:before="60" w:after="60" w:line="300" w:lineRule="auto"/>
        <w:ind w:firstLine="0" w:firstLineChars="0"/>
        <w:jc w:val="center"/>
        <w:rPr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图D-2 五类实体长度结构比较</w:t>
      </w:r>
    </w:p>
    <w:p w14:paraId="6E14F876">
      <w:pPr>
        <w:widowControl/>
        <w:snapToGrid w:val="0"/>
        <w:spacing w:before="0" w:after="80" w:line="300" w:lineRule="auto"/>
        <w:ind w:firstLine="480" w:firstLineChars="200"/>
        <w:jc w:val="center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类别规模与长度结构都不均衡：症状是实体的主要组成，症状和医疗操作多为短实体，药品等类别更多集中在中等长度。因此，总体指标需结合分类别结果阅读，边界检查也应兼顾相邻短实体的分离与较长实体的完整覆盖。</w:t>
      </w:r>
      <w:r>
        <w:drawing>
          <wp:inline distT="0" distB="0" distL="114300" distR="114300">
            <wp:extent cx="4712335" cy="1942465"/>
            <wp:effectExtent l="0" t="0" r="2540" b="635"/>
            <wp:docPr id="103" name="图D-3 训练集句长分布" descr="图D-3 训练集句长分布；既有内部训练集统计图，非模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D-3 训练集句长分布" descr="图D-3 训练集句长分布；既有内部训练集统计图，非模型结果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33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F0BF">
      <w:pPr>
        <w:pStyle w:val="15"/>
        <w:widowControl/>
        <w:snapToGrid w:val="0"/>
        <w:spacing w:before="60" w:after="60" w:line="300" w:lineRule="auto"/>
        <w:ind w:firstLine="0" w:firstLineChars="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图D-3 训练集句长分布</w:t>
      </w:r>
    </w:p>
    <w:p w14:paraId="3E4F0212">
      <w:pPr>
        <w:keepNext/>
        <w:widowControl/>
        <w:snapToGrid w:val="0"/>
        <w:spacing w:before="0" w:after="0" w:line="240" w:lineRule="auto"/>
        <w:ind w:firstLine="0" w:firstLineChars="0"/>
        <w:jc w:val="center"/>
      </w:pPr>
      <w:r>
        <w:drawing>
          <wp:inline distT="0" distB="0" distL="114300" distR="114300">
            <wp:extent cx="5486400" cy="2235835"/>
            <wp:effectExtent l="0" t="0" r="0" b="0"/>
            <wp:docPr id="104" name="图D-4 多实体句与句长区间结构" descr="图D-4 多实体句与句长区间结构；既有内部训练集统计图，非模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D-4 多实体句与句长区间结构" descr="图D-4 多实体句与句长区间结构；既有内部训练集统计图，非模型结果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EEC4">
      <w:pPr>
        <w:pStyle w:val="15"/>
        <w:widowControl/>
        <w:snapToGrid w:val="0"/>
        <w:spacing w:before="60" w:after="60" w:line="300" w:lineRule="auto"/>
        <w:ind w:firstLine="0" w:firstLineChars="0"/>
        <w:jc w:val="center"/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图D-4 多实体句与句长区间结构</w:t>
      </w:r>
    </w:p>
    <w:p w14:paraId="12956B89">
      <w:pPr>
        <w:widowControl/>
        <w:snapToGrid w:val="0"/>
        <w:spacing w:before="0" w:after="80" w:line="300" w:lineRule="auto"/>
        <w:ind w:firstLine="480" w:firstLineChars="200"/>
        <w:jc w:val="left"/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短句构成训练语料的主体，较长句子中多实体和多类别结构更常见。按句长比较结果时，还需结合句内实体数量与类别组成；最长区间样本较少，末端比例应结合样本量阅读。</w:t>
      </w:r>
    </w:p>
    <w:p w14:paraId="3A46CEF3">
      <w:pPr>
        <w:widowControl/>
        <w:snapToGrid w:val="0"/>
        <w:spacing w:before="0" w:after="80" w:line="300" w:lineRule="auto"/>
        <w:ind w:left="0" w:leftChars="0" w:firstLine="0" w:firstLineChars="0"/>
        <w:jc w:val="left"/>
      </w:pP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lang w:val="en-US" w:eastAsia="zh-CN"/>
        </w:rPr>
        <w:t>评分可信度补充核验</w:t>
      </w:r>
    </w:p>
    <w:p w14:paraId="6463B6C5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我们构造了8个合法人工BIO评分场景，逐一列出金标与预测实体，手算TP、FP、FN及Micro-P/R/F1，再将同一输入交给项目评分器和</w:t>
      </w:r>
      <w:r>
        <w:fldChar w:fldCharType="begin"/>
      </w:r>
      <w:r>
        <w:instrText xml:space="preserve"> HYPERLINK "https://github.com/lemuria-wchen/imcs21-cblue/blob/8d512c6635029bf068712d62cf2428e65c5e4a58/task1/eval_task1.py" </w:instrText>
      </w:r>
      <w:r>
        <w:fldChar w:fldCharType="separate"/>
      </w:r>
      <w:r>
        <w:rPr>
          <w:rFonts w:hint="eastAsia" w:ascii="Times New Roman" w:hAnsi="Times New Roman" w:eastAsia="宋体" w:cs="Times New Roman"/>
          <w:b w:val="0"/>
          <w:color w:val="0563C1"/>
          <w:sz w:val="24"/>
          <w:szCs w:val="24"/>
          <w:u w:val="single"/>
          <w:lang w:val="en-US" w:eastAsia="zh-CN"/>
        </w:rPr>
        <w:t>固定版本的作者实体评价代码</w:t>
      </w:r>
      <w:r>
        <w:rPr>
          <w:rFonts w:hint="eastAsia" w:ascii="Times New Roman" w:hAnsi="Times New Roman" w:eastAsia="宋体" w:cs="Times New Roman"/>
          <w:b w:val="0"/>
          <w:color w:val="0563C1"/>
          <w:sz w:val="24"/>
          <w:szCs w:val="24"/>
          <w:u w:val="single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对照。场景覆盖精确匹配、边界偏移、类型错误、合并、拆分、相邻同类及跨句／跨对话隔离，表D-4列出三个直观例子。</w:t>
      </w:r>
    </w:p>
    <w:p w14:paraId="23601A41">
      <w:pPr>
        <w:widowControl/>
        <w:snapToGrid w:val="0"/>
        <w:spacing w:before="0" w:after="60" w:line="26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1"/>
          <w:szCs w:val="21"/>
          <w:lang w:val="en-US" w:eastAsia="zh-CN"/>
        </w:rPr>
        <w:t>每例另设五类各一个正确单字实体作为固定锚点，满足作者代码的类别输入条件，并共同贡献5个TP。表中坐标从0开始，采用左闭右开区间；目标句实体均为Symptom。</w:t>
      </w:r>
    </w:p>
    <w:p w14:paraId="30AB717F">
      <w:pPr>
        <w:pStyle w:val="15"/>
        <w:keepNext/>
        <w:widowControl/>
        <w:snapToGrid w:val="0"/>
        <w:spacing w:before="60" w:after="60" w:line="300" w:lineRule="auto"/>
        <w:ind w:firstLine="0" w:firstLineChars="0"/>
        <w:jc w:val="center"/>
        <w:rPr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>表D-4 人工实体边界场景与评分对照</w:t>
      </w:r>
    </w:p>
    <w:tbl>
      <w:tblPr>
        <w:tblStyle w:val="33"/>
        <w:tblW w:w="864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60" w:type="dxa"/>
          <w:left w:w="65" w:type="dxa"/>
          <w:bottom w:w="60" w:type="dxa"/>
          <w:right w:w="65" w:type="dxa"/>
        </w:tblCellMar>
      </w:tblPr>
      <w:tblGrid>
        <w:gridCol w:w="1270"/>
        <w:gridCol w:w="3040"/>
        <w:gridCol w:w="1370"/>
        <w:gridCol w:w="2960"/>
      </w:tblGrid>
      <w:tr w14:paraId="55C483B8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tblHeader/>
          <w:jc w:val="center"/>
        </w:trPr>
        <w:tc>
          <w:tcPr>
            <w:tcW w:w="1270" w:type="dxa"/>
            <w:tcBorders>
              <w:bottom w:val="single" w:color="000000" w:sz="6" w:space="0"/>
            </w:tcBorders>
            <w:vAlign w:val="center"/>
          </w:tcPr>
          <w:p w14:paraId="6CFD8B52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场景</w:t>
            </w:r>
          </w:p>
        </w:tc>
        <w:tc>
          <w:tcPr>
            <w:tcW w:w="3040" w:type="dxa"/>
            <w:tcBorders>
              <w:bottom w:val="single" w:color="000000" w:sz="6" w:space="0"/>
            </w:tcBorders>
            <w:vAlign w:val="center"/>
          </w:tcPr>
          <w:p w14:paraId="3591EAB2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人工金标与预测差异</w:t>
            </w:r>
          </w:p>
        </w:tc>
        <w:tc>
          <w:tcPr>
            <w:tcW w:w="1370" w:type="dxa"/>
            <w:tcBorders>
              <w:bottom w:val="single" w:color="000000" w:sz="6" w:space="0"/>
            </w:tcBorders>
            <w:vAlign w:val="center"/>
          </w:tcPr>
          <w:p w14:paraId="4E22EAFA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预期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TP／FP／FN</w:t>
            </w:r>
          </w:p>
        </w:tc>
        <w:tc>
          <w:tcPr>
            <w:tcW w:w="2960" w:type="dxa"/>
            <w:tcBorders>
              <w:bottom w:val="single" w:color="000000" w:sz="6" w:space="0"/>
            </w:tcBorders>
            <w:vAlign w:val="center"/>
          </w:tcPr>
          <w:p w14:paraId="03EC602C">
            <w:pPr>
              <w:keepNext/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1"/>
                <w:szCs w:val="21"/>
                <w:lang w:val="en-US" w:eastAsia="zh-CN"/>
              </w:rPr>
              <w:t>实际对照结果</w:t>
            </w:r>
          </w:p>
        </w:tc>
      </w:tr>
      <w:tr w14:paraId="526B360D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1270" w:type="dxa"/>
            <w:vAlign w:val="center"/>
          </w:tcPr>
          <w:p w14:paraId="363F5BC2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相邻同类独立</w:t>
            </w:r>
          </w:p>
        </w:tc>
        <w:tc>
          <w:tcPr>
            <w:tcW w:w="3040" w:type="dxa"/>
            <w:vAlign w:val="center"/>
          </w:tcPr>
          <w:p w14:paraId="2BD2DE7C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金标与预测均为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[0,1)、[1,2)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（两个连续B标签）</w:t>
            </w:r>
          </w:p>
        </w:tc>
        <w:tc>
          <w:tcPr>
            <w:tcW w:w="1370" w:type="dxa"/>
            <w:vAlign w:val="center"/>
          </w:tcPr>
          <w:p w14:paraId="25867237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7／0／0</w:t>
            </w:r>
          </w:p>
        </w:tc>
        <w:tc>
          <w:tcPr>
            <w:tcW w:w="2960" w:type="dxa"/>
            <w:vAlign w:val="center"/>
          </w:tcPr>
          <w:p w14:paraId="3695C6FC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项目／作者均7／0／0；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P=R=F1=1.0000</w:t>
            </w:r>
          </w:p>
        </w:tc>
      </w:tr>
      <w:tr w14:paraId="525A0911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1270" w:type="dxa"/>
            <w:vAlign w:val="center"/>
          </w:tcPr>
          <w:p w14:paraId="75A50A0C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误合并</w:t>
            </w:r>
          </w:p>
        </w:tc>
        <w:tc>
          <w:tcPr>
            <w:tcW w:w="3040" w:type="dxa"/>
            <w:vAlign w:val="center"/>
          </w:tcPr>
          <w:p w14:paraId="75A47004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金标[0,2)、[2,4)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预测[0,4)</w:t>
            </w:r>
          </w:p>
        </w:tc>
        <w:tc>
          <w:tcPr>
            <w:tcW w:w="1370" w:type="dxa"/>
            <w:vAlign w:val="center"/>
          </w:tcPr>
          <w:p w14:paraId="63EBBEFB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5／1／2</w:t>
            </w:r>
          </w:p>
        </w:tc>
        <w:tc>
          <w:tcPr>
            <w:tcW w:w="2960" w:type="dxa"/>
            <w:vAlign w:val="center"/>
          </w:tcPr>
          <w:p w14:paraId="6BA5C0D5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项目／作者均5／1／2；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P=0.8333，R=0.7143，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F1=0.7692</w:t>
            </w:r>
          </w:p>
        </w:tc>
      </w:tr>
      <w:tr w14:paraId="707CB854">
        <w:tblPrEx>
          <w:tblBorders>
            <w:top w:val="single" w:color="000000" w:sz="12" w:space="0"/>
            <w:left w:val="none" w:color="000000" w:sz="0" w:space="0"/>
            <w:bottom w:val="single" w:color="000000" w:sz="12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60" w:type="dxa"/>
            <w:left w:w="65" w:type="dxa"/>
            <w:bottom w:w="60" w:type="dxa"/>
            <w:right w:w="65" w:type="dxa"/>
          </w:tblCellMar>
        </w:tblPrEx>
        <w:trPr>
          <w:cantSplit/>
          <w:jc w:val="center"/>
        </w:trPr>
        <w:tc>
          <w:tcPr>
            <w:tcW w:w="1270" w:type="dxa"/>
            <w:vAlign w:val="center"/>
          </w:tcPr>
          <w:p w14:paraId="69A5746C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误拆分</w:t>
            </w:r>
          </w:p>
        </w:tc>
        <w:tc>
          <w:tcPr>
            <w:tcW w:w="3040" w:type="dxa"/>
            <w:vAlign w:val="center"/>
          </w:tcPr>
          <w:p w14:paraId="7B24713A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金标[0,4)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预测[0,2)、[2,4)</w:t>
            </w:r>
          </w:p>
        </w:tc>
        <w:tc>
          <w:tcPr>
            <w:tcW w:w="1370" w:type="dxa"/>
            <w:vAlign w:val="center"/>
          </w:tcPr>
          <w:p w14:paraId="3CF5C310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5／2／1</w:t>
            </w:r>
          </w:p>
        </w:tc>
        <w:tc>
          <w:tcPr>
            <w:tcW w:w="2960" w:type="dxa"/>
            <w:vAlign w:val="center"/>
          </w:tcPr>
          <w:p w14:paraId="139634D1">
            <w:pPr>
              <w:widowControl/>
              <w:snapToGrid w:val="0"/>
              <w:spacing w:before="0" w:after="0" w:line="240" w:lineRule="auto"/>
              <w:ind w:firstLine="0" w:firstLineChars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项目／作者均5／2／1；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P=0.7143，R=0.8333，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21"/>
                <w:szCs w:val="21"/>
                <w:lang w:val="en-US" w:eastAsia="zh-CN"/>
              </w:rPr>
              <w:t>F1=0.7692</w:t>
            </w:r>
          </w:p>
        </w:tc>
      </w:tr>
    </w:tbl>
    <w:p w14:paraId="30831863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严格匹配要求实体类别与完整边界同时一致。误合并时，[0,4)与两个金标都不匹配，产生1个FP和2个FN；误拆分则产生2个FP和1个FN。相邻同类实体的第二个B必须开启新实体，不能因类别相同而合并。</w:t>
      </w:r>
    </w:p>
    <w:p w14:paraId="22F231DE">
      <w:pPr>
        <w:widowControl/>
        <w:snapToGrid w:val="0"/>
        <w:spacing w:before="0" w:after="80" w:line="300" w:lineRule="auto"/>
        <w:ind w:firstLine="480" w:firstLineChars="20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4"/>
          <w:szCs w:val="24"/>
          <w:lang w:val="en-US" w:eastAsia="zh-CN"/>
        </w:rPr>
        <w:t>8个合法场景的人工预期、项目实现与作者代码在整体TP/FP/FN上完全一致，Micro-P/R/F1在1e-12容差内一致。原工程138项评估测试及新增12项统计、7项评分核验测试均通过，共157项。</w:t>
      </w:r>
    </w:p>
    <w:p w14:paraId="00BC8C20">
      <w:pPr>
        <w:widowControl/>
        <w:snapToGrid w:val="0"/>
        <w:spacing w:before="0" w:after="60" w:line="260" w:lineRule="auto"/>
        <w:ind w:firstLine="0" w:firstLineChars="0"/>
        <w:jc w:val="left"/>
      </w:pPr>
      <w:r>
        <w:rPr>
          <w:rFonts w:hint="eastAsia" w:ascii="Times New Roman" w:hAnsi="Times New Roman" w:eastAsia="宋体" w:cs="Times New Roman"/>
          <w:b w:val="0"/>
          <w:color w:val="000000"/>
          <w:sz w:val="21"/>
          <w:szCs w:val="21"/>
          <w:lang w:val="en-US" w:eastAsia="zh-CN"/>
        </w:rPr>
        <w:t>研究脚本、统计CSV、原图和评分场景说明见GitHub evaluation分支的</w:t>
      </w:r>
      <w:r>
        <w:fldChar w:fldCharType="begin"/>
      </w:r>
      <w:r>
        <w:instrText xml:space="preserve"> HYPERLINK "https://github.com/dxc5731/NLPExp/tree/c486e25988fef669a7f038d5d13710d25f657116/evaluation/research/data_study" </w:instrText>
      </w:r>
      <w:r>
        <w:fldChar w:fldCharType="separate"/>
      </w:r>
      <w:r>
        <w:rPr>
          <w:rFonts w:hint="eastAsia" w:ascii="Times New Roman" w:hAnsi="Times New Roman" w:eastAsia="宋体" w:cs="Times New Roman"/>
          <w:b w:val="0"/>
          <w:color w:val="0563C1"/>
          <w:sz w:val="21"/>
          <w:szCs w:val="21"/>
          <w:u w:val="single"/>
          <w:lang w:val="en-US" w:eastAsia="zh-CN"/>
        </w:rPr>
        <w:t>固定版本研究材料</w:t>
      </w:r>
      <w:r>
        <w:rPr>
          <w:rFonts w:hint="eastAsia" w:ascii="Times New Roman" w:hAnsi="Times New Roman" w:eastAsia="宋体" w:cs="Times New Roman"/>
          <w:b w:val="0"/>
          <w:color w:val="0563C1"/>
          <w:sz w:val="21"/>
          <w:szCs w:val="21"/>
          <w:u w:val="single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b w:val="0"/>
          <w:color w:val="000000"/>
          <w:sz w:val="21"/>
          <w:szCs w:val="21"/>
          <w:lang w:val="en-US" w:eastAsia="zh-CN"/>
        </w:rPr>
        <w:t>。</w:t>
      </w:r>
      <w:bookmarkStart w:id="0" w:name="_GoBack"/>
      <w:bookmarkEnd w:id="0"/>
    </w:p>
    <w:sectPr>
      <w:pgSz w:w="12240" w:h="15840"/>
      <w:pgMar w:top="1440" w:right="1800" w:bottom="1440" w:left="1800" w:header="432" w:footer="4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bullet"/>
      <w:lvlText w:val="•"/>
      <w:lvlJc w:val="left"/>
      <w:rPr>
        <w:rFonts w:ascii="宋体" w:hAnsi="宋体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6D6063"/>
    <w:rsid w:val="10A53358"/>
    <w:rsid w:val="195E16BF"/>
    <w:rsid w:val="1D751405"/>
    <w:rsid w:val="2E9A4AF0"/>
    <w:rsid w:val="32317519"/>
    <w:rsid w:val="37B7537B"/>
    <w:rsid w:val="3CA7527E"/>
    <w:rsid w:val="3EE43BF5"/>
    <w:rsid w:val="415F645D"/>
    <w:rsid w:val="61B01959"/>
    <w:rsid w:val="66135703"/>
    <w:rsid w:val="66C50C13"/>
    <w:rsid w:val="6C8D456B"/>
    <w:rsid w:val="703A5832"/>
    <w:rsid w:val="71A71502"/>
    <w:rsid w:val="78E44D50"/>
    <w:rsid w:val="79F503F9"/>
    <w:rsid w:val="7BFF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  <w:ind w:firstLine="480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 w:line="300" w:lineRule="auto"/>
      <w:ind w:firstLine="0"/>
      <w:outlineLvl w:val="0"/>
    </w:pPr>
    <w:rPr>
      <w:rFonts w:hint="eastAsia" w:ascii="Times New Roman" w:hAnsi="Times New Roman" w:eastAsia="宋体" w:cstheme="majorBidi"/>
      <w:b/>
      <w:bCs/>
      <w:color w:val="000000"/>
      <w:sz w:val="24"/>
      <w:szCs w:val="24"/>
      <w:lang w:val="en-US" w:eastAsia="zh-CN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 w:line="300" w:lineRule="auto"/>
      <w:ind w:firstLine="0"/>
      <w:outlineLvl w:val="1"/>
    </w:pPr>
    <w:rPr>
      <w:rFonts w:hint="eastAsia" w:ascii="Times New Roman" w:hAnsi="Times New Roman" w:eastAsia="宋体" w:cstheme="majorBidi"/>
      <w:b/>
      <w:bCs/>
      <w:color w:val="000000"/>
      <w:sz w:val="24"/>
      <w:szCs w:val="24"/>
      <w:lang w:val="en-US" w:eastAsia="zh-CN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 w:line="300" w:lineRule="auto"/>
      <w:ind w:firstLine="0"/>
      <w:outlineLvl w:val="2"/>
    </w:pPr>
    <w:rPr>
      <w:rFonts w:hint="eastAsia" w:ascii="Times New Roman" w:hAnsi="Times New Roman" w:eastAsia="宋体" w:cstheme="majorBidi"/>
      <w:b/>
      <w:bCs/>
      <w:color w:val="000000"/>
      <w:sz w:val="24"/>
      <w:szCs w:val="24"/>
      <w:lang w:val="en-US" w:eastAsia="zh-CN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 w:line="300" w:lineRule="auto"/>
      <w:outlineLvl w:val="3"/>
    </w:pPr>
    <w:rPr>
      <w:rFonts w:hint="eastAsia" w:ascii="Times New Roman" w:hAnsi="Times New Roman" w:eastAsia="宋体" w:cstheme="majorBidi"/>
      <w:b/>
      <w:bCs/>
      <w:i/>
      <w:iCs/>
      <w:color w:val="000000"/>
      <w:sz w:val="24"/>
      <w:szCs w:val="24"/>
      <w:lang w:val="en-US" w:eastAsia="zh-CN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 w:line="300" w:lineRule="auto"/>
      <w:outlineLvl w:val="4"/>
    </w:pPr>
    <w:rPr>
      <w:rFonts w:hint="eastAsia" w:ascii="Times New Roman" w:hAnsi="Times New Roman" w:eastAsia="宋体" w:cstheme="majorBidi"/>
      <w:color w:val="000000"/>
      <w:sz w:val="24"/>
      <w:szCs w:val="24"/>
      <w:lang w:val="en-US" w:eastAsia="zh-CN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 w:line="300" w:lineRule="auto"/>
      <w:outlineLvl w:val="5"/>
    </w:pPr>
    <w:rPr>
      <w:rFonts w:hint="eastAsia" w:ascii="Times New Roman" w:hAnsi="Times New Roman" w:eastAsia="宋体" w:cstheme="majorBidi"/>
      <w:i/>
      <w:iCs/>
      <w:color w:val="000000"/>
      <w:sz w:val="24"/>
      <w:szCs w:val="24"/>
      <w:lang w:val="en-US" w:eastAsia="zh-CN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 w:line="300" w:lineRule="auto"/>
      <w:outlineLvl w:val="6"/>
    </w:pPr>
    <w:rPr>
      <w:rFonts w:hint="eastAsia" w:ascii="Times New Roman" w:hAnsi="Times New Roman" w:eastAsia="宋体" w:cstheme="majorBidi"/>
      <w:i/>
      <w:iCs/>
      <w:color w:val="000000"/>
      <w:sz w:val="24"/>
      <w:szCs w:val="24"/>
      <w:lang w:val="en-US" w:eastAsia="zh-CN"/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 w:line="300" w:lineRule="auto"/>
      <w:outlineLvl w:val="7"/>
    </w:pPr>
    <w:rPr>
      <w:rFonts w:hint="eastAsia" w:ascii="Times New Roman" w:hAnsi="Times New Roman" w:eastAsia="宋体" w:cstheme="majorBidi"/>
      <w:color w:val="000000"/>
      <w:sz w:val="24"/>
      <w:szCs w:val="24"/>
      <w:lang w:val="en-US" w:eastAsia="zh-CN"/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 w:line="300" w:lineRule="auto"/>
      <w:outlineLvl w:val="8"/>
    </w:pPr>
    <w:rPr>
      <w:rFonts w:hint="eastAsia" w:ascii="Times New Roman" w:hAnsi="Times New Roman" w:eastAsia="宋体" w:cstheme="majorBidi"/>
      <w:i/>
      <w:iCs/>
      <w:color w:val="000000"/>
      <w:sz w:val="24"/>
      <w:szCs w:val="24"/>
      <w:lang w:val="en-US" w:eastAsia="zh-CN"/>
    </w:rPr>
  </w:style>
  <w:style w:type="character" w:default="1" w:styleId="133">
    <w:name w:val="Default Paragraph Font"/>
    <w:semiHidden/>
    <w:unhideWhenUsed/>
    <w:qFormat/>
    <w:uiPriority w:val="1"/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300" w:lineRule="auto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spacing w:line="300" w:lineRule="auto"/>
      <w:ind w:left="1080" w:hanging="360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line="300" w:lineRule="auto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line="300" w:lineRule="auto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300" w:lineRule="auto"/>
    </w:pPr>
    <w:rPr>
      <w:rFonts w:hint="eastAsia" w:ascii="Times New Roman" w:hAnsi="Times New Roman" w:eastAsia="宋体" w:cs="Times New Roman"/>
      <w:b/>
      <w:bCs/>
      <w:color w:val="000000"/>
      <w:sz w:val="24"/>
      <w:szCs w:val="24"/>
      <w:lang w:val="en-US" w:eastAsia="zh-CN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line="300" w:lineRule="auto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7">
    <w:name w:val="Body Text 3"/>
    <w:basedOn w:val="1"/>
    <w:link w:val="147"/>
    <w:unhideWhenUsed/>
    <w:qFormat/>
    <w:uiPriority w:val="99"/>
    <w:pPr>
      <w:spacing w:after="120" w:line="300" w:lineRule="auto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spacing w:line="300" w:lineRule="auto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9">
    <w:name w:val="Body Text"/>
    <w:basedOn w:val="1"/>
    <w:link w:val="145"/>
    <w:unhideWhenUsed/>
    <w:qFormat/>
    <w:uiPriority w:val="99"/>
    <w:pPr>
      <w:spacing w:after="120" w:line="300" w:lineRule="auto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spacing w:line="300" w:lineRule="auto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1">
    <w:name w:val="List 2"/>
    <w:basedOn w:val="1"/>
    <w:unhideWhenUsed/>
    <w:qFormat/>
    <w:uiPriority w:val="99"/>
    <w:pPr>
      <w:spacing w:line="300" w:lineRule="auto"/>
      <w:ind w:left="720" w:hanging="360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2">
    <w:name w:val="List Continue"/>
    <w:basedOn w:val="1"/>
    <w:unhideWhenUsed/>
    <w:qFormat/>
    <w:uiPriority w:val="99"/>
    <w:pPr>
      <w:spacing w:after="120" w:line="300" w:lineRule="auto"/>
      <w:ind w:left="360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line="300" w:lineRule="auto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300" w:lineRule="auto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300" w:lineRule="auto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6">
    <w:name w:val="Subtitle"/>
    <w:basedOn w:val="1"/>
    <w:next w:val="1"/>
    <w:link w:val="143"/>
    <w:qFormat/>
    <w:uiPriority w:val="11"/>
    <w:pPr>
      <w:spacing w:line="300" w:lineRule="auto"/>
    </w:pPr>
    <w:rPr>
      <w:rFonts w:hint="eastAsia" w:ascii="Times New Roman" w:hAnsi="Times New Roman" w:eastAsia="宋体" w:cstheme="majorBidi"/>
      <w:i/>
      <w:iCs/>
      <w:color w:val="000000"/>
      <w:spacing w:val="15"/>
      <w:sz w:val="24"/>
      <w:szCs w:val="24"/>
      <w:lang w:val="en-US" w:eastAsia="zh-CN"/>
    </w:rPr>
  </w:style>
  <w:style w:type="paragraph" w:styleId="27">
    <w:name w:val="List"/>
    <w:basedOn w:val="1"/>
    <w:unhideWhenUsed/>
    <w:qFormat/>
    <w:uiPriority w:val="99"/>
    <w:pPr>
      <w:spacing w:line="300" w:lineRule="auto"/>
      <w:ind w:left="360" w:hanging="360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8">
    <w:name w:val="Body Text 2"/>
    <w:basedOn w:val="1"/>
    <w:link w:val="146"/>
    <w:unhideWhenUsed/>
    <w:qFormat/>
    <w:uiPriority w:val="99"/>
    <w:pPr>
      <w:spacing w:after="120" w:line="300" w:lineRule="auto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29">
    <w:name w:val="List Continue 2"/>
    <w:basedOn w:val="1"/>
    <w:unhideWhenUsed/>
    <w:qFormat/>
    <w:uiPriority w:val="99"/>
    <w:pPr>
      <w:spacing w:after="120" w:line="300" w:lineRule="auto"/>
      <w:ind w:left="720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 w:line="300" w:lineRule="auto"/>
      <w:ind w:left="1080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32">
    <w:name w:val="Title"/>
    <w:basedOn w:val="1"/>
    <w:next w:val="1"/>
    <w:link w:val="142"/>
    <w:qFormat/>
    <w:uiPriority w:val="10"/>
    <w:pPr>
      <w:spacing w:after="300" w:line="300" w:lineRule="auto"/>
      <w:ind w:firstLine="0"/>
      <w:contextualSpacing/>
    </w:pPr>
    <w:rPr>
      <w:rFonts w:hint="eastAsia" w:ascii="Times New Roman" w:hAnsi="Times New Roman" w:eastAsia="宋体" w:cstheme="majorBidi"/>
      <w:b/>
      <w:color w:val="000000"/>
      <w:spacing w:val="5"/>
      <w:kern w:val="28"/>
      <w:sz w:val="24"/>
      <w:szCs w:val="24"/>
      <w:lang w:val="en-US" w:eastAsia="zh-CN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rFonts w:hint="eastAsia" w:ascii="Times New Roman" w:hAnsi="Times New Roman" w:eastAsia="宋体" w:cs="Times New Roman"/>
      <w:b/>
      <w:bCs/>
      <w:color w:val="000000"/>
      <w:sz w:val="24"/>
      <w:szCs w:val="24"/>
      <w:lang w:val="en-US" w:eastAsia="zh-CN"/>
    </w:rPr>
  </w:style>
  <w:style w:type="character" w:styleId="135">
    <w:name w:val="Emphasis"/>
    <w:basedOn w:val="133"/>
    <w:qFormat/>
    <w:uiPriority w:val="20"/>
    <w:rPr>
      <w:rFonts w:hint="eastAsia" w:ascii="Times New Roman" w:hAnsi="Times New Roman" w:eastAsia="宋体" w:cs="Times New Roman"/>
      <w:i/>
      <w:iCs/>
      <w:color w:val="000000"/>
      <w:sz w:val="24"/>
      <w:szCs w:val="24"/>
      <w:lang w:val="en-US" w:eastAsia="zh-CN"/>
    </w:rPr>
  </w:style>
  <w:style w:type="character" w:customStyle="1" w:styleId="136">
    <w:name w:val="Header Char"/>
    <w:basedOn w:val="133"/>
    <w:link w:val="25"/>
    <w:qFormat/>
    <w:uiPriority w:val="99"/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character" w:customStyle="1" w:styleId="137">
    <w:name w:val="Footer Char"/>
    <w:basedOn w:val="133"/>
    <w:link w:val="24"/>
    <w:uiPriority w:val="99"/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38">
    <w:name w:val="No Spacing"/>
    <w:qFormat/>
    <w:uiPriority w:val="1"/>
    <w:pPr>
      <w:spacing w:after="0" w:line="300" w:lineRule="auto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139">
    <w:name w:val="Heading 1 Char"/>
    <w:basedOn w:val="133"/>
    <w:link w:val="3"/>
    <w:qFormat/>
    <w:uiPriority w:val="9"/>
    <w:rPr>
      <w:rFonts w:hint="eastAsia" w:ascii="Times New Roman" w:hAnsi="Times New Roman" w:eastAsia="宋体" w:cstheme="majorBidi"/>
      <w:b/>
      <w:bCs/>
      <w:color w:val="000000"/>
      <w:sz w:val="24"/>
      <w:szCs w:val="24"/>
      <w:lang w:val="en-US" w:eastAsia="zh-CN"/>
    </w:rPr>
  </w:style>
  <w:style w:type="character" w:customStyle="1" w:styleId="140">
    <w:name w:val="Heading 2 Char"/>
    <w:basedOn w:val="133"/>
    <w:link w:val="4"/>
    <w:qFormat/>
    <w:uiPriority w:val="9"/>
    <w:rPr>
      <w:rFonts w:hint="eastAsia" w:ascii="Times New Roman" w:hAnsi="Times New Roman" w:eastAsia="宋体" w:cstheme="majorBidi"/>
      <w:b/>
      <w:bCs/>
      <w:color w:val="000000"/>
      <w:sz w:val="24"/>
      <w:szCs w:val="24"/>
      <w:lang w:val="en-US" w:eastAsia="zh-CN"/>
    </w:rPr>
  </w:style>
  <w:style w:type="character" w:customStyle="1" w:styleId="141">
    <w:name w:val="Heading 3 Char"/>
    <w:basedOn w:val="133"/>
    <w:link w:val="5"/>
    <w:qFormat/>
    <w:uiPriority w:val="9"/>
    <w:rPr>
      <w:rFonts w:hint="eastAsia" w:ascii="Times New Roman" w:hAnsi="Times New Roman" w:eastAsia="宋体" w:cstheme="majorBidi"/>
      <w:b/>
      <w:bCs/>
      <w:color w:val="000000"/>
      <w:sz w:val="24"/>
      <w:szCs w:val="24"/>
      <w:lang w:val="en-US" w:eastAsia="zh-CN"/>
    </w:rPr>
  </w:style>
  <w:style w:type="character" w:customStyle="1" w:styleId="142">
    <w:name w:val="Title Char"/>
    <w:basedOn w:val="133"/>
    <w:link w:val="32"/>
    <w:qFormat/>
    <w:uiPriority w:val="10"/>
    <w:rPr>
      <w:rFonts w:hint="eastAsia" w:ascii="Times New Roman" w:hAnsi="Times New Roman" w:eastAsia="宋体" w:cstheme="majorBidi"/>
      <w:color w:val="000000"/>
      <w:spacing w:val="5"/>
      <w:kern w:val="28"/>
      <w:sz w:val="24"/>
      <w:szCs w:val="24"/>
      <w:lang w:val="en-US" w:eastAsia="zh-CN"/>
    </w:rPr>
  </w:style>
  <w:style w:type="character" w:customStyle="1" w:styleId="143">
    <w:name w:val="Subtitle Char"/>
    <w:basedOn w:val="133"/>
    <w:link w:val="26"/>
    <w:qFormat/>
    <w:uiPriority w:val="11"/>
    <w:rPr>
      <w:rFonts w:hint="eastAsia" w:ascii="Times New Roman" w:hAnsi="Times New Roman" w:eastAsia="宋体" w:cstheme="majorBidi"/>
      <w:i/>
      <w:iCs/>
      <w:color w:val="000000"/>
      <w:spacing w:val="15"/>
      <w:sz w:val="24"/>
      <w:szCs w:val="24"/>
      <w:lang w:val="en-US" w:eastAsia="zh-CN"/>
    </w:rPr>
  </w:style>
  <w:style w:type="paragraph" w:styleId="144">
    <w:name w:val="List Paragraph"/>
    <w:basedOn w:val="1"/>
    <w:qFormat/>
    <w:uiPriority w:val="34"/>
    <w:pPr>
      <w:spacing w:line="300" w:lineRule="auto"/>
      <w:ind w:left="720"/>
      <w:contextualSpacing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character" w:customStyle="1" w:styleId="145">
    <w:name w:val="Body Text Char"/>
    <w:basedOn w:val="133"/>
    <w:link w:val="19"/>
    <w:qFormat/>
    <w:uiPriority w:val="99"/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character" w:customStyle="1" w:styleId="146">
    <w:name w:val="Body Text 2 Char"/>
    <w:basedOn w:val="133"/>
    <w:link w:val="28"/>
    <w:qFormat/>
    <w:uiPriority w:val="99"/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character" w:customStyle="1" w:styleId="147">
    <w:name w:val="Body Text 3 Char"/>
    <w:basedOn w:val="133"/>
    <w:link w:val="17"/>
    <w:qFormat/>
    <w:uiPriority w:val="99"/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character" w:customStyle="1" w:styleId="148">
    <w:name w:val="Macro Text Char"/>
    <w:basedOn w:val="133"/>
    <w:link w:val="2"/>
    <w:qFormat/>
    <w:uiPriority w:val="99"/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  <w:style w:type="paragraph" w:styleId="149">
    <w:name w:val="Quote"/>
    <w:basedOn w:val="1"/>
    <w:next w:val="1"/>
    <w:link w:val="150"/>
    <w:qFormat/>
    <w:uiPriority w:val="29"/>
    <w:pPr>
      <w:spacing w:line="300" w:lineRule="auto"/>
    </w:pPr>
    <w:rPr>
      <w:rFonts w:hint="eastAsia" w:ascii="Times New Roman" w:hAnsi="Times New Roman" w:eastAsia="宋体" w:cs="Times New Roman"/>
      <w:i/>
      <w:iCs/>
      <w:color w:val="000000"/>
      <w:sz w:val="24"/>
      <w:szCs w:val="24"/>
      <w:lang w:val="en-US" w:eastAsia="zh-CN"/>
    </w:rPr>
  </w:style>
  <w:style w:type="character" w:customStyle="1" w:styleId="150">
    <w:name w:val="Quote Char"/>
    <w:basedOn w:val="133"/>
    <w:link w:val="149"/>
    <w:qFormat/>
    <w:uiPriority w:val="29"/>
    <w:rPr>
      <w:rFonts w:hint="eastAsia" w:ascii="Times New Roman" w:hAnsi="Times New Roman" w:eastAsia="宋体" w:cs="Times New Roman"/>
      <w:i/>
      <w:iCs/>
      <w:color w:val="000000"/>
      <w:sz w:val="24"/>
      <w:szCs w:val="24"/>
      <w:lang w:val="en-US" w:eastAsia="zh-CN"/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hint="eastAsia" w:ascii="Times New Roman" w:hAnsi="Times New Roman" w:eastAsia="宋体" w:cstheme="majorBidi"/>
      <w:b/>
      <w:bCs/>
      <w:i/>
      <w:iCs/>
      <w:color w:val="000000"/>
      <w:sz w:val="24"/>
      <w:szCs w:val="24"/>
      <w:lang w:val="en-US" w:eastAsia="zh-CN"/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hint="eastAsia" w:ascii="Times New Roman" w:hAnsi="Times New Roman" w:eastAsia="宋体" w:cstheme="majorBidi"/>
      <w:color w:val="000000"/>
      <w:sz w:val="24"/>
      <w:szCs w:val="24"/>
      <w:lang w:val="en-US" w:eastAsia="zh-CN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hint="eastAsia" w:ascii="Times New Roman" w:hAnsi="Times New Roman" w:eastAsia="宋体" w:cstheme="majorBidi"/>
      <w:i/>
      <w:iCs/>
      <w:color w:val="000000"/>
      <w:sz w:val="24"/>
      <w:szCs w:val="24"/>
      <w:lang w:val="en-US" w:eastAsia="zh-CN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hint="eastAsia" w:ascii="Times New Roman" w:hAnsi="Times New Roman" w:eastAsia="宋体" w:cstheme="majorBidi"/>
      <w:i/>
      <w:iCs/>
      <w:color w:val="000000"/>
      <w:sz w:val="24"/>
      <w:szCs w:val="24"/>
      <w:lang w:val="en-US" w:eastAsia="zh-CN"/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hint="eastAsia" w:ascii="Times New Roman" w:hAnsi="Times New Roman" w:eastAsia="宋体" w:cstheme="majorBidi"/>
      <w:color w:val="000000"/>
      <w:sz w:val="24"/>
      <w:szCs w:val="24"/>
      <w:lang w:val="en-US" w:eastAsia="zh-CN"/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hint="eastAsia" w:ascii="Times New Roman" w:hAnsi="Times New Roman" w:eastAsia="宋体" w:cstheme="majorBidi"/>
      <w:i/>
      <w:iCs/>
      <w:color w:val="000000"/>
      <w:sz w:val="24"/>
      <w:szCs w:val="24"/>
      <w:lang w:val="en-US" w:eastAsia="zh-CN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 w:line="300" w:lineRule="auto"/>
      <w:ind w:left="936" w:right="936"/>
    </w:pPr>
    <w:rPr>
      <w:rFonts w:hint="eastAsia" w:ascii="Times New Roman" w:hAnsi="Times New Roman" w:eastAsia="宋体" w:cs="Times New Roman"/>
      <w:b/>
      <w:bCs/>
      <w:i/>
      <w:iCs/>
      <w:color w:val="000000"/>
      <w:sz w:val="24"/>
      <w:szCs w:val="24"/>
      <w:lang w:val="en-US" w:eastAsia="zh-CN"/>
    </w:rPr>
  </w:style>
  <w:style w:type="character" w:customStyle="1" w:styleId="158">
    <w:name w:val="Intense Quote Char"/>
    <w:basedOn w:val="133"/>
    <w:link w:val="157"/>
    <w:qFormat/>
    <w:uiPriority w:val="30"/>
    <w:rPr>
      <w:rFonts w:hint="eastAsia" w:ascii="Times New Roman" w:hAnsi="Times New Roman" w:eastAsia="宋体" w:cs="Times New Roman"/>
      <w:b/>
      <w:bCs/>
      <w:i/>
      <w:iCs/>
      <w:color w:val="000000"/>
      <w:sz w:val="24"/>
      <w:szCs w:val="24"/>
      <w:lang w:val="en-US" w:eastAsia="zh-CN"/>
    </w:rPr>
  </w:style>
  <w:style w:type="character" w:customStyle="1" w:styleId="159">
    <w:name w:val="Subtle Emphasis"/>
    <w:basedOn w:val="133"/>
    <w:qFormat/>
    <w:uiPriority w:val="19"/>
    <w:rPr>
      <w:rFonts w:hint="eastAsia" w:ascii="Times New Roman" w:hAnsi="Times New Roman" w:eastAsia="宋体" w:cs="Times New Roman"/>
      <w:i/>
      <w:iCs/>
      <w:color w:val="000000"/>
      <w:sz w:val="24"/>
      <w:szCs w:val="24"/>
      <w:lang w:val="en-US" w:eastAsia="zh-CN"/>
    </w:rPr>
  </w:style>
  <w:style w:type="character" w:customStyle="1" w:styleId="160">
    <w:name w:val="Intense Emphasis"/>
    <w:basedOn w:val="133"/>
    <w:qFormat/>
    <w:uiPriority w:val="21"/>
    <w:rPr>
      <w:rFonts w:hint="eastAsia" w:ascii="Times New Roman" w:hAnsi="Times New Roman" w:eastAsia="宋体" w:cs="Times New Roman"/>
      <w:b/>
      <w:bCs/>
      <w:i/>
      <w:iCs/>
      <w:color w:val="000000"/>
      <w:sz w:val="24"/>
      <w:szCs w:val="24"/>
      <w:lang w:val="en-US" w:eastAsia="zh-CN"/>
    </w:rPr>
  </w:style>
  <w:style w:type="character" w:customStyle="1" w:styleId="161">
    <w:name w:val="Subtle Reference"/>
    <w:basedOn w:val="133"/>
    <w:qFormat/>
    <w:uiPriority w:val="31"/>
    <w:rPr>
      <w:rFonts w:hint="eastAsia" w:ascii="Times New Roman" w:hAnsi="Times New Roman" w:eastAsia="宋体" w:cs="Times New Roman"/>
      <w:smallCaps/>
      <w:color w:val="000000"/>
      <w:sz w:val="24"/>
      <w:szCs w:val="24"/>
      <w:u w:val="single"/>
      <w:lang w:val="en-US" w:eastAsia="zh-CN"/>
    </w:rPr>
  </w:style>
  <w:style w:type="character" w:customStyle="1" w:styleId="162">
    <w:name w:val="Intense Reference"/>
    <w:basedOn w:val="133"/>
    <w:qFormat/>
    <w:uiPriority w:val="32"/>
    <w:rPr>
      <w:rFonts w:hint="eastAsia" w:ascii="Times New Roman" w:hAnsi="Times New Roman" w:eastAsia="宋体" w:cs="Times New Roman"/>
      <w:b/>
      <w:bCs/>
      <w:smallCaps/>
      <w:color w:val="000000"/>
      <w:spacing w:val="5"/>
      <w:sz w:val="24"/>
      <w:szCs w:val="24"/>
      <w:u w:val="single"/>
      <w:lang w:val="en-US" w:eastAsia="zh-CN"/>
    </w:rPr>
  </w:style>
  <w:style w:type="character" w:customStyle="1" w:styleId="163">
    <w:name w:val="Book Title"/>
    <w:basedOn w:val="133"/>
    <w:qFormat/>
    <w:uiPriority w:val="33"/>
    <w:rPr>
      <w:rFonts w:hint="eastAsia" w:ascii="Times New Roman" w:hAnsi="Times New Roman" w:eastAsia="宋体" w:cs="Times New Roman"/>
      <w:b/>
      <w:bCs/>
      <w:smallCaps/>
      <w:color w:val="000000"/>
      <w:spacing w:val="5"/>
      <w:sz w:val="24"/>
      <w:szCs w:val="24"/>
      <w:lang w:val="en-US" w:eastAsia="zh-CN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spacing w:line="300" w:lineRule="auto"/>
      <w:outlineLvl w:val="9"/>
    </w:pPr>
    <w:rPr>
      <w:rFonts w:hint="eastAsia" w:ascii="Times New Roman" w:hAnsi="Times New Roman" w:eastAsia="宋体" w:cs="Times New Roman"/>
      <w:color w:val="000000"/>
      <w:sz w:val="24"/>
      <w:szCs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2455</Words>
  <Characters>3371</Characters>
  <Lines>0</Lines>
  <Paragraphs>0</Paragraphs>
  <TotalTime>35</TotalTime>
  <ScaleCrop>false</ScaleCrop>
  <LinksUpToDate>false</LinksUpToDate>
  <CharactersWithSpaces>3415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代宇霆</dc:creator>
  <dc:description>generated by python-docx</dc:description>
  <cp:lastModifiedBy>代宇霆</cp:lastModifiedBy>
  <dcterms:modified xsi:type="dcterms:W3CDTF">2026-10-25T13:42:28Z</dcterms:modified>
  <dc:subject>自然语言处理课程项目实验报告</dc:subject>
  <dc:title>nlp项目实验报告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eyJoZGlkIjoiMjA4YzdlOTVlMjM5ZDY2ZWExMjM0NzExNzlhM2Q5YjciLCJ1c2VySWQiOiIxMDY2NzUxNzI4In0=</vt:lpwstr>
  </property>
  <property fmtid="{D5CDD505-2E9C-101B-9397-08002B2CF9AE}" pid="3" name="KSOProductBuildVer">
    <vt:lpwstr>2052-12.1.0.28802</vt:lpwstr>
  </property>
  <property fmtid="{D5CDD505-2E9C-101B-9397-08002B2CF9AE}" pid="4" name="ICV">
    <vt:lpwstr>BE1C7462FC9D4DD78437BADAFBA6535E_13</vt:lpwstr>
  </property>
</Properties>
</file>