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40"/>
        </w:rPr>
        <w:t>SİBER GÜVENLİK, OLAY MÜDAHALE VE ADLİ BİLİŞİM (DIGITAL FORENSICS) KAPSAMLI REHBERİ</w:t>
      </w:r>
    </w:p>
    <w:p>
      <w:pPr>
        <w:jc w:val="center"/>
      </w:pPr>
      <w:r>
        <w:rPr>
          <w:i/>
          <w:color w:val="666666"/>
          <w:sz w:val="26"/>
        </w:rPr>
        <w:t>Kurumsal Tehdit Analizi, Delil Toplama Prosedürleri ve Yasal Uyum Standardı</w:t>
      </w:r>
    </w:p>
    <w:p/>
    <w:p>
      <w:pPr>
        <w:spacing w:before="360" w:after="120"/>
      </w:pPr>
      <w:r>
        <w:rPr>
          <w:b/>
          <w:color w:val="003366"/>
          <w:sz w:val="32"/>
        </w:rPr>
        <w:t>1. SİBER GÜVENLİK VE TEMEL TEHDİT MİMARİSİ</w:t>
      </w:r>
    </w:p>
    <w:p>
      <w:r>
        <w:t>Siber güvenlik; bilgi sistemlerinin, ağların, donanımların ve verilerin yetkisiz erişim, değişiklik, imha veya ihlal edici eylemlerden korunmasını sağlayan disiplinler arası bir alandır. Modern kurumsal yapılarda siber güvenlik, sadece teknolojik yazılımlardan ibaret olmayıp; insan, süreç ve teknoloji sacayağı üzerine kuruludur.</w:t>
      </w:r>
    </w:p>
    <w:p>
      <w:pPr>
        <w:spacing w:before="240" w:after="80"/>
      </w:pPr>
      <w:r>
        <w:rPr>
          <w:b/>
          <w:color w:val="006699"/>
          <w:sz w:val="26"/>
        </w:rPr>
        <w:t>1.1 Güncel Siber Tehdit Türleri ve Saldırı Vektörleri</w:t>
      </w:r>
    </w:p>
    <w:p>
      <w:r>
        <w:t>• Fidye Yazılımları (Ransomware): Hedef sistemdeki verileri karmaşık simetrik/asimetrik algoritmalar (AES-256, RSA-4096) ile şifreleyerek erişilemez hale getiren ve şifre çözme anahtarı karşılığında fidye talep eden zararlı yazılımlardır. Örnek: WannaCry, LockBit, BlackCat.</w:t>
      </w:r>
    </w:p>
    <w:p>
      <w:r>
        <w:t>• Oltalama (Phishing) ve Sosyal Mühendislik: Kullanıcıların güvenini kötüye kullanarak kimlik bilgilerini, parolaları veya finansal verileri ele geçirmeyi hedefleyen psiko-sosyal saldırılardır. Spear Phishing (Hedefli Oltalama) ve Whaling (Üst Düzey Yönetici Saldırıları) en tehlikeli türleridir.</w:t>
      </w:r>
    </w:p>
    <w:p>
      <w:r>
        <w:t>• Sıfırıncı Gün Saldırıları (Zero-Day Vulnerabilities): Yazılım geliştiricisi veya kamuoyu tarafından henüz tespit edilmemiş ve yamalanmamış güvenlik açıklarından faydalanılarak gerçekleştirilen saldırılardır.</w:t>
      </w:r>
    </w:p>
    <w:p>
      <w:r>
        <w:t>• Dağıtık Hizmet Engelleme (DDoS): Zombi bilgisayarlardan oluşan botnet ağları üzerinden hedef sunucuya aşırı miktarda sahte trafik gönderilerek meşru kullanıcıların sisteme erişiminin engellenmesidir.</w:t>
      </w:r>
    </w:p>
    <w:p>
      <w:r>
        <w:t>• Ortadaki Adam (Man-in-the-Middle - MitM): İki nokta arasındaki veri iletişiminin saldırgan tarafından yetkisiz biçimde dinlenmesi, kaydedilmesi veya değiştirilmesidir (Örn: ARP Poisoning, DNS Spoofing).</w:t>
      </w:r>
    </w:p>
    <w:p>
      <w:pPr>
        <w:spacing w:before="360" w:after="120"/>
      </w:pPr>
      <w:r>
        <w:rPr>
          <w:b/>
          <w:color w:val="003366"/>
          <w:sz w:val="32"/>
        </w:rPr>
        <w:t>2. ADLİ BİLİŞİM (DIGITAL FORENSICS) İLKELERİ VE PROSEDÜRLERİ</w:t>
      </w:r>
    </w:p>
    <w:p>
      <w:r>
        <w:t>Adli Bilişim (Digital Forensics); dijital cihazlar üzerinde gerçekleşen yasa dışı eylemlerin veya güvenlik ihlallerinin mahkemelerde delil niteliği taşıyacak şekilde bilimsel, metodolojik ve tekrarlanabilir yöntemlerle tespit edilmesi, toplanması, doğrulanması, incelenmesi ve raporlanması sürecidir.</w:t>
      </w:r>
    </w:p>
    <w:p>
      <w:pPr>
        <w:spacing w:before="240" w:after="80"/>
      </w:pPr>
      <w:r>
        <w:rPr>
          <w:b/>
          <w:color w:val="006699"/>
          <w:sz w:val="26"/>
        </w:rPr>
        <w:t>2.1 Adli Bilişimin Temel İlkeleri ve ISO/IEC 27037 Standardı</w:t>
      </w:r>
    </w:p>
    <w:p>
      <w:r>
        <w:t>1. Delil Bütünlüğünün Korunması (Integrity): Orijinal kanıt üzerinde hiçbir değişiklik yapılmamalıdır. Tüm incelemeler orijinal disk üzerinden değil, donanımsal yazma engelleyici (Write-Blocker) kullanılarak alınan imaj (birebir kopya) üzerinden yürütülür.</w:t>
      </w:r>
    </w:p>
    <w:p>
      <w:r>
        <w:t>2. Gözetim Zinciri (Chain of Custody): Dijital delilin elde edildiği andan mahkemeye sunulduğu ana kadar kimin elinde bulunduğu, nerede saklandığı, hangi işlemlerden geçtiğini belirten kronolojik belgeleme sürecidir.</w:t>
      </w:r>
    </w:p>
    <w:p>
      <w:r>
        <w:t>3. Kriptografik Özet (Hash) Doğrulaması: Alınan imajın orijinal medyaya birebir uygunluğunu doğrulamak için MD5, SHA-1 veya SHA-256 algoritmasıyla özet değeri hesaplanır. İmaj öncesi ve imaj sonrası hash değerleri birebir aynı olmalıdır.</w:t>
      </w:r>
    </w:p>
    <w:p>
      <w:r>
        <w:t xml:space="preserve">4. Uçucu Veri Sıralaması (Order of Volatility): Olay anında veri toplarken en uçucu (en çabuk kaybolan) veriden en kalıcı veriye doğru sırayla hareket edilmelidir: </w:t>
        <w:br/>
        <w:t xml:space="preserve">   a) İşlemci Kayıtçıları (Registers) ve Önbellek (Cache)</w:t>
        <w:br/>
        <w:t xml:space="preserve">   b) Sistem RAM Belleği (RAM Dump)</w:t>
        <w:br/>
        <w:t xml:space="preserve">   c) Ağ Bağlantıları ve Routing Tabloları</w:t>
        <w:br/>
        <w:t xml:space="preserve">   d) Geçici Dosyalar (Swap / Paging File)</w:t>
        <w:br/>
        <w:t xml:space="preserve">   e) Sabit Diskler (HDD / SSD / NVMe)</w:t>
        <w:br/>
        <w:t xml:space="preserve">   f) Arşiv ve Yedekleme Medyaları</w:t>
      </w:r>
    </w:p>
    <w:p>
      <w:pPr>
        <w:spacing w:before="360" w:after="120"/>
      </w:pPr>
      <w:r>
        <w:rPr>
          <w:b/>
          <w:color w:val="003366"/>
          <w:sz w:val="32"/>
        </w:rPr>
        <w:t>3. SİBER OLAY MÜDAHALE (INCIDENT RESPONSE) ADIMLARI - NIST SP 800-61</w:t>
      </w:r>
    </w:p>
    <w:p>
      <w:r>
        <w:t>NIST SP 800-61 standartlarına göre kurumsal bir siber olay müdahalesi 4 temel yaşam döngüsü aşamasından oluşur:</w:t>
      </w:r>
    </w:p>
    <w:p>
      <w:r>
        <w:t>• AŞAMA 1: Hazırlık (Preparation): Olay müdahale ekibinin (CSIRT / CERT) kurulması, adli bilişim araçlarının hazırlanması, SIEM / SOAR sistemlerinin yapılandırılması ve kriz iletişim planlarının oluşturulmasıdır.</w:t>
      </w:r>
    </w:p>
    <w:p>
      <w:r>
        <w:t>• AŞAMA 2: Tespit ve Analiz (Detection &amp; Analysis): Güvenlik duvarları, IDS/IPS, EDR ve SIEM loglarının incelenerek anormalliklerin tespit edilmesi, olayın etki alanının ve kök nedeninin (Root Cause Analysis) belirlenmesidir.</w:t>
      </w:r>
    </w:p>
    <w:p>
      <w:r>
        <w:t xml:space="preserve">• AŞAMA 3: Sınırlama, Temizleme ve İyileştirme (Containment, Eradication &amp; Recovery): </w:t>
        <w:br/>
        <w:t xml:space="preserve">   - Sınırlama: Saldırıya uğrayan sistemin ağ bağlantısı kesilir (Karantina).</w:t>
        <w:br/>
        <w:t xml:space="preserve">   - Temizleme: Zararlı yazılım kalıntıları, backdoor'lar ve yetkisiz hesaplar silinir.</w:t>
        <w:br/>
        <w:t xml:space="preserve">   - İyileştirme: Sistemler yamalanarak güvenli şekilde tekrar üretime alınır.</w:t>
      </w:r>
    </w:p>
    <w:p>
      <w:r>
        <w:t>• AŞAMA 4: Olay Sonrası Değerlendirme (Post-Incident Activity): Ders çıkarma (Lessons Learned) toplantısı yapılarak olay raporu hazırlanır, güvenlik politikaları güncellenir ve gelecekteki olası saldırılara karşı sistem güçlendirilir.</w:t>
      </w:r>
    </w:p>
    <w:p>
      <w:pPr>
        <w:spacing w:before="360" w:after="120"/>
      </w:pPr>
      <w:r>
        <w:rPr>
          <w:b/>
          <w:color w:val="003366"/>
          <w:sz w:val="32"/>
        </w:rPr>
        <w:t>4. ZARARLI YAZILIM (MALWARE) VE RAM BELLEK ANALİZİ</w:t>
      </w:r>
    </w:p>
    <w:p>
      <w:r>
        <w:t>Zararlı yazılımların davranış biçimini ve bulaşma mekanizmasını anlamak için iki temel analiz yöntemi uygulanır:</w:t>
      </w:r>
    </w:p>
    <w:p>
      <w:r>
        <w:t>1. Statik Analiz: Kod çalıştırılmadan yapılan incelemedir. Dosya hash bilgisi (Virustotal), PE (Portable Executable) başlık bilgileri, kullanılan kütüphaneler (DLL'ler), gömülü karakter dizileri (Strings) ve tersine mühendislik (IDA Pro, Ghidra) araçları kullanılır.</w:t>
      </w:r>
    </w:p>
    <w:p>
      <w:r>
        <w:t>2. Dinamik Analiz: Zararlı yazılımın güvenli bir izolasyon ortamında (Sandbox, Cuckoo, Any.Run) çalıştırılarak dosya sistemi değişiklikleri, kayıt defteri (Registry) müdahaleleri, yeni açılan prosesler ve ağ trafiğinin (Wireshark) izlenmesidir.</w:t>
      </w:r>
    </w:p>
    <w:p>
      <w:r>
        <w:t>3. RAM Bellek İncelemesi (Memory Forensics): Çalışan sistemin RAM bellek imajı (Örn: Volatility veya FTK Imager ile) alınarak bellekte gizlenen DLL'ler, kod enjeksiyonları (Process Hollowing), şifrelenmemiş parolalar ve açık socket bağlantıları tespit edilir.</w:t>
      </w:r>
    </w:p>
    <w:p>
      <w:pPr>
        <w:spacing w:before="360" w:after="120"/>
      </w:pPr>
      <w:r>
        <w:rPr>
          <w:b/>
          <w:color w:val="003366"/>
          <w:sz w:val="32"/>
        </w:rPr>
        <w:t>5. TÜRK MEVZUATI VE ADLİ BİLİŞİMİN HUKUKİ BOYUTU</w:t>
      </w:r>
    </w:p>
    <w:p>
      <w:r>
        <w:t>Türkiye'de dijital delillerin toplanması ve değerlendirilmesi belirli kanuni düzenlemelere tabidir:</w:t>
      </w:r>
    </w:p>
    <w:p>
      <w:r>
        <w:t>• Türk Ceza Kanunu (TCK) Maddeleri 243-246: Bilişim sistemine hukuka aykırı girme (TCK 243), sistemi engelleme, bozma, verileri yok etme veya değiştirme (TCK 244), banka veya kredi kartlarının kötüye kullanılması (TCK 245) suçlarını düzenler.</w:t>
      </w:r>
    </w:p>
    <w:p>
      <w:r>
        <w:t>• 5651 Sayılı Kanun: İnternet ortamında yapılan yayınların düzenlenmesi ve bu yayınlar yoluyla işlenen suçlarla mücadele kapsamında erişim sağlayıcılar ve yer sağlayıcıların trafik loglarını (DHCP, NAT, IP-Zaman logları) saklama yükümlülüğünü kapsar.</w:t>
      </w:r>
    </w:p>
    <w:p>
      <w:r>
        <w:t>• HMK ve CMK Hükümleri: CMK 134. madde uyarınca hakim kararı ile bilişim sistemlerinde arama, kopyalama ve el koyma işlemleri gerçekleştirilir. Usulüne uygun toplanmayan dijital deliller mahkemede geçerli sayılmaz.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