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需要模块简介：</w:t>
      </w:r>
    </w:p>
    <w:p>
      <w:pPr>
        <w:jc w:val="both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在</w:t>
      </w:r>
      <w:r>
        <w:rPr>
          <w:rFonts w:hint="eastAsia" w:ascii="仿宋" w:hAnsi="仿宋" w:eastAsia="仿宋" w:cs="仿宋"/>
          <w:lang w:val="en-US" w:eastAsia="zh-CN"/>
        </w:rPr>
        <w:t>AlphaQuant中，</w:t>
      </w:r>
      <w:r>
        <w:rPr>
          <w:rFonts w:hint="eastAsia" w:ascii="仿宋" w:hAnsi="仿宋" w:eastAsia="仿宋" w:cs="仿宋"/>
          <w:lang w:eastAsia="zh-CN"/>
        </w:rPr>
        <w:t>因子开发工作主要涉及的模块包括：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CalculatorModule 计算模块：包含通用计算函数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该模块支持因子计算所需的常用计算，如移动平均，移动标准差等，其中大部分计算函数源自国泰君安研报 《国泰君安数量化专题之九十三：基于短周期价量特征的多因子选股体系》。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FactorModule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因子计算模块，实现因子的定义计算，截面统计以及结果存储等。该模块下主要包括：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FactorBase 因子基类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FactorIO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用于因子读写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FactorScore 用于因子打分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FactorTest 用于因子截面统计量计算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FactorUpdate 用于同一更新因子库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FactorShow</w:t>
      </w:r>
      <w:r>
        <w:rPr>
          <w:rFonts w:hint="eastAsia" w:ascii="仿宋" w:hAnsi="仿宋" w:eastAsia="仿宋" w:cs="仿宋"/>
          <w:lang w:val="en-US" w:eastAsia="zh-CN"/>
        </w:rPr>
        <w:tab/>
        <w:t>因子结果展示模块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其中，因子打分模块包括因子的原始因子值、截面排名、截面ZScore，这些得分都会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被存储到因子库中对应文件。因子截面统计量将计算时间截面（日度）上的：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Beta ：因子zscore和股票收益率的一元线性回归系数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IC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： 因子zscore和股票收益率的person相关系数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rankIC ：因子值和股票收益率的spearman相关系数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Tbdf ：按照因子排名，前10% 的平均收益 减去后10%的平均收益</w:t>
      </w:r>
    </w:p>
    <w:p>
      <w:pPr>
        <w:ind w:left="420" w:leftChars="0"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groupIC ：将因子排序分成100组后，各组得分1-100，计算各的平均收益和对应组得分的相关系数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目前，该模块支持的预测周期包括，（注：因子计算用到的最后日期定义为T日）：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T+1日 开盘到收盘收益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T+2日开盘到收盘收益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T+3日开盘到收盘收益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T+4日开盘到收盘收益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T+5日开盘到收盘收益 收盘到收盘收益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T+1 开盘 至 T+10收盘收益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各个周期对应的截面统计量结果都将被计算并保存。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因子开发流程：</w:t>
      </w: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因子定义文件存储在名为 FacotrPool 的文件夹下的因子库中，如当前的factors_wangjp。可新建python package作为因子库，存储自己开发的因子，如当前的factors_wangjp。可以在中查看因子定义存储文件，如mom5.py。该文件中定义一个名为Factor的类，需要写新的因子时，可以复制该文件至自己的因子库下，修改文件名作为新因子的名称如myFactor.py。文件内如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1135" cy="22402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在写因子定义时，需要修改的部分包括：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__init__ 中的needFileds 添加该因子计算所需的字段，如高开低收价格等。</w:t>
      </w:r>
    </w:p>
    <w:p>
      <w:pPr>
        <w:numPr>
          <w:ilvl w:val="0"/>
          <w:numId w:val="4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factor_definition 用于因子定义，在该方法中完成因子定义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因子更新/计算方法定义在</w:t>
      </w:r>
      <w:r>
        <w:rPr>
          <w:rFonts w:hint="eastAsia" w:ascii="仿宋" w:hAnsi="仿宋" w:eastAsia="仿宋" w:cs="仿宋"/>
          <w:lang w:val="en-US" w:eastAsia="zh-CN"/>
        </w:rPr>
        <w:t>FactorPool下的factor_update.py文件中，示例如下：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lang w:val="en-US" w:eastAsia="zh-CN"/>
        </w:rPr>
      </w:pPr>
      <w:r>
        <w:drawing>
          <wp:inline distT="0" distB="0" distL="114300" distR="114300">
            <wp:extent cx="5271770" cy="2773045"/>
            <wp:effectExtent l="0" t="0" r="508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更新函数update_factors参数包括：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factorDefPath : 需要更新的因子定义库路径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factorDataPath: 用于存储因子结果的文件夹路径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factorList: 需要更新的因子列表，不提供改参数将更新所有库中因子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startOver: 是否重新计算并保存因子，为真则将重新计算该因子并覆盖此前的结果。</w:t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ab/>
      </w: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 xml:space="preserve">   全部更新则将计算2000-01-01至今的全部数据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3"/>
        </w:numPr>
        <w:tabs>
          <w:tab w:val="clear" w:pos="425"/>
        </w:tabs>
        <w:ind w:left="0" w:leftChars="0" w:firstLine="420" w:firstLineChars="0"/>
        <w:jc w:val="both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查看因子结果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FactorShow 模块提供两个方法供查看因子截面结算结果：</w:t>
      </w: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2"/>
          <w:lang w:val="en-US" w:eastAsia="zh-CN"/>
        </w:rPr>
        <w:t>show_curves(factorName, indicator, responses, headDate, tailDate)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查看指定因子的截面统计量(如IC)的累加曲线，效果如下：</w:t>
      </w:r>
      <w:r>
        <w:drawing>
          <wp:inline distT="0" distB="0" distL="114300" distR="114300">
            <wp:extent cx="5262245" cy="2902585"/>
            <wp:effectExtent l="0" t="0" r="1460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仿宋" w:hAnsi="仿宋" w:eastAsia="仿宋" w:cs="仿宋"/>
          <w:sz w:val="21"/>
          <w:szCs w:val="22"/>
          <w:lang w:val="en-US" w:eastAsia="zh-CN"/>
        </w:rPr>
      </w:pPr>
      <w:r>
        <w:rPr>
          <w:rFonts w:hint="default" w:ascii="仿宋" w:hAnsi="仿宋" w:eastAsia="仿宋" w:cs="仿宋"/>
          <w:sz w:val="21"/>
          <w:szCs w:val="22"/>
          <w:lang w:val="en-US" w:eastAsia="zh-CN"/>
        </w:rPr>
        <w:t>show_statistics( factorName,indicators,responses,headDate,tailDate,outPath)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t>查看指定因子的统计量显著性，目前将计算在制定周期间 headDate 至 tailDate间的截面统计量的：均值和t统计量。结果保存为CSV格式，位于outPath文件中,文件名为 因子名_statistics.csv ，效果如下：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72405" cy="1494155"/>
            <wp:effectExtent l="0" t="0" r="4445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2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注：该多因子模块刚开发完成，测试尚不充分，仍有部分功能模块尚在开发中。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使用过程中如果遇到任何问题、BUG、计算错误之处以及任何建议请随时联系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王佳鹏 微信18201141877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  <w:t>谢谢！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/>
          <w:bCs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152CA"/>
    <w:multiLevelType w:val="multilevel"/>
    <w:tmpl w:val="D1C152C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2397910"/>
    <w:multiLevelType w:val="singleLevel"/>
    <w:tmpl w:val="1239791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241BC50"/>
    <w:multiLevelType w:val="singleLevel"/>
    <w:tmpl w:val="3241BC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306939"/>
    <w:multiLevelType w:val="singleLevel"/>
    <w:tmpl w:val="3830693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2A7"/>
    <w:rsid w:val="014276BD"/>
    <w:rsid w:val="06874361"/>
    <w:rsid w:val="06F81B67"/>
    <w:rsid w:val="0A8F096E"/>
    <w:rsid w:val="0C475063"/>
    <w:rsid w:val="13840437"/>
    <w:rsid w:val="13E721AA"/>
    <w:rsid w:val="1992102C"/>
    <w:rsid w:val="1C795A70"/>
    <w:rsid w:val="231F19BE"/>
    <w:rsid w:val="2A374507"/>
    <w:rsid w:val="2D0354EE"/>
    <w:rsid w:val="312710C7"/>
    <w:rsid w:val="329E4139"/>
    <w:rsid w:val="3447330D"/>
    <w:rsid w:val="345110D0"/>
    <w:rsid w:val="38155E03"/>
    <w:rsid w:val="39734791"/>
    <w:rsid w:val="426A2AB9"/>
    <w:rsid w:val="4B826B63"/>
    <w:rsid w:val="549F6FD4"/>
    <w:rsid w:val="54D62878"/>
    <w:rsid w:val="566651EA"/>
    <w:rsid w:val="5C9F35C7"/>
    <w:rsid w:val="5D9775FF"/>
    <w:rsid w:val="60497655"/>
    <w:rsid w:val="62511030"/>
    <w:rsid w:val="62CB5111"/>
    <w:rsid w:val="6A9A0DB9"/>
    <w:rsid w:val="6C155518"/>
    <w:rsid w:val="74DD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2018-09-06T06:34:00Z</dcterms:created>
  <dc:creator>Administrator</dc:creator>
  <cp:lastModifiedBy>Administrator</cp:lastModifiedBy>
  <dcterms:modified xsi:type="dcterms:W3CDTF">2018-09-07T07:31:16Z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