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83D" w:rsidRPr="00045E09" w:rsidRDefault="00AB6499" w:rsidP="00AB41B3">
      <w:pPr>
        <w:adjustRightInd w:val="0"/>
        <w:snapToGrid w:val="0"/>
        <w:spacing w:line="480" w:lineRule="exact"/>
        <w:jc w:val="left"/>
        <w:rPr>
          <w:rFonts w:asciiTheme="majorEastAsia" w:eastAsiaTheme="majorEastAsia" w:hAnsiTheme="majorEastAsia" w:cs="Times New Roman"/>
          <w:b/>
          <w:sz w:val="40"/>
          <w:szCs w:val="32"/>
        </w:rPr>
      </w:pPr>
      <w:r w:rsidRPr="00045E09">
        <w:rPr>
          <w:rFonts w:ascii="Arial Unicode MS" w:eastAsia="Arial Unicode MS" w:hAnsi="Arial Unicode MS" w:cs="Arial Unicode MS" w:hint="eastAsia"/>
          <w:sz w:val="40"/>
          <w:szCs w:val="44"/>
        </w:rPr>
        <w:t>∙</w:t>
      </w:r>
      <w:r w:rsidR="00FB6CA6" w:rsidRPr="00045E09">
        <w:rPr>
          <w:rFonts w:asciiTheme="majorEastAsia" w:eastAsiaTheme="majorEastAsia" w:hAnsiTheme="majorEastAsia" w:cs="Times New Roman" w:hint="eastAsia"/>
          <w:b/>
          <w:sz w:val="40"/>
          <w:szCs w:val="32"/>
        </w:rPr>
        <w:t>业务概况</w:t>
      </w:r>
    </w:p>
    <w:tbl>
      <w:tblPr>
        <w:tblStyle w:val="a3"/>
        <w:tblW w:w="14208" w:type="dxa"/>
        <w:jc w:val="right"/>
        <w:tblInd w:w="1864" w:type="dxa"/>
        <w:tblLook w:val="04A0" w:firstRow="1" w:lastRow="0" w:firstColumn="1" w:lastColumn="0" w:noHBand="0" w:noVBand="1"/>
      </w:tblPr>
      <w:tblGrid>
        <w:gridCol w:w="1560"/>
        <w:gridCol w:w="5670"/>
        <w:gridCol w:w="1276"/>
        <w:gridCol w:w="2039"/>
        <w:gridCol w:w="1788"/>
        <w:gridCol w:w="1875"/>
      </w:tblGrid>
      <w:tr w:rsidR="0045726E" w:rsidRPr="00045E09" w:rsidTr="00B81B1F">
        <w:trPr>
          <w:jc w:val="right"/>
        </w:trPr>
        <w:tc>
          <w:tcPr>
            <w:tcW w:w="1560" w:type="dxa"/>
            <w:tcBorders>
              <w:bottom w:val="single" w:sz="4" w:space="0" w:color="auto"/>
            </w:tcBorders>
            <w:shd w:val="clear" w:color="auto" w:fill="548DD4" w:themeFill="text2" w:themeFillTint="99"/>
          </w:tcPr>
          <w:p w:rsidR="0045726E" w:rsidRPr="00045E09" w:rsidRDefault="0045726E" w:rsidP="002865CC">
            <w:pPr>
              <w:adjustRightInd w:val="0"/>
              <w:snapToGrid w:val="0"/>
              <w:jc w:val="center"/>
              <w:rPr>
                <w:rFonts w:asciiTheme="majorEastAsia" w:eastAsiaTheme="majorEastAsia" w:hAnsiTheme="majorEastAsia" w:cs="Times New Roman"/>
                <w:b/>
                <w:color w:val="FFFFFF" w:themeColor="background1"/>
                <w:sz w:val="24"/>
                <w:szCs w:val="32"/>
              </w:rPr>
            </w:pPr>
            <w:r w:rsidRPr="00045E09">
              <w:rPr>
                <w:rFonts w:asciiTheme="majorEastAsia" w:eastAsiaTheme="majorEastAsia" w:hAnsiTheme="majorEastAsia" w:cs="Times New Roman"/>
                <w:b/>
                <w:color w:val="FFFFFF" w:themeColor="background1"/>
                <w:sz w:val="24"/>
                <w:szCs w:val="32"/>
              </w:rPr>
              <w:t>业务板块</w:t>
            </w:r>
          </w:p>
        </w:tc>
        <w:tc>
          <w:tcPr>
            <w:tcW w:w="5670" w:type="dxa"/>
            <w:tcBorders>
              <w:bottom w:val="single" w:sz="4" w:space="0" w:color="auto"/>
            </w:tcBorders>
            <w:shd w:val="clear" w:color="auto" w:fill="548DD4" w:themeFill="text2" w:themeFillTint="99"/>
          </w:tcPr>
          <w:p w:rsidR="0045726E" w:rsidRPr="00045E09" w:rsidRDefault="0045726E" w:rsidP="002865CC">
            <w:pPr>
              <w:adjustRightInd w:val="0"/>
              <w:snapToGrid w:val="0"/>
              <w:jc w:val="center"/>
              <w:rPr>
                <w:rFonts w:asciiTheme="majorEastAsia" w:eastAsiaTheme="majorEastAsia" w:hAnsiTheme="majorEastAsia" w:cs="Times New Roman"/>
                <w:b/>
                <w:color w:val="FFFFFF" w:themeColor="background1"/>
                <w:sz w:val="24"/>
                <w:szCs w:val="32"/>
              </w:rPr>
            </w:pPr>
            <w:r w:rsidRPr="00045E09">
              <w:rPr>
                <w:rFonts w:asciiTheme="majorEastAsia" w:eastAsiaTheme="majorEastAsia" w:hAnsiTheme="majorEastAsia" w:cs="Times New Roman" w:hint="eastAsia"/>
                <w:b/>
                <w:color w:val="FFFFFF" w:themeColor="background1"/>
                <w:sz w:val="24"/>
                <w:szCs w:val="32"/>
              </w:rPr>
              <w:t>交易品种</w:t>
            </w:r>
          </w:p>
        </w:tc>
        <w:tc>
          <w:tcPr>
            <w:tcW w:w="1276" w:type="dxa"/>
            <w:tcBorders>
              <w:bottom w:val="single" w:sz="4" w:space="0" w:color="auto"/>
            </w:tcBorders>
            <w:shd w:val="clear" w:color="auto" w:fill="548DD4" w:themeFill="text2" w:themeFillTint="99"/>
          </w:tcPr>
          <w:p w:rsidR="0045726E" w:rsidRPr="00045E09" w:rsidRDefault="0045726E" w:rsidP="002865CC">
            <w:pPr>
              <w:adjustRightInd w:val="0"/>
              <w:snapToGrid w:val="0"/>
              <w:jc w:val="center"/>
              <w:rPr>
                <w:rFonts w:asciiTheme="majorEastAsia" w:eastAsiaTheme="majorEastAsia" w:hAnsiTheme="majorEastAsia" w:cs="Times New Roman"/>
                <w:b/>
                <w:color w:val="FFFFFF" w:themeColor="background1"/>
                <w:sz w:val="24"/>
                <w:szCs w:val="32"/>
              </w:rPr>
            </w:pPr>
            <w:r w:rsidRPr="00045E09">
              <w:rPr>
                <w:rFonts w:asciiTheme="majorEastAsia" w:eastAsiaTheme="majorEastAsia" w:hAnsiTheme="majorEastAsia" w:cs="Times New Roman" w:hint="eastAsia"/>
                <w:b/>
                <w:color w:val="FFFFFF" w:themeColor="background1"/>
                <w:sz w:val="24"/>
                <w:szCs w:val="32"/>
              </w:rPr>
              <w:t>笔数</w:t>
            </w:r>
          </w:p>
        </w:tc>
        <w:tc>
          <w:tcPr>
            <w:tcW w:w="2039" w:type="dxa"/>
            <w:tcBorders>
              <w:bottom w:val="single" w:sz="4" w:space="0" w:color="auto"/>
            </w:tcBorders>
            <w:shd w:val="clear" w:color="auto" w:fill="548DD4" w:themeFill="text2" w:themeFillTint="99"/>
          </w:tcPr>
          <w:p w:rsidR="0045726E" w:rsidRPr="00045E09" w:rsidRDefault="0045726E" w:rsidP="002865CC">
            <w:pPr>
              <w:adjustRightInd w:val="0"/>
              <w:snapToGrid w:val="0"/>
              <w:jc w:val="center"/>
              <w:rPr>
                <w:rFonts w:asciiTheme="majorEastAsia" w:eastAsiaTheme="majorEastAsia" w:hAnsiTheme="majorEastAsia" w:cs="Times New Roman"/>
                <w:b/>
                <w:color w:val="FFFFFF" w:themeColor="background1"/>
                <w:sz w:val="24"/>
                <w:szCs w:val="32"/>
              </w:rPr>
            </w:pPr>
            <w:r w:rsidRPr="00045E09">
              <w:rPr>
                <w:rFonts w:asciiTheme="majorEastAsia" w:eastAsiaTheme="majorEastAsia" w:hAnsiTheme="majorEastAsia" w:cs="Times New Roman" w:hint="eastAsia"/>
                <w:b/>
                <w:color w:val="FFFFFF" w:themeColor="background1"/>
                <w:sz w:val="24"/>
                <w:szCs w:val="32"/>
              </w:rPr>
              <w:t>合计金额</w:t>
            </w:r>
          </w:p>
        </w:tc>
        <w:tc>
          <w:tcPr>
            <w:tcW w:w="1788" w:type="dxa"/>
            <w:tcBorders>
              <w:bottom w:val="single" w:sz="4" w:space="0" w:color="auto"/>
            </w:tcBorders>
            <w:shd w:val="clear" w:color="auto" w:fill="548DD4" w:themeFill="text2" w:themeFillTint="99"/>
          </w:tcPr>
          <w:p w:rsidR="0045726E" w:rsidRPr="00045E09" w:rsidRDefault="0045726E" w:rsidP="002865CC">
            <w:pPr>
              <w:adjustRightInd w:val="0"/>
              <w:snapToGrid w:val="0"/>
              <w:jc w:val="center"/>
              <w:rPr>
                <w:rFonts w:asciiTheme="majorEastAsia" w:eastAsiaTheme="majorEastAsia" w:hAnsiTheme="majorEastAsia" w:cs="Times New Roman"/>
                <w:b/>
                <w:color w:val="FFFFFF" w:themeColor="background1"/>
                <w:sz w:val="24"/>
                <w:szCs w:val="32"/>
              </w:rPr>
            </w:pPr>
            <w:r w:rsidRPr="00045E09">
              <w:rPr>
                <w:rFonts w:asciiTheme="majorEastAsia" w:eastAsiaTheme="majorEastAsia" w:hAnsiTheme="majorEastAsia" w:cs="Times New Roman" w:hint="eastAsia"/>
                <w:b/>
                <w:color w:val="FFFFFF" w:themeColor="background1"/>
                <w:sz w:val="24"/>
                <w:szCs w:val="32"/>
              </w:rPr>
              <w:t>最大金额</w:t>
            </w:r>
          </w:p>
        </w:tc>
        <w:tc>
          <w:tcPr>
            <w:tcW w:w="1875" w:type="dxa"/>
            <w:tcBorders>
              <w:bottom w:val="single" w:sz="4" w:space="0" w:color="auto"/>
            </w:tcBorders>
            <w:shd w:val="clear" w:color="auto" w:fill="548DD4" w:themeFill="text2" w:themeFillTint="99"/>
          </w:tcPr>
          <w:p w:rsidR="0045726E" w:rsidRPr="00045E09" w:rsidRDefault="0045726E" w:rsidP="002865CC">
            <w:pPr>
              <w:adjustRightInd w:val="0"/>
              <w:snapToGrid w:val="0"/>
              <w:jc w:val="center"/>
              <w:rPr>
                <w:rFonts w:asciiTheme="majorEastAsia" w:eastAsiaTheme="majorEastAsia" w:hAnsiTheme="majorEastAsia" w:cs="Times New Roman"/>
                <w:b/>
                <w:color w:val="FFFFFF" w:themeColor="background1"/>
                <w:sz w:val="24"/>
                <w:szCs w:val="32"/>
              </w:rPr>
            </w:pPr>
            <w:r w:rsidRPr="00045E09">
              <w:rPr>
                <w:rFonts w:asciiTheme="majorEastAsia" w:eastAsiaTheme="majorEastAsia" w:hAnsiTheme="majorEastAsia" w:cs="Times New Roman" w:hint="eastAsia"/>
                <w:b/>
                <w:color w:val="FFFFFF" w:themeColor="background1"/>
                <w:sz w:val="24"/>
                <w:szCs w:val="32"/>
              </w:rPr>
              <w:t>最小金额</w:t>
            </w:r>
          </w:p>
        </w:tc>
      </w:tr>
      <w:tr w:rsidR="00757845" w:rsidRPr="00045E09" w:rsidTr="00B81B1F">
        <w:trPr>
          <w:jc w:val="right"/>
        </w:trPr>
        <w:tc>
          <w:tcPr>
            <w:tcW w:w="1560" w:type="dxa"/>
            <w:shd w:val="clear" w:color="auto" w:fill="FFFFFF" w:themeFill="background1"/>
            <w:vAlign w:val="center"/>
          </w:tcPr>
          <w:p w:rsidR="00757845" w:rsidRPr="00045E09" w:rsidRDefault="001042D6" w:rsidP="002865CC">
            <w:pPr>
              <w:adjustRightInd w:val="0"/>
              <w:snapToGrid w:val="0"/>
              <w:jc w:val="center"/>
              <w:rPr>
                <w:rFonts w:asciiTheme="majorEastAsia" w:eastAsiaTheme="majorEastAsia" w:hAnsiTheme="majorEastAsia" w:cs="Times New Roman"/>
                <w:sz w:val="24"/>
                <w:szCs w:val="32"/>
              </w:rPr>
            </w:pPr>
            <w:r w:rsidRPr="001042D6">
              <w:rPr>
                <w:rFonts w:asciiTheme="majorEastAsia" w:eastAsiaTheme="majorEastAsia" w:hAnsiTheme="majorEastAsia" w:cs="Times New Roman" w:hint="eastAsia"/>
                <w:sz w:val="24"/>
                <w:szCs w:val="32"/>
              </w:rPr>
              <w:t>自营业务</w:t>
            </w:r>
          </w:p>
        </w:tc>
        <w:tc>
          <w:tcPr>
            <w:tcW w:w="5670" w:type="dxa"/>
            <w:shd w:val="clear" w:color="auto" w:fill="FFFFFF" w:themeFill="background1"/>
          </w:tcPr>
          <w:p w:rsidR="00757845" w:rsidRPr="00045E09" w:rsidRDefault="00757845" w:rsidP="00045E09">
            <w:pPr>
              <w:adjustRightInd w:val="0"/>
              <w:snapToGrid w:val="0"/>
              <w:jc w:val="center"/>
              <w:rPr>
                <w:rFonts w:asciiTheme="majorEastAsia" w:eastAsiaTheme="majorEastAsia" w:hAnsiTheme="majorEastAsia" w:cs="Times New Roman"/>
                <w:sz w:val="24"/>
                <w:szCs w:val="32"/>
              </w:rPr>
            </w:pPr>
          </w:p>
        </w:tc>
        <w:tc>
          <w:tcPr>
            <w:tcW w:w="1276" w:type="dxa"/>
            <w:shd w:val="clear" w:color="auto" w:fill="FFFFFF" w:themeFill="background1"/>
          </w:tcPr>
          <w:p w:rsidR="00757845" w:rsidRPr="00045E09" w:rsidRDefault="00757845" w:rsidP="00045E09">
            <w:pPr>
              <w:adjustRightInd w:val="0"/>
              <w:snapToGrid w:val="0"/>
              <w:jc w:val="center"/>
              <w:rPr>
                <w:rFonts w:asciiTheme="majorEastAsia" w:eastAsiaTheme="majorEastAsia" w:hAnsiTheme="majorEastAsia" w:cs="Times New Roman"/>
                <w:sz w:val="24"/>
                <w:szCs w:val="32"/>
              </w:rPr>
            </w:pPr>
          </w:p>
        </w:tc>
        <w:tc>
          <w:tcPr>
            <w:tcW w:w="2039" w:type="dxa"/>
            <w:shd w:val="clear" w:color="auto" w:fill="FFFFFF" w:themeFill="background1"/>
          </w:tcPr>
          <w:p w:rsidR="00757845" w:rsidRPr="00045E09" w:rsidRDefault="00757845" w:rsidP="00045E09">
            <w:pPr>
              <w:adjustRightInd w:val="0"/>
              <w:snapToGrid w:val="0"/>
              <w:jc w:val="center"/>
              <w:rPr>
                <w:rFonts w:asciiTheme="majorEastAsia" w:eastAsiaTheme="majorEastAsia" w:hAnsiTheme="majorEastAsia" w:cs="Times New Roman"/>
                <w:sz w:val="24"/>
                <w:szCs w:val="32"/>
              </w:rPr>
            </w:pPr>
          </w:p>
        </w:tc>
        <w:tc>
          <w:tcPr>
            <w:tcW w:w="1788" w:type="dxa"/>
            <w:shd w:val="clear" w:color="auto" w:fill="FFFFFF" w:themeFill="background1"/>
          </w:tcPr>
          <w:p w:rsidR="00757845" w:rsidRPr="00045E09" w:rsidRDefault="00757845" w:rsidP="002865CC">
            <w:pPr>
              <w:adjustRightInd w:val="0"/>
              <w:snapToGrid w:val="0"/>
              <w:jc w:val="center"/>
              <w:rPr>
                <w:rFonts w:asciiTheme="majorEastAsia" w:eastAsiaTheme="majorEastAsia" w:hAnsiTheme="majorEastAsia" w:cs="Times New Roman"/>
                <w:sz w:val="24"/>
                <w:szCs w:val="32"/>
              </w:rPr>
            </w:pPr>
          </w:p>
        </w:tc>
        <w:tc>
          <w:tcPr>
            <w:tcW w:w="1875" w:type="dxa"/>
            <w:shd w:val="clear" w:color="auto" w:fill="FFFFFF" w:themeFill="background1"/>
          </w:tcPr>
          <w:p w:rsidR="00757845" w:rsidRPr="00045E09" w:rsidRDefault="00757845" w:rsidP="00045E09">
            <w:pPr>
              <w:adjustRightInd w:val="0"/>
              <w:snapToGrid w:val="0"/>
              <w:jc w:val="center"/>
              <w:rPr>
                <w:rFonts w:asciiTheme="majorEastAsia" w:eastAsiaTheme="majorEastAsia" w:hAnsiTheme="majorEastAsia" w:cs="Times New Roman"/>
                <w:sz w:val="24"/>
                <w:szCs w:val="32"/>
              </w:rPr>
            </w:pPr>
          </w:p>
        </w:tc>
      </w:tr>
      <w:tr w:rsidR="0045726E" w:rsidRPr="00E13056" w:rsidTr="00B81B1F">
        <w:trPr>
          <w:jc w:val="right"/>
        </w:trPr>
        <w:tc>
          <w:tcPr>
            <w:tcW w:w="1560" w:type="dxa"/>
            <w:shd w:val="clear" w:color="auto" w:fill="FFFFFF" w:themeFill="background1"/>
            <w:vAlign w:val="center"/>
          </w:tcPr>
          <w:p w:rsidR="0045726E" w:rsidRPr="00045E09" w:rsidRDefault="001042D6" w:rsidP="002865CC">
            <w:pPr>
              <w:adjustRightInd w:val="0"/>
              <w:snapToGrid w:val="0"/>
              <w:jc w:val="center"/>
              <w:rPr>
                <w:rFonts w:asciiTheme="majorEastAsia" w:eastAsiaTheme="majorEastAsia" w:hAnsiTheme="majorEastAsia" w:cs="Times New Roman"/>
                <w:sz w:val="24"/>
                <w:szCs w:val="32"/>
              </w:rPr>
            </w:pPr>
            <w:r w:rsidRPr="001042D6">
              <w:rPr>
                <w:rFonts w:asciiTheme="majorEastAsia" w:eastAsiaTheme="majorEastAsia" w:hAnsiTheme="majorEastAsia" w:cs="Times New Roman" w:hint="eastAsia"/>
                <w:sz w:val="24"/>
                <w:szCs w:val="32"/>
              </w:rPr>
              <w:t>理财业务</w:t>
            </w:r>
          </w:p>
        </w:tc>
        <w:tc>
          <w:tcPr>
            <w:tcW w:w="5670" w:type="dxa"/>
            <w:shd w:val="clear" w:color="auto" w:fill="FFFFFF" w:themeFill="background1"/>
          </w:tcPr>
          <w:p w:rsidR="0045726E" w:rsidRPr="00045E09" w:rsidRDefault="0045726E" w:rsidP="002865CC">
            <w:pPr>
              <w:adjustRightInd w:val="0"/>
              <w:snapToGrid w:val="0"/>
              <w:jc w:val="center"/>
              <w:rPr>
                <w:rFonts w:asciiTheme="majorEastAsia" w:eastAsiaTheme="majorEastAsia" w:hAnsiTheme="majorEastAsia" w:cs="Times New Roman"/>
                <w:sz w:val="24"/>
                <w:szCs w:val="32"/>
              </w:rPr>
            </w:pPr>
          </w:p>
        </w:tc>
        <w:tc>
          <w:tcPr>
            <w:tcW w:w="1276" w:type="dxa"/>
            <w:shd w:val="clear" w:color="auto" w:fill="FFFFFF" w:themeFill="background1"/>
          </w:tcPr>
          <w:p w:rsidR="0045726E" w:rsidRPr="00045E09" w:rsidRDefault="0045726E" w:rsidP="002865CC">
            <w:pPr>
              <w:adjustRightInd w:val="0"/>
              <w:snapToGrid w:val="0"/>
              <w:jc w:val="center"/>
              <w:rPr>
                <w:rFonts w:asciiTheme="majorEastAsia" w:eastAsiaTheme="majorEastAsia" w:hAnsiTheme="majorEastAsia" w:cs="Times New Roman"/>
                <w:sz w:val="24"/>
                <w:szCs w:val="32"/>
              </w:rPr>
            </w:pPr>
          </w:p>
        </w:tc>
        <w:tc>
          <w:tcPr>
            <w:tcW w:w="2039" w:type="dxa"/>
            <w:shd w:val="clear" w:color="auto" w:fill="FFFFFF" w:themeFill="background1"/>
          </w:tcPr>
          <w:p w:rsidR="0045726E" w:rsidRPr="00045E09" w:rsidRDefault="0045726E" w:rsidP="00045E09">
            <w:pPr>
              <w:adjustRightInd w:val="0"/>
              <w:snapToGrid w:val="0"/>
              <w:jc w:val="center"/>
              <w:rPr>
                <w:rFonts w:asciiTheme="majorEastAsia" w:eastAsiaTheme="majorEastAsia" w:hAnsiTheme="majorEastAsia" w:cs="Times New Roman"/>
                <w:sz w:val="24"/>
                <w:szCs w:val="32"/>
              </w:rPr>
            </w:pPr>
          </w:p>
        </w:tc>
        <w:tc>
          <w:tcPr>
            <w:tcW w:w="1788" w:type="dxa"/>
            <w:shd w:val="clear" w:color="auto" w:fill="FFFFFF" w:themeFill="background1"/>
          </w:tcPr>
          <w:p w:rsidR="0045726E" w:rsidRPr="00045E09" w:rsidRDefault="0045726E" w:rsidP="00045E09">
            <w:pPr>
              <w:adjustRightInd w:val="0"/>
              <w:snapToGrid w:val="0"/>
              <w:jc w:val="center"/>
              <w:rPr>
                <w:rFonts w:asciiTheme="majorEastAsia" w:eastAsiaTheme="majorEastAsia" w:hAnsiTheme="majorEastAsia" w:cs="Times New Roman"/>
                <w:sz w:val="24"/>
                <w:szCs w:val="32"/>
              </w:rPr>
            </w:pPr>
          </w:p>
        </w:tc>
        <w:tc>
          <w:tcPr>
            <w:tcW w:w="1875" w:type="dxa"/>
            <w:shd w:val="clear" w:color="auto" w:fill="FFFFFF" w:themeFill="background1"/>
          </w:tcPr>
          <w:p w:rsidR="0045726E" w:rsidRPr="00045E09" w:rsidRDefault="0045726E" w:rsidP="00045E09">
            <w:pPr>
              <w:adjustRightInd w:val="0"/>
              <w:snapToGrid w:val="0"/>
              <w:jc w:val="center"/>
              <w:rPr>
                <w:rFonts w:asciiTheme="majorEastAsia" w:eastAsiaTheme="majorEastAsia" w:hAnsiTheme="majorEastAsia" w:cs="Times New Roman"/>
                <w:sz w:val="24"/>
                <w:szCs w:val="32"/>
              </w:rPr>
            </w:pPr>
          </w:p>
        </w:tc>
      </w:tr>
    </w:tbl>
    <w:p w:rsidR="008C491C" w:rsidRPr="00F946D5" w:rsidRDefault="008C491C" w:rsidP="00AB41B3">
      <w:pPr>
        <w:adjustRightInd w:val="0"/>
        <w:snapToGrid w:val="0"/>
        <w:spacing w:line="480" w:lineRule="exact"/>
        <w:jc w:val="left"/>
        <w:rPr>
          <w:rFonts w:ascii="Arial Unicode MS" w:eastAsia="Arial Unicode MS" w:hAnsi="Arial Unicode MS" w:cs="Arial Unicode MS"/>
          <w:sz w:val="40"/>
          <w:szCs w:val="44"/>
        </w:rPr>
      </w:pPr>
      <w:r w:rsidRPr="00F946D5">
        <w:rPr>
          <w:rFonts w:ascii="Arial Unicode MS" w:eastAsia="Arial Unicode MS" w:hAnsi="Arial Unicode MS" w:cs="Arial Unicode MS" w:hint="eastAsia"/>
          <w:sz w:val="40"/>
          <w:szCs w:val="44"/>
        </w:rPr>
        <w:t>∙</w:t>
      </w:r>
      <w:r w:rsidRPr="00F946D5">
        <w:rPr>
          <w:rFonts w:asciiTheme="majorEastAsia" w:eastAsiaTheme="majorEastAsia" w:hAnsiTheme="majorEastAsia" w:cs="Times New Roman" w:hint="eastAsia"/>
          <w:b/>
          <w:sz w:val="40"/>
          <w:szCs w:val="32"/>
        </w:rPr>
        <w:t>风险概况</w:t>
      </w:r>
    </w:p>
    <w:tbl>
      <w:tblPr>
        <w:tblStyle w:val="a3"/>
        <w:tblW w:w="0" w:type="auto"/>
        <w:tblLayout w:type="fixed"/>
        <w:tblLook w:val="04A0" w:firstRow="1" w:lastRow="0" w:firstColumn="1" w:lastColumn="0" w:noHBand="0" w:noVBand="1"/>
      </w:tblPr>
      <w:tblGrid>
        <w:gridCol w:w="1526"/>
        <w:gridCol w:w="1276"/>
        <w:gridCol w:w="1701"/>
        <w:gridCol w:w="1417"/>
        <w:gridCol w:w="2552"/>
        <w:gridCol w:w="1984"/>
        <w:gridCol w:w="1843"/>
        <w:gridCol w:w="1843"/>
      </w:tblGrid>
      <w:tr w:rsidR="00DD19E3" w:rsidRPr="00F946D5" w:rsidTr="00203757">
        <w:tc>
          <w:tcPr>
            <w:tcW w:w="1526" w:type="dxa"/>
            <w:shd w:val="clear" w:color="auto" w:fill="548DD4" w:themeFill="text2" w:themeFillTint="99"/>
          </w:tcPr>
          <w:p w:rsidR="00F72423" w:rsidRPr="00F946D5" w:rsidRDefault="00F72423"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业务板块</w:t>
            </w:r>
          </w:p>
        </w:tc>
        <w:tc>
          <w:tcPr>
            <w:tcW w:w="1276" w:type="dxa"/>
            <w:shd w:val="clear" w:color="auto" w:fill="548DD4" w:themeFill="text2" w:themeFillTint="99"/>
          </w:tcPr>
          <w:p w:rsidR="00F72423" w:rsidRPr="00F946D5" w:rsidRDefault="00F72423"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主体</w:t>
            </w:r>
          </w:p>
        </w:tc>
        <w:tc>
          <w:tcPr>
            <w:tcW w:w="1701" w:type="dxa"/>
            <w:shd w:val="clear" w:color="auto" w:fill="548DD4" w:themeFill="text2" w:themeFillTint="99"/>
          </w:tcPr>
          <w:p w:rsidR="00F72423" w:rsidRPr="00F946D5" w:rsidRDefault="00F72423"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&gt;1亿主体</w:t>
            </w:r>
          </w:p>
        </w:tc>
        <w:tc>
          <w:tcPr>
            <w:tcW w:w="1417" w:type="dxa"/>
            <w:shd w:val="clear" w:color="auto" w:fill="548DD4" w:themeFill="text2" w:themeFillTint="99"/>
          </w:tcPr>
          <w:p w:rsidR="00F72423" w:rsidRPr="00F946D5" w:rsidRDefault="00F72423" w:rsidP="002865CC">
            <w:pPr>
              <w:adjustRightInd w:val="0"/>
              <w:snapToGrid w:val="0"/>
              <w:jc w:val="center"/>
              <w:rPr>
                <w:rFonts w:asciiTheme="majorEastAsia" w:eastAsiaTheme="majorEastAsia" w:hAnsiTheme="majorEastAsia" w:cs="Times New Roman"/>
                <w:b/>
                <w:color w:val="FFFFFF" w:themeColor="background1"/>
                <w:sz w:val="24"/>
                <w:szCs w:val="32"/>
              </w:rPr>
            </w:pPr>
            <w:proofErr w:type="gramStart"/>
            <w:r w:rsidRPr="00F946D5">
              <w:rPr>
                <w:rFonts w:asciiTheme="majorEastAsia" w:eastAsiaTheme="majorEastAsia" w:hAnsiTheme="majorEastAsia" w:cs="Times New Roman" w:hint="eastAsia"/>
                <w:b/>
                <w:color w:val="FFFFFF" w:themeColor="background1"/>
                <w:sz w:val="24"/>
                <w:szCs w:val="32"/>
              </w:rPr>
              <w:t>久期</w:t>
            </w:r>
            <w:proofErr w:type="gramEnd"/>
          </w:p>
        </w:tc>
        <w:tc>
          <w:tcPr>
            <w:tcW w:w="2552" w:type="dxa"/>
            <w:shd w:val="clear" w:color="auto" w:fill="548DD4" w:themeFill="text2" w:themeFillTint="99"/>
          </w:tcPr>
          <w:p w:rsidR="00F72423" w:rsidRPr="00F946D5" w:rsidRDefault="00F72423"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杠杆率</w:t>
            </w:r>
          </w:p>
        </w:tc>
        <w:tc>
          <w:tcPr>
            <w:tcW w:w="1984" w:type="dxa"/>
            <w:shd w:val="clear" w:color="auto" w:fill="548DD4" w:themeFill="text2" w:themeFillTint="99"/>
          </w:tcPr>
          <w:p w:rsidR="00F72423" w:rsidRPr="00F946D5" w:rsidRDefault="00056C0D"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止损</w:t>
            </w:r>
          </w:p>
        </w:tc>
        <w:tc>
          <w:tcPr>
            <w:tcW w:w="1843" w:type="dxa"/>
            <w:tcBorders>
              <w:bottom w:val="single" w:sz="4" w:space="0" w:color="auto"/>
            </w:tcBorders>
            <w:shd w:val="clear" w:color="auto" w:fill="548DD4" w:themeFill="text2" w:themeFillTint="99"/>
          </w:tcPr>
          <w:p w:rsidR="00F72423" w:rsidRPr="00F946D5" w:rsidRDefault="00F72423"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预警</w:t>
            </w:r>
          </w:p>
        </w:tc>
        <w:tc>
          <w:tcPr>
            <w:tcW w:w="1843" w:type="dxa"/>
            <w:shd w:val="clear" w:color="auto" w:fill="548DD4" w:themeFill="text2" w:themeFillTint="99"/>
          </w:tcPr>
          <w:p w:rsidR="00F72423" w:rsidRPr="00F946D5" w:rsidRDefault="00F72423"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违约</w:t>
            </w:r>
          </w:p>
        </w:tc>
      </w:tr>
      <w:tr w:rsidR="00056C0D" w:rsidRPr="00F946D5" w:rsidTr="00056C0D">
        <w:tc>
          <w:tcPr>
            <w:tcW w:w="1526" w:type="dxa"/>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r w:rsidRPr="00F946D5">
              <w:rPr>
                <w:rFonts w:asciiTheme="majorEastAsia" w:eastAsiaTheme="majorEastAsia" w:hAnsiTheme="majorEastAsia" w:cs="Times New Roman" w:hint="eastAsia"/>
                <w:sz w:val="24"/>
                <w:szCs w:val="32"/>
              </w:rPr>
              <w:t>自营业务</w:t>
            </w:r>
          </w:p>
        </w:tc>
        <w:tc>
          <w:tcPr>
            <w:tcW w:w="1276" w:type="dxa"/>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c>
          <w:tcPr>
            <w:tcW w:w="1701" w:type="dxa"/>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c>
          <w:tcPr>
            <w:tcW w:w="1417" w:type="dxa"/>
          </w:tcPr>
          <w:p w:rsidR="00056C0D" w:rsidRPr="00F946D5" w:rsidRDefault="00056C0D" w:rsidP="00F946D5">
            <w:pPr>
              <w:adjustRightInd w:val="0"/>
              <w:snapToGrid w:val="0"/>
              <w:jc w:val="center"/>
              <w:rPr>
                <w:rFonts w:asciiTheme="majorEastAsia" w:eastAsiaTheme="majorEastAsia" w:hAnsiTheme="majorEastAsia" w:cs="Times New Roman"/>
                <w:sz w:val="24"/>
                <w:szCs w:val="32"/>
              </w:rPr>
            </w:pPr>
          </w:p>
        </w:tc>
        <w:tc>
          <w:tcPr>
            <w:tcW w:w="2552" w:type="dxa"/>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c>
          <w:tcPr>
            <w:tcW w:w="1984" w:type="dxa"/>
            <w:vMerge w:val="restart"/>
            <w:vAlign w:val="center"/>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c>
          <w:tcPr>
            <w:tcW w:w="1843" w:type="dxa"/>
            <w:vMerge w:val="restart"/>
            <w:shd w:val="clear" w:color="auto" w:fill="FFFFFF" w:themeFill="background1"/>
            <w:vAlign w:val="center"/>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c>
          <w:tcPr>
            <w:tcW w:w="1843" w:type="dxa"/>
            <w:vMerge w:val="restart"/>
            <w:vAlign w:val="center"/>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r>
      <w:tr w:rsidR="00056C0D" w:rsidRPr="00F946D5" w:rsidTr="00DE09FF">
        <w:tc>
          <w:tcPr>
            <w:tcW w:w="1526" w:type="dxa"/>
            <w:tcBorders>
              <w:bottom w:val="single" w:sz="4" w:space="0" w:color="auto"/>
            </w:tcBorders>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r w:rsidRPr="00F946D5">
              <w:rPr>
                <w:rFonts w:asciiTheme="majorEastAsia" w:eastAsiaTheme="majorEastAsia" w:hAnsiTheme="majorEastAsia" w:cs="Times New Roman" w:hint="eastAsia"/>
                <w:sz w:val="24"/>
                <w:szCs w:val="32"/>
              </w:rPr>
              <w:t>理财业务</w:t>
            </w:r>
          </w:p>
        </w:tc>
        <w:tc>
          <w:tcPr>
            <w:tcW w:w="1276" w:type="dxa"/>
            <w:tcBorders>
              <w:bottom w:val="single" w:sz="4" w:space="0" w:color="auto"/>
            </w:tcBorders>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c>
          <w:tcPr>
            <w:tcW w:w="1701" w:type="dxa"/>
            <w:tcBorders>
              <w:bottom w:val="single" w:sz="4" w:space="0" w:color="auto"/>
            </w:tcBorders>
          </w:tcPr>
          <w:p w:rsidR="00056C0D" w:rsidRPr="00F946D5" w:rsidRDefault="00056C0D" w:rsidP="00F946D5">
            <w:pPr>
              <w:adjustRightInd w:val="0"/>
              <w:snapToGrid w:val="0"/>
              <w:jc w:val="center"/>
              <w:rPr>
                <w:rFonts w:asciiTheme="majorEastAsia" w:eastAsiaTheme="majorEastAsia" w:hAnsiTheme="majorEastAsia" w:cs="Times New Roman"/>
                <w:sz w:val="24"/>
                <w:szCs w:val="32"/>
              </w:rPr>
            </w:pPr>
          </w:p>
        </w:tc>
        <w:tc>
          <w:tcPr>
            <w:tcW w:w="1417" w:type="dxa"/>
            <w:tcBorders>
              <w:bottom w:val="single" w:sz="4" w:space="0" w:color="auto"/>
            </w:tcBorders>
          </w:tcPr>
          <w:p w:rsidR="00056C0D" w:rsidRPr="00F946D5" w:rsidRDefault="00056C0D" w:rsidP="00F946D5">
            <w:pPr>
              <w:adjustRightInd w:val="0"/>
              <w:snapToGrid w:val="0"/>
              <w:jc w:val="center"/>
              <w:rPr>
                <w:rFonts w:asciiTheme="majorEastAsia" w:eastAsiaTheme="majorEastAsia" w:hAnsiTheme="majorEastAsia" w:cs="Times New Roman"/>
                <w:sz w:val="24"/>
                <w:szCs w:val="32"/>
              </w:rPr>
            </w:pPr>
          </w:p>
        </w:tc>
        <w:tc>
          <w:tcPr>
            <w:tcW w:w="2552" w:type="dxa"/>
            <w:tcBorders>
              <w:bottom w:val="single" w:sz="4" w:space="0" w:color="auto"/>
            </w:tcBorders>
          </w:tcPr>
          <w:p w:rsidR="00056C0D" w:rsidRPr="00F946D5" w:rsidRDefault="00056C0D" w:rsidP="002865CC">
            <w:pPr>
              <w:adjustRightInd w:val="0"/>
              <w:snapToGrid w:val="0"/>
              <w:jc w:val="center"/>
              <w:rPr>
                <w:rFonts w:ascii="宋体" w:eastAsia="宋体" w:hAnsi="宋体" w:cs="宋体"/>
                <w:color w:val="000000"/>
                <w:sz w:val="24"/>
              </w:rPr>
            </w:pPr>
          </w:p>
        </w:tc>
        <w:tc>
          <w:tcPr>
            <w:tcW w:w="1984" w:type="dxa"/>
            <w:vMerge/>
            <w:tcBorders>
              <w:bottom w:val="single" w:sz="4" w:space="0" w:color="auto"/>
            </w:tcBorders>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c>
          <w:tcPr>
            <w:tcW w:w="1843" w:type="dxa"/>
            <w:vMerge/>
            <w:tcBorders>
              <w:bottom w:val="single" w:sz="4" w:space="0" w:color="auto"/>
            </w:tcBorders>
            <w:shd w:val="clear" w:color="auto" w:fill="FFFFFF" w:themeFill="background1"/>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c>
          <w:tcPr>
            <w:tcW w:w="1843" w:type="dxa"/>
            <w:vMerge/>
            <w:tcBorders>
              <w:bottom w:val="single" w:sz="4" w:space="0" w:color="auto"/>
            </w:tcBorders>
          </w:tcPr>
          <w:p w:rsidR="00056C0D" w:rsidRPr="00F946D5" w:rsidRDefault="00056C0D" w:rsidP="002865CC">
            <w:pPr>
              <w:adjustRightInd w:val="0"/>
              <w:snapToGrid w:val="0"/>
              <w:jc w:val="center"/>
              <w:rPr>
                <w:rFonts w:asciiTheme="majorEastAsia" w:eastAsiaTheme="majorEastAsia" w:hAnsiTheme="majorEastAsia" w:cs="Times New Roman"/>
                <w:sz w:val="24"/>
                <w:szCs w:val="32"/>
              </w:rPr>
            </w:pPr>
          </w:p>
        </w:tc>
      </w:tr>
      <w:tr w:rsidR="00115E67" w:rsidRPr="00E13056" w:rsidTr="005F41B6">
        <w:tc>
          <w:tcPr>
            <w:tcW w:w="1526" w:type="dxa"/>
            <w:shd w:val="clear" w:color="auto" w:fill="548DD4" w:themeFill="text2" w:themeFillTint="99"/>
          </w:tcPr>
          <w:p w:rsidR="00115E67" w:rsidRPr="00F946D5" w:rsidRDefault="00115E67"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业务板块</w:t>
            </w:r>
          </w:p>
        </w:tc>
        <w:tc>
          <w:tcPr>
            <w:tcW w:w="2977" w:type="dxa"/>
            <w:gridSpan w:val="2"/>
            <w:shd w:val="clear" w:color="auto" w:fill="548DD4" w:themeFill="text2" w:themeFillTint="99"/>
          </w:tcPr>
          <w:p w:rsidR="00115E67" w:rsidRPr="00F946D5" w:rsidRDefault="00115E67" w:rsidP="002865CC">
            <w:pPr>
              <w:adjustRightInd w:val="0"/>
              <w:snapToGrid w:val="0"/>
              <w:jc w:val="center"/>
              <w:rPr>
                <w:rFonts w:asciiTheme="majorEastAsia" w:eastAsiaTheme="majorEastAsia" w:hAnsiTheme="majorEastAsia" w:cs="Times New Roman"/>
                <w:b/>
                <w:color w:val="FFFFFF" w:themeColor="background1"/>
                <w:sz w:val="24"/>
                <w:szCs w:val="32"/>
              </w:rPr>
            </w:pPr>
            <w:proofErr w:type="gramStart"/>
            <w:r w:rsidRPr="00F946D5">
              <w:rPr>
                <w:rFonts w:asciiTheme="majorEastAsia" w:eastAsiaTheme="majorEastAsia" w:hAnsiTheme="majorEastAsia" w:cs="Times New Roman" w:hint="eastAsia"/>
                <w:b/>
                <w:color w:val="FFFFFF" w:themeColor="background1"/>
                <w:sz w:val="24"/>
                <w:szCs w:val="32"/>
              </w:rPr>
              <w:t>信用债占比</w:t>
            </w:r>
            <w:proofErr w:type="gramEnd"/>
          </w:p>
        </w:tc>
        <w:tc>
          <w:tcPr>
            <w:tcW w:w="3969" w:type="dxa"/>
            <w:gridSpan w:val="2"/>
            <w:shd w:val="clear" w:color="auto" w:fill="548DD4" w:themeFill="text2" w:themeFillTint="99"/>
          </w:tcPr>
          <w:p w:rsidR="00115E67" w:rsidRPr="00F946D5" w:rsidRDefault="00115E67" w:rsidP="002865CC">
            <w:pPr>
              <w:adjustRightInd w:val="0"/>
              <w:snapToGrid w:val="0"/>
              <w:jc w:val="center"/>
              <w:rPr>
                <w:rFonts w:asciiTheme="majorEastAsia" w:eastAsiaTheme="majorEastAsia" w:hAnsiTheme="majorEastAsia" w:cs="Times New Roman"/>
                <w:b/>
                <w:color w:val="FFFFFF" w:themeColor="background1"/>
                <w:sz w:val="24"/>
                <w:szCs w:val="32"/>
              </w:rPr>
            </w:pPr>
            <w:r w:rsidRPr="00F946D5">
              <w:rPr>
                <w:rFonts w:asciiTheme="majorEastAsia" w:eastAsiaTheme="majorEastAsia" w:hAnsiTheme="majorEastAsia" w:cs="Times New Roman" w:hint="eastAsia"/>
                <w:b/>
                <w:color w:val="FFFFFF" w:themeColor="background1"/>
                <w:sz w:val="24"/>
                <w:szCs w:val="32"/>
              </w:rPr>
              <w:t>城</w:t>
            </w:r>
            <w:proofErr w:type="gramStart"/>
            <w:r w:rsidRPr="00F946D5">
              <w:rPr>
                <w:rFonts w:asciiTheme="majorEastAsia" w:eastAsiaTheme="majorEastAsia" w:hAnsiTheme="majorEastAsia" w:cs="Times New Roman" w:hint="eastAsia"/>
                <w:b/>
                <w:color w:val="FFFFFF" w:themeColor="background1"/>
                <w:sz w:val="24"/>
                <w:szCs w:val="32"/>
              </w:rPr>
              <w:t>投债占</w:t>
            </w:r>
            <w:proofErr w:type="gramEnd"/>
            <w:r w:rsidRPr="00F946D5">
              <w:rPr>
                <w:rFonts w:asciiTheme="majorEastAsia" w:eastAsiaTheme="majorEastAsia" w:hAnsiTheme="majorEastAsia" w:cs="Times New Roman" w:hint="eastAsia"/>
                <w:b/>
                <w:color w:val="FFFFFF" w:themeColor="background1"/>
                <w:sz w:val="24"/>
                <w:szCs w:val="32"/>
              </w:rPr>
              <w:t>比</w:t>
            </w:r>
          </w:p>
        </w:tc>
        <w:tc>
          <w:tcPr>
            <w:tcW w:w="1984" w:type="dxa"/>
            <w:shd w:val="clear" w:color="auto" w:fill="548DD4" w:themeFill="text2" w:themeFillTint="99"/>
          </w:tcPr>
          <w:p w:rsidR="00115E67" w:rsidRPr="00F946D5" w:rsidRDefault="00115E67" w:rsidP="002865CC">
            <w:pPr>
              <w:adjustRightInd w:val="0"/>
              <w:snapToGrid w:val="0"/>
              <w:jc w:val="center"/>
              <w:rPr>
                <w:rFonts w:asciiTheme="majorEastAsia" w:eastAsiaTheme="majorEastAsia" w:hAnsiTheme="majorEastAsia" w:cs="Times New Roman"/>
                <w:b/>
                <w:color w:val="FFFFFF" w:themeColor="background1"/>
                <w:sz w:val="24"/>
                <w:szCs w:val="32"/>
              </w:rPr>
            </w:pPr>
            <w:proofErr w:type="gramStart"/>
            <w:r w:rsidRPr="00F946D5">
              <w:rPr>
                <w:rFonts w:asciiTheme="majorEastAsia" w:eastAsiaTheme="majorEastAsia" w:hAnsiTheme="majorEastAsia" w:cs="Times New Roman" w:hint="eastAsia"/>
                <w:b/>
                <w:color w:val="FFFFFF" w:themeColor="background1"/>
                <w:sz w:val="24"/>
                <w:szCs w:val="32"/>
              </w:rPr>
              <w:t>私募债占比</w:t>
            </w:r>
            <w:proofErr w:type="gramEnd"/>
          </w:p>
        </w:tc>
        <w:tc>
          <w:tcPr>
            <w:tcW w:w="1843" w:type="dxa"/>
            <w:shd w:val="clear" w:color="auto" w:fill="548DD4" w:themeFill="text2" w:themeFillTint="99"/>
          </w:tcPr>
          <w:p w:rsidR="00115E67" w:rsidRPr="00F946D5" w:rsidRDefault="00115E67" w:rsidP="002865CC">
            <w:pPr>
              <w:adjustRightInd w:val="0"/>
              <w:snapToGrid w:val="0"/>
              <w:jc w:val="center"/>
              <w:rPr>
                <w:rFonts w:asciiTheme="majorEastAsia" w:eastAsiaTheme="majorEastAsia" w:hAnsiTheme="majorEastAsia" w:cs="Times New Roman"/>
                <w:b/>
                <w:color w:val="FFFFFF" w:themeColor="background1"/>
                <w:sz w:val="24"/>
                <w:szCs w:val="32"/>
              </w:rPr>
            </w:pPr>
            <w:proofErr w:type="gramStart"/>
            <w:r w:rsidRPr="00F946D5">
              <w:rPr>
                <w:rFonts w:asciiTheme="majorEastAsia" w:eastAsiaTheme="majorEastAsia" w:hAnsiTheme="majorEastAsia" w:cs="Times New Roman" w:hint="eastAsia"/>
                <w:b/>
                <w:color w:val="FFFFFF" w:themeColor="background1"/>
                <w:sz w:val="24"/>
                <w:szCs w:val="32"/>
              </w:rPr>
              <w:t>永续债占比</w:t>
            </w:r>
            <w:proofErr w:type="gramEnd"/>
          </w:p>
        </w:tc>
        <w:tc>
          <w:tcPr>
            <w:tcW w:w="1843" w:type="dxa"/>
            <w:shd w:val="clear" w:color="auto" w:fill="548DD4" w:themeFill="text2" w:themeFillTint="99"/>
          </w:tcPr>
          <w:p w:rsidR="00115E67" w:rsidRPr="00F946D5" w:rsidRDefault="00115E67" w:rsidP="002865CC">
            <w:pPr>
              <w:adjustRightInd w:val="0"/>
              <w:snapToGrid w:val="0"/>
              <w:jc w:val="center"/>
              <w:rPr>
                <w:rFonts w:asciiTheme="majorEastAsia" w:eastAsiaTheme="majorEastAsia" w:hAnsiTheme="majorEastAsia" w:cs="Times New Roman"/>
                <w:b/>
                <w:color w:val="FFFFFF" w:themeColor="background1"/>
                <w:sz w:val="24"/>
                <w:szCs w:val="32"/>
              </w:rPr>
            </w:pPr>
            <w:proofErr w:type="gramStart"/>
            <w:r w:rsidRPr="00F946D5">
              <w:rPr>
                <w:rFonts w:asciiTheme="majorEastAsia" w:eastAsiaTheme="majorEastAsia" w:hAnsiTheme="majorEastAsia" w:cs="Times New Roman" w:hint="eastAsia"/>
                <w:b/>
                <w:color w:val="FFFFFF" w:themeColor="background1"/>
                <w:sz w:val="24"/>
                <w:szCs w:val="32"/>
              </w:rPr>
              <w:t>次级债占比</w:t>
            </w:r>
            <w:proofErr w:type="gramEnd"/>
          </w:p>
        </w:tc>
      </w:tr>
      <w:tr w:rsidR="00115E67" w:rsidRPr="00F946D5" w:rsidTr="005F41B6">
        <w:tc>
          <w:tcPr>
            <w:tcW w:w="1526" w:type="dxa"/>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r w:rsidRPr="00F946D5">
              <w:rPr>
                <w:rFonts w:asciiTheme="majorEastAsia" w:eastAsiaTheme="majorEastAsia" w:hAnsiTheme="majorEastAsia" w:cs="Times New Roman" w:hint="eastAsia"/>
                <w:sz w:val="24"/>
                <w:szCs w:val="32"/>
              </w:rPr>
              <w:t>自营业务</w:t>
            </w:r>
          </w:p>
        </w:tc>
        <w:tc>
          <w:tcPr>
            <w:tcW w:w="2977" w:type="dxa"/>
            <w:gridSpan w:val="2"/>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c>
          <w:tcPr>
            <w:tcW w:w="3969" w:type="dxa"/>
            <w:gridSpan w:val="2"/>
            <w:shd w:val="clear" w:color="auto" w:fill="FFFFFF" w:themeFill="background1"/>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c>
          <w:tcPr>
            <w:tcW w:w="1984" w:type="dxa"/>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c>
          <w:tcPr>
            <w:tcW w:w="1843" w:type="dxa"/>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c>
          <w:tcPr>
            <w:tcW w:w="1843" w:type="dxa"/>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r>
      <w:tr w:rsidR="00115E67" w:rsidRPr="00E13056" w:rsidTr="005F41B6">
        <w:tc>
          <w:tcPr>
            <w:tcW w:w="1526" w:type="dxa"/>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r w:rsidRPr="00F946D5">
              <w:rPr>
                <w:rFonts w:asciiTheme="majorEastAsia" w:eastAsiaTheme="majorEastAsia" w:hAnsiTheme="majorEastAsia" w:cs="Times New Roman" w:hint="eastAsia"/>
                <w:sz w:val="24"/>
                <w:szCs w:val="32"/>
              </w:rPr>
              <w:t>理财业务</w:t>
            </w:r>
          </w:p>
        </w:tc>
        <w:tc>
          <w:tcPr>
            <w:tcW w:w="2977" w:type="dxa"/>
            <w:gridSpan w:val="2"/>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c>
          <w:tcPr>
            <w:tcW w:w="3969" w:type="dxa"/>
            <w:gridSpan w:val="2"/>
            <w:shd w:val="clear" w:color="auto" w:fill="FFFFFF" w:themeFill="background1"/>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c>
          <w:tcPr>
            <w:tcW w:w="1984" w:type="dxa"/>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c>
          <w:tcPr>
            <w:tcW w:w="1843" w:type="dxa"/>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c>
          <w:tcPr>
            <w:tcW w:w="1843" w:type="dxa"/>
          </w:tcPr>
          <w:p w:rsidR="00115E67" w:rsidRPr="00F946D5" w:rsidRDefault="00115E67" w:rsidP="002865CC">
            <w:pPr>
              <w:adjustRightInd w:val="0"/>
              <w:snapToGrid w:val="0"/>
              <w:jc w:val="center"/>
              <w:rPr>
                <w:rFonts w:asciiTheme="majorEastAsia" w:eastAsiaTheme="majorEastAsia" w:hAnsiTheme="majorEastAsia" w:cs="Times New Roman"/>
                <w:sz w:val="24"/>
                <w:szCs w:val="32"/>
              </w:rPr>
            </w:pPr>
          </w:p>
        </w:tc>
      </w:tr>
    </w:tbl>
    <w:p w:rsidR="00755AED" w:rsidRPr="00E7080C" w:rsidRDefault="00755AED" w:rsidP="00755AED">
      <w:pPr>
        <w:adjustRightInd w:val="0"/>
        <w:snapToGrid w:val="0"/>
        <w:spacing w:line="480" w:lineRule="exact"/>
        <w:jc w:val="left"/>
        <w:rPr>
          <w:rFonts w:asciiTheme="majorEastAsia" w:eastAsiaTheme="majorEastAsia" w:hAnsiTheme="majorEastAsia" w:cs="Times New Roman"/>
          <w:b/>
          <w:sz w:val="40"/>
          <w:szCs w:val="32"/>
        </w:rPr>
      </w:pPr>
      <w:r w:rsidRPr="00E7080C">
        <w:rPr>
          <w:rFonts w:ascii="Arial Unicode MS" w:eastAsia="Arial Unicode MS" w:hAnsi="Arial Unicode MS" w:cs="Arial Unicode MS" w:hint="eastAsia"/>
          <w:sz w:val="40"/>
          <w:szCs w:val="44"/>
        </w:rPr>
        <w:t>∙</w:t>
      </w:r>
      <w:r w:rsidRPr="00E7080C">
        <w:rPr>
          <w:rFonts w:asciiTheme="majorEastAsia" w:eastAsiaTheme="majorEastAsia" w:hAnsiTheme="majorEastAsia" w:cs="Times New Roman" w:hint="eastAsia"/>
          <w:b/>
          <w:sz w:val="40"/>
          <w:szCs w:val="32"/>
        </w:rPr>
        <w:t>负面舆情监测</w:t>
      </w:r>
    </w:p>
    <w:tbl>
      <w:tblPr>
        <w:tblStyle w:val="a3"/>
        <w:tblW w:w="5000" w:type="pct"/>
        <w:jc w:val="center"/>
        <w:tblLook w:val="04A0" w:firstRow="1" w:lastRow="0" w:firstColumn="1" w:lastColumn="0" w:noHBand="0" w:noVBand="1"/>
      </w:tblPr>
      <w:tblGrid>
        <w:gridCol w:w="1242"/>
        <w:gridCol w:w="808"/>
        <w:gridCol w:w="2027"/>
        <w:gridCol w:w="709"/>
        <w:gridCol w:w="1417"/>
        <w:gridCol w:w="1417"/>
        <w:gridCol w:w="709"/>
        <w:gridCol w:w="3830"/>
        <w:gridCol w:w="992"/>
        <w:gridCol w:w="1023"/>
      </w:tblGrid>
      <w:tr w:rsidR="00AC3E55" w:rsidRPr="00E7080C" w:rsidTr="00E7080C">
        <w:trPr>
          <w:jc w:val="center"/>
        </w:trPr>
        <w:tc>
          <w:tcPr>
            <w:tcW w:w="438"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监测对象</w:t>
            </w:r>
          </w:p>
        </w:tc>
        <w:tc>
          <w:tcPr>
            <w:tcW w:w="285"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类别</w:t>
            </w:r>
          </w:p>
        </w:tc>
        <w:tc>
          <w:tcPr>
            <w:tcW w:w="715"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发行主体</w:t>
            </w:r>
          </w:p>
        </w:tc>
        <w:tc>
          <w:tcPr>
            <w:tcW w:w="250"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金额</w:t>
            </w:r>
          </w:p>
        </w:tc>
        <w:tc>
          <w:tcPr>
            <w:tcW w:w="500"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起息日</w:t>
            </w:r>
          </w:p>
        </w:tc>
        <w:tc>
          <w:tcPr>
            <w:tcW w:w="500"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到期日</w:t>
            </w:r>
          </w:p>
        </w:tc>
        <w:tc>
          <w:tcPr>
            <w:tcW w:w="250"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部门</w:t>
            </w:r>
          </w:p>
        </w:tc>
        <w:tc>
          <w:tcPr>
            <w:tcW w:w="1351"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影响/建议</w:t>
            </w:r>
          </w:p>
        </w:tc>
        <w:tc>
          <w:tcPr>
            <w:tcW w:w="350"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成本</w:t>
            </w:r>
          </w:p>
        </w:tc>
        <w:tc>
          <w:tcPr>
            <w:tcW w:w="361" w:type="pct"/>
            <w:tcBorders>
              <w:bottom w:val="single" w:sz="4" w:space="0" w:color="auto"/>
            </w:tcBorders>
            <w:shd w:val="clear" w:color="auto" w:fill="E36C0A" w:themeFill="accent6" w:themeFillShade="BF"/>
          </w:tcPr>
          <w:p w:rsidR="002865CC" w:rsidRPr="00E7080C" w:rsidRDefault="002865CC" w:rsidP="002865CC">
            <w:pPr>
              <w:adjustRightInd w:val="0"/>
              <w:snapToGrid w:val="0"/>
              <w:jc w:val="center"/>
              <w:rPr>
                <w:rFonts w:asciiTheme="majorEastAsia" w:eastAsiaTheme="majorEastAsia" w:hAnsiTheme="majorEastAsia" w:cs="Times New Roman"/>
                <w:b/>
                <w:color w:val="FFFFFF" w:themeColor="background1"/>
                <w:sz w:val="24"/>
                <w:szCs w:val="32"/>
              </w:rPr>
            </w:pPr>
            <w:r w:rsidRPr="00E7080C">
              <w:rPr>
                <w:rFonts w:asciiTheme="majorEastAsia" w:eastAsiaTheme="majorEastAsia" w:hAnsiTheme="majorEastAsia" w:cs="Times New Roman" w:hint="eastAsia"/>
                <w:b/>
                <w:color w:val="FFFFFF" w:themeColor="background1"/>
                <w:sz w:val="24"/>
                <w:szCs w:val="32"/>
              </w:rPr>
              <w:t>估值</w:t>
            </w:r>
          </w:p>
        </w:tc>
      </w:tr>
      <w:tr w:rsidR="00AC3E55" w:rsidRPr="00E7080C" w:rsidTr="00AC3E55">
        <w:trPr>
          <w:jc w:val="center"/>
        </w:trPr>
        <w:tc>
          <w:tcPr>
            <w:tcW w:w="438" w:type="pct"/>
            <w:shd w:val="clear" w:color="auto" w:fill="FFFFFF" w:themeFill="background1"/>
            <w:vAlign w:val="center"/>
          </w:tcPr>
          <w:p w:rsidR="002865CC" w:rsidRPr="00E7080C" w:rsidRDefault="002865CC" w:rsidP="002865CC">
            <w:pPr>
              <w:adjustRightInd w:val="0"/>
              <w:snapToGrid w:val="0"/>
              <w:jc w:val="center"/>
              <w:rPr>
                <w:rFonts w:asciiTheme="majorEastAsia" w:eastAsiaTheme="majorEastAsia" w:hAnsiTheme="majorEastAsia" w:cs="Times New Roman"/>
                <w:sz w:val="24"/>
                <w:szCs w:val="32"/>
              </w:rPr>
            </w:pPr>
          </w:p>
        </w:tc>
        <w:tc>
          <w:tcPr>
            <w:tcW w:w="285" w:type="pct"/>
            <w:shd w:val="clear" w:color="auto" w:fill="FFFFFF" w:themeFill="background1"/>
            <w:vAlign w:val="center"/>
          </w:tcPr>
          <w:p w:rsidR="002865CC" w:rsidRPr="00E7080C" w:rsidRDefault="002865CC" w:rsidP="002865CC">
            <w:pPr>
              <w:adjustRightInd w:val="0"/>
              <w:snapToGrid w:val="0"/>
              <w:jc w:val="center"/>
              <w:rPr>
                <w:rFonts w:asciiTheme="majorEastAsia" w:eastAsiaTheme="majorEastAsia" w:hAnsiTheme="majorEastAsia" w:cs="Times New Roman"/>
                <w:sz w:val="24"/>
                <w:szCs w:val="32"/>
              </w:rPr>
            </w:pPr>
          </w:p>
        </w:tc>
        <w:tc>
          <w:tcPr>
            <w:tcW w:w="715" w:type="pct"/>
            <w:shd w:val="clear" w:color="auto" w:fill="FFFFFF" w:themeFill="background1"/>
            <w:vAlign w:val="center"/>
          </w:tcPr>
          <w:p w:rsidR="002865CC" w:rsidRPr="00E7080C" w:rsidRDefault="002865CC" w:rsidP="002865CC">
            <w:pPr>
              <w:adjustRightInd w:val="0"/>
              <w:snapToGrid w:val="0"/>
              <w:jc w:val="center"/>
              <w:rPr>
                <w:rFonts w:asciiTheme="majorEastAsia" w:eastAsiaTheme="majorEastAsia" w:hAnsiTheme="majorEastAsia" w:cs="Times New Roman"/>
                <w:sz w:val="24"/>
                <w:szCs w:val="32"/>
              </w:rPr>
            </w:pPr>
          </w:p>
        </w:tc>
        <w:tc>
          <w:tcPr>
            <w:tcW w:w="250" w:type="pct"/>
            <w:shd w:val="clear" w:color="auto" w:fill="FFFFFF" w:themeFill="background1"/>
            <w:vAlign w:val="center"/>
          </w:tcPr>
          <w:p w:rsidR="002865CC" w:rsidRPr="00E7080C" w:rsidRDefault="002865CC" w:rsidP="00E7080C">
            <w:pPr>
              <w:adjustRightInd w:val="0"/>
              <w:snapToGrid w:val="0"/>
              <w:jc w:val="center"/>
              <w:rPr>
                <w:rFonts w:asciiTheme="majorEastAsia" w:eastAsiaTheme="majorEastAsia" w:hAnsiTheme="majorEastAsia" w:cs="Times New Roman"/>
                <w:sz w:val="24"/>
                <w:szCs w:val="32"/>
              </w:rPr>
            </w:pPr>
          </w:p>
        </w:tc>
        <w:tc>
          <w:tcPr>
            <w:tcW w:w="500" w:type="pct"/>
            <w:shd w:val="clear" w:color="auto" w:fill="FFFFFF" w:themeFill="background1"/>
            <w:vAlign w:val="center"/>
          </w:tcPr>
          <w:p w:rsidR="002865CC" w:rsidRPr="00E7080C" w:rsidRDefault="002865CC" w:rsidP="00E7080C">
            <w:pPr>
              <w:adjustRightInd w:val="0"/>
              <w:snapToGrid w:val="0"/>
              <w:jc w:val="center"/>
              <w:rPr>
                <w:rFonts w:asciiTheme="majorEastAsia" w:eastAsiaTheme="majorEastAsia" w:hAnsiTheme="majorEastAsia" w:cs="Times New Roman"/>
                <w:sz w:val="24"/>
                <w:szCs w:val="32"/>
              </w:rPr>
            </w:pPr>
          </w:p>
        </w:tc>
        <w:tc>
          <w:tcPr>
            <w:tcW w:w="500" w:type="pct"/>
            <w:shd w:val="clear" w:color="auto" w:fill="FFFFFF" w:themeFill="background1"/>
            <w:vAlign w:val="center"/>
          </w:tcPr>
          <w:p w:rsidR="002865CC" w:rsidRPr="00E7080C" w:rsidRDefault="002865CC" w:rsidP="00E7080C">
            <w:pPr>
              <w:adjustRightInd w:val="0"/>
              <w:snapToGrid w:val="0"/>
              <w:jc w:val="center"/>
              <w:rPr>
                <w:rFonts w:asciiTheme="majorEastAsia" w:eastAsiaTheme="majorEastAsia" w:hAnsiTheme="majorEastAsia" w:cs="Times New Roman"/>
                <w:sz w:val="24"/>
                <w:szCs w:val="32"/>
              </w:rPr>
            </w:pPr>
          </w:p>
        </w:tc>
        <w:tc>
          <w:tcPr>
            <w:tcW w:w="250" w:type="pct"/>
            <w:shd w:val="clear" w:color="auto" w:fill="FFFFFF" w:themeFill="background1"/>
            <w:vAlign w:val="center"/>
          </w:tcPr>
          <w:p w:rsidR="002865CC" w:rsidRPr="00E7080C" w:rsidRDefault="002865CC" w:rsidP="002865CC">
            <w:pPr>
              <w:adjustRightInd w:val="0"/>
              <w:snapToGrid w:val="0"/>
              <w:jc w:val="center"/>
              <w:rPr>
                <w:rFonts w:asciiTheme="majorEastAsia" w:eastAsiaTheme="majorEastAsia" w:hAnsiTheme="majorEastAsia" w:cs="Times New Roman"/>
                <w:sz w:val="24"/>
                <w:szCs w:val="32"/>
              </w:rPr>
            </w:pPr>
          </w:p>
        </w:tc>
        <w:tc>
          <w:tcPr>
            <w:tcW w:w="1351" w:type="pct"/>
            <w:shd w:val="clear" w:color="auto" w:fill="FFFFFF" w:themeFill="background1"/>
            <w:vAlign w:val="center"/>
          </w:tcPr>
          <w:p w:rsidR="002865CC" w:rsidRPr="00E7080C" w:rsidRDefault="002865CC" w:rsidP="002865CC">
            <w:pPr>
              <w:adjustRightInd w:val="0"/>
              <w:snapToGrid w:val="0"/>
              <w:rPr>
                <w:rFonts w:asciiTheme="majorEastAsia" w:eastAsiaTheme="majorEastAsia" w:hAnsiTheme="majorEastAsia" w:cs="Times New Roman"/>
                <w:sz w:val="24"/>
                <w:szCs w:val="32"/>
              </w:rPr>
            </w:pPr>
          </w:p>
        </w:tc>
        <w:tc>
          <w:tcPr>
            <w:tcW w:w="350" w:type="pct"/>
            <w:shd w:val="clear" w:color="auto" w:fill="FFFFFF" w:themeFill="background1"/>
            <w:vAlign w:val="center"/>
          </w:tcPr>
          <w:p w:rsidR="002865CC" w:rsidRPr="00E7080C" w:rsidRDefault="002865CC" w:rsidP="002865CC">
            <w:pPr>
              <w:adjustRightInd w:val="0"/>
              <w:snapToGrid w:val="0"/>
              <w:jc w:val="center"/>
              <w:rPr>
                <w:rFonts w:asciiTheme="majorEastAsia" w:eastAsiaTheme="majorEastAsia" w:hAnsiTheme="majorEastAsia" w:cs="Times New Roman"/>
                <w:sz w:val="24"/>
                <w:szCs w:val="32"/>
              </w:rPr>
            </w:pPr>
          </w:p>
        </w:tc>
        <w:tc>
          <w:tcPr>
            <w:tcW w:w="361" w:type="pct"/>
            <w:shd w:val="clear" w:color="auto" w:fill="FFFFFF" w:themeFill="background1"/>
            <w:vAlign w:val="center"/>
          </w:tcPr>
          <w:p w:rsidR="002865CC" w:rsidRPr="00E7080C" w:rsidRDefault="002865CC" w:rsidP="002865CC">
            <w:pPr>
              <w:adjustRightInd w:val="0"/>
              <w:snapToGrid w:val="0"/>
              <w:jc w:val="center"/>
              <w:rPr>
                <w:rFonts w:asciiTheme="majorEastAsia" w:eastAsiaTheme="majorEastAsia" w:hAnsiTheme="majorEastAsia" w:cs="Times New Roman"/>
                <w:sz w:val="24"/>
                <w:szCs w:val="32"/>
              </w:rPr>
            </w:pPr>
          </w:p>
        </w:tc>
      </w:tr>
    </w:tbl>
    <w:tbl>
      <w:tblPr>
        <w:tblStyle w:val="a3"/>
        <w:tblpPr w:leftFromText="180" w:rightFromText="180" w:vertAnchor="text" w:horzAnchor="margin" w:tblpXSpec="center" w:tblpY="2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1276"/>
        <w:gridCol w:w="3275"/>
        <w:gridCol w:w="1274"/>
        <w:gridCol w:w="4381"/>
        <w:gridCol w:w="1276"/>
        <w:gridCol w:w="1875"/>
      </w:tblGrid>
      <w:tr w:rsidR="00755AED" w:rsidRPr="00E7080C" w:rsidTr="00755AED">
        <w:trPr>
          <w:trHeight w:val="304"/>
        </w:trPr>
        <w:tc>
          <w:tcPr>
            <w:tcW w:w="817" w:type="dxa"/>
            <w:shd w:val="clear" w:color="auto" w:fill="FFFFFF" w:themeFill="background1"/>
          </w:tcPr>
          <w:p w:rsidR="00755AED" w:rsidRPr="00E7080C" w:rsidRDefault="00755AED" w:rsidP="00755AED">
            <w:pPr>
              <w:adjustRightInd w:val="0"/>
              <w:snapToGrid w:val="0"/>
              <w:spacing w:line="160" w:lineRule="atLeast"/>
              <w:jc w:val="left"/>
              <w:rPr>
                <w:rFonts w:asciiTheme="minorEastAsia" w:hAnsiTheme="minorEastAsia" w:cs="Times New Roman"/>
                <w:b/>
                <w:sz w:val="24"/>
                <w:szCs w:val="32"/>
              </w:rPr>
            </w:pPr>
          </w:p>
        </w:tc>
        <w:tc>
          <w:tcPr>
            <w:tcW w:w="1276" w:type="dxa"/>
            <w:shd w:val="clear" w:color="auto" w:fill="C00000"/>
          </w:tcPr>
          <w:p w:rsidR="00755AED" w:rsidRPr="00E7080C" w:rsidRDefault="00755AED" w:rsidP="00755AED">
            <w:pPr>
              <w:adjustRightInd w:val="0"/>
              <w:snapToGrid w:val="0"/>
              <w:spacing w:line="160" w:lineRule="atLeast"/>
              <w:jc w:val="left"/>
              <w:rPr>
                <w:rFonts w:asciiTheme="minorEastAsia" w:hAnsiTheme="minorEastAsia" w:cs="Times New Roman"/>
                <w:b/>
                <w:sz w:val="24"/>
                <w:szCs w:val="32"/>
              </w:rPr>
            </w:pPr>
            <w:r w:rsidRPr="00E7080C">
              <w:rPr>
                <w:rFonts w:asciiTheme="minorEastAsia" w:hAnsiTheme="minorEastAsia" w:cs="Times New Roman" w:hint="eastAsia"/>
                <w:b/>
                <w:sz w:val="24"/>
                <w:szCs w:val="32"/>
              </w:rPr>
              <w:t>红色事件</w:t>
            </w:r>
          </w:p>
        </w:tc>
        <w:tc>
          <w:tcPr>
            <w:tcW w:w="3275" w:type="dxa"/>
          </w:tcPr>
          <w:p w:rsidR="00755AED" w:rsidRPr="00E7080C" w:rsidRDefault="00755AED" w:rsidP="00755AED">
            <w:pPr>
              <w:adjustRightInd w:val="0"/>
              <w:snapToGrid w:val="0"/>
              <w:spacing w:line="160" w:lineRule="atLeast"/>
              <w:jc w:val="left"/>
              <w:rPr>
                <w:rFonts w:asciiTheme="minorEastAsia" w:hAnsiTheme="minorEastAsia" w:cs="Times New Roman"/>
                <w:sz w:val="24"/>
                <w:szCs w:val="32"/>
              </w:rPr>
            </w:pPr>
            <w:r w:rsidRPr="00E7080C">
              <w:rPr>
                <w:rFonts w:asciiTheme="minorEastAsia" w:hAnsiTheme="minorEastAsia" w:cs="Times New Roman" w:hint="eastAsia"/>
                <w:sz w:val="24"/>
                <w:szCs w:val="32"/>
              </w:rPr>
              <w:t>风险，采取措施</w:t>
            </w:r>
          </w:p>
        </w:tc>
        <w:tc>
          <w:tcPr>
            <w:tcW w:w="1274" w:type="dxa"/>
            <w:shd w:val="clear" w:color="auto" w:fill="E36C0A" w:themeFill="accent6" w:themeFillShade="BF"/>
          </w:tcPr>
          <w:p w:rsidR="00755AED" w:rsidRPr="00E7080C" w:rsidRDefault="00755AED" w:rsidP="00755AED">
            <w:pPr>
              <w:adjustRightInd w:val="0"/>
              <w:snapToGrid w:val="0"/>
              <w:spacing w:line="160" w:lineRule="atLeast"/>
              <w:jc w:val="left"/>
              <w:rPr>
                <w:rFonts w:asciiTheme="minorEastAsia" w:hAnsiTheme="minorEastAsia" w:cs="Times New Roman"/>
                <w:b/>
                <w:sz w:val="24"/>
                <w:szCs w:val="32"/>
              </w:rPr>
            </w:pPr>
            <w:r w:rsidRPr="00E7080C">
              <w:rPr>
                <w:rFonts w:asciiTheme="minorEastAsia" w:hAnsiTheme="minorEastAsia" w:cs="Times New Roman" w:hint="eastAsia"/>
                <w:b/>
                <w:color w:val="FFFFFF" w:themeColor="background1"/>
                <w:sz w:val="24"/>
                <w:szCs w:val="32"/>
              </w:rPr>
              <w:t>橙色事件</w:t>
            </w:r>
          </w:p>
        </w:tc>
        <w:tc>
          <w:tcPr>
            <w:tcW w:w="4381" w:type="dxa"/>
          </w:tcPr>
          <w:p w:rsidR="00755AED" w:rsidRPr="00E7080C" w:rsidRDefault="00755AED" w:rsidP="00755AED">
            <w:pPr>
              <w:adjustRightInd w:val="0"/>
              <w:snapToGrid w:val="0"/>
              <w:spacing w:line="160" w:lineRule="atLeast"/>
              <w:jc w:val="left"/>
              <w:rPr>
                <w:rFonts w:asciiTheme="minorEastAsia" w:hAnsiTheme="minorEastAsia" w:cs="Times New Roman"/>
                <w:sz w:val="24"/>
                <w:szCs w:val="32"/>
              </w:rPr>
            </w:pPr>
            <w:r w:rsidRPr="00E7080C">
              <w:rPr>
                <w:rFonts w:asciiTheme="minorEastAsia" w:hAnsiTheme="minorEastAsia" w:cs="Times New Roman" w:hint="eastAsia"/>
                <w:sz w:val="24"/>
                <w:szCs w:val="32"/>
              </w:rPr>
              <w:t>预警，分析反馈</w:t>
            </w:r>
          </w:p>
        </w:tc>
        <w:tc>
          <w:tcPr>
            <w:tcW w:w="1276" w:type="dxa"/>
            <w:shd w:val="clear" w:color="auto" w:fill="548DD4" w:themeFill="text2" w:themeFillTint="99"/>
          </w:tcPr>
          <w:p w:rsidR="00755AED" w:rsidRPr="00E7080C" w:rsidRDefault="00755AED" w:rsidP="00755AED">
            <w:pPr>
              <w:adjustRightInd w:val="0"/>
              <w:snapToGrid w:val="0"/>
              <w:spacing w:line="160" w:lineRule="atLeast"/>
              <w:jc w:val="left"/>
              <w:rPr>
                <w:rFonts w:asciiTheme="minorEastAsia" w:hAnsiTheme="minorEastAsia" w:cs="Times New Roman"/>
                <w:sz w:val="24"/>
                <w:szCs w:val="32"/>
              </w:rPr>
            </w:pPr>
            <w:r w:rsidRPr="00E7080C">
              <w:rPr>
                <w:rFonts w:asciiTheme="minorEastAsia" w:hAnsiTheme="minorEastAsia" w:cs="Times New Roman" w:hint="eastAsia"/>
                <w:sz w:val="24"/>
                <w:szCs w:val="32"/>
              </w:rPr>
              <w:t>蓝色事件</w:t>
            </w:r>
          </w:p>
        </w:tc>
        <w:tc>
          <w:tcPr>
            <w:tcW w:w="1875" w:type="dxa"/>
          </w:tcPr>
          <w:p w:rsidR="00755AED" w:rsidRPr="00E7080C" w:rsidRDefault="00755AED" w:rsidP="00755AED">
            <w:pPr>
              <w:adjustRightInd w:val="0"/>
              <w:snapToGrid w:val="0"/>
              <w:spacing w:line="160" w:lineRule="atLeast"/>
              <w:jc w:val="left"/>
              <w:rPr>
                <w:rFonts w:asciiTheme="minorEastAsia" w:hAnsiTheme="minorEastAsia" w:cs="Times New Roman"/>
                <w:sz w:val="24"/>
                <w:szCs w:val="32"/>
              </w:rPr>
            </w:pPr>
            <w:r w:rsidRPr="00E7080C">
              <w:rPr>
                <w:rFonts w:asciiTheme="minorEastAsia" w:hAnsiTheme="minorEastAsia" w:cs="Times New Roman" w:hint="eastAsia"/>
                <w:sz w:val="24"/>
                <w:szCs w:val="32"/>
              </w:rPr>
              <w:t>提示关注</w:t>
            </w:r>
          </w:p>
        </w:tc>
      </w:tr>
    </w:tbl>
    <w:p w:rsidR="00045135" w:rsidRPr="00E7080C" w:rsidRDefault="00045135" w:rsidP="00045135">
      <w:pPr>
        <w:spacing w:line="560" w:lineRule="exact"/>
        <w:jc w:val="left"/>
        <w:rPr>
          <w:rFonts w:ascii="仿宋_GB2312" w:eastAsia="仿宋_GB2312" w:hAnsi="Calibri" w:cs="Times New Roman"/>
          <w:sz w:val="32"/>
          <w:szCs w:val="32"/>
        </w:rPr>
        <w:sectPr w:rsidR="00045135" w:rsidRPr="00E7080C" w:rsidSect="000521EA">
          <w:headerReference w:type="first" r:id="rId8"/>
          <w:pgSz w:w="16838" w:h="11906" w:orient="landscape" w:code="9"/>
          <w:pgMar w:top="1134" w:right="1440" w:bottom="1134" w:left="1440" w:header="851" w:footer="992" w:gutter="0"/>
          <w:cols w:space="425"/>
          <w:titlePg/>
          <w:docGrid w:linePitch="312"/>
        </w:sectPr>
      </w:pPr>
    </w:p>
    <w:p w:rsidR="00432F41" w:rsidRPr="009A537B" w:rsidRDefault="00432F41" w:rsidP="00540422">
      <w:pPr>
        <w:spacing w:line="520" w:lineRule="exact"/>
        <w:ind w:firstLineChars="200" w:firstLine="643"/>
        <w:rPr>
          <w:rFonts w:ascii="仿宋_GB2312" w:eastAsia="仿宋_GB2312" w:hAnsi="Calibri" w:cs="Times New Roman"/>
          <w:b/>
          <w:sz w:val="32"/>
          <w:szCs w:val="32"/>
        </w:rPr>
      </w:pPr>
      <w:r w:rsidRPr="009A537B">
        <w:rPr>
          <w:rFonts w:ascii="仿宋_GB2312" w:eastAsia="仿宋_GB2312" w:hAnsi="Calibri" w:cs="Times New Roman" w:hint="eastAsia"/>
          <w:b/>
          <w:sz w:val="32"/>
          <w:szCs w:val="32"/>
        </w:rPr>
        <w:lastRenderedPageBreak/>
        <w:t>一、业务结构</w:t>
      </w:r>
    </w:p>
    <w:p w:rsidR="00432F41" w:rsidRPr="009A537B" w:rsidRDefault="00432F41" w:rsidP="00540422">
      <w:pPr>
        <w:spacing w:line="520" w:lineRule="exact"/>
        <w:ind w:firstLineChars="200" w:firstLine="643"/>
        <w:rPr>
          <w:rFonts w:ascii="仿宋_GB2312" w:eastAsia="仿宋_GB2312" w:hAnsi="Calibri" w:cs="Times New Roman"/>
          <w:b/>
          <w:sz w:val="32"/>
          <w:szCs w:val="32"/>
        </w:rPr>
      </w:pPr>
      <w:r w:rsidRPr="009A537B">
        <w:rPr>
          <w:rFonts w:ascii="仿宋_GB2312" w:eastAsia="仿宋_GB2312" w:hAnsi="Calibri" w:cs="Times New Roman" w:hint="eastAsia"/>
          <w:b/>
          <w:sz w:val="32"/>
          <w:szCs w:val="32"/>
        </w:rPr>
        <w:t>（一）同业业务中心</w:t>
      </w:r>
    </w:p>
    <w:tbl>
      <w:tblPr>
        <w:tblStyle w:val="a3"/>
        <w:tblW w:w="8776" w:type="dxa"/>
        <w:tblLayout w:type="fixed"/>
        <w:tblLook w:val="04A0" w:firstRow="1" w:lastRow="0" w:firstColumn="1" w:lastColumn="0" w:noHBand="0" w:noVBand="1"/>
      </w:tblPr>
      <w:tblGrid>
        <w:gridCol w:w="1384"/>
        <w:gridCol w:w="1985"/>
        <w:gridCol w:w="1134"/>
        <w:gridCol w:w="1417"/>
        <w:gridCol w:w="1701"/>
        <w:gridCol w:w="1155"/>
      </w:tblGrid>
      <w:tr w:rsidR="00432F41" w:rsidRPr="009A537B" w:rsidTr="001B5773">
        <w:trPr>
          <w:trHeight w:val="270"/>
        </w:trPr>
        <w:tc>
          <w:tcPr>
            <w:tcW w:w="3369" w:type="dxa"/>
            <w:gridSpan w:val="2"/>
            <w:tcBorders>
              <w:top w:val="nil"/>
              <w:left w:val="nil"/>
              <w:right w:val="nil"/>
            </w:tcBorders>
            <w:noWrap/>
            <w:hideMark/>
          </w:tcPr>
          <w:p w:rsidR="00432F41" w:rsidRPr="009A537B" w:rsidRDefault="00432F41" w:rsidP="001B5773">
            <w:pPr>
              <w:widowControl/>
              <w:rPr>
                <w:rFonts w:ascii="仿宋" w:eastAsia="仿宋" w:hAnsi="仿宋" w:cs="宋体"/>
                <w:color w:val="000000"/>
                <w:kern w:val="0"/>
                <w:sz w:val="24"/>
                <w:szCs w:val="24"/>
              </w:rPr>
            </w:pPr>
            <w:r w:rsidRPr="009A537B">
              <w:rPr>
                <w:rFonts w:ascii="仿宋" w:eastAsia="仿宋" w:hAnsi="仿宋" w:cs="宋体" w:hint="eastAsia"/>
                <w:color w:val="000000"/>
                <w:kern w:val="0"/>
                <w:sz w:val="24"/>
                <w:szCs w:val="24"/>
              </w:rPr>
              <w:t>部门:同业业务中心</w:t>
            </w:r>
          </w:p>
        </w:tc>
        <w:tc>
          <w:tcPr>
            <w:tcW w:w="1134" w:type="dxa"/>
            <w:tcBorders>
              <w:top w:val="nil"/>
              <w:left w:val="nil"/>
              <w:right w:val="nil"/>
            </w:tcBorders>
            <w:noWrap/>
            <w:hideMark/>
          </w:tcPr>
          <w:p w:rsidR="00432F41" w:rsidRPr="009A537B" w:rsidRDefault="00432F41" w:rsidP="001B5773">
            <w:pPr>
              <w:widowControl/>
              <w:rPr>
                <w:rFonts w:ascii="仿宋" w:eastAsia="仿宋" w:hAnsi="仿宋" w:cs="宋体"/>
                <w:color w:val="000000"/>
                <w:kern w:val="0"/>
                <w:sz w:val="24"/>
                <w:szCs w:val="24"/>
              </w:rPr>
            </w:pPr>
          </w:p>
        </w:tc>
        <w:tc>
          <w:tcPr>
            <w:tcW w:w="1417" w:type="dxa"/>
            <w:tcBorders>
              <w:top w:val="nil"/>
              <w:left w:val="nil"/>
              <w:right w:val="nil"/>
            </w:tcBorders>
            <w:noWrap/>
            <w:hideMark/>
          </w:tcPr>
          <w:p w:rsidR="00432F41" w:rsidRPr="009A537B" w:rsidRDefault="00432F41" w:rsidP="001B5773">
            <w:pPr>
              <w:widowControl/>
              <w:rPr>
                <w:rFonts w:ascii="仿宋" w:eastAsia="仿宋" w:hAnsi="仿宋" w:cs="宋体"/>
                <w:color w:val="000000"/>
                <w:kern w:val="0"/>
                <w:sz w:val="24"/>
                <w:szCs w:val="24"/>
              </w:rPr>
            </w:pPr>
          </w:p>
        </w:tc>
        <w:tc>
          <w:tcPr>
            <w:tcW w:w="2856" w:type="dxa"/>
            <w:gridSpan w:val="2"/>
            <w:tcBorders>
              <w:top w:val="nil"/>
              <w:left w:val="nil"/>
              <w:right w:val="nil"/>
            </w:tcBorders>
            <w:noWrap/>
            <w:vAlign w:val="center"/>
            <w:hideMark/>
          </w:tcPr>
          <w:p w:rsidR="00432F41" w:rsidRPr="009A537B" w:rsidRDefault="00432F41" w:rsidP="001B5773">
            <w:pPr>
              <w:widowControl/>
              <w:jc w:val="right"/>
              <w:rPr>
                <w:rFonts w:ascii="仿宋" w:eastAsia="仿宋" w:hAnsi="仿宋" w:cs="宋体"/>
                <w:color w:val="000000"/>
                <w:kern w:val="0"/>
                <w:sz w:val="24"/>
                <w:szCs w:val="24"/>
              </w:rPr>
            </w:pPr>
            <w:r w:rsidRPr="009A537B">
              <w:rPr>
                <w:rFonts w:ascii="仿宋" w:eastAsia="仿宋" w:hAnsi="仿宋" w:cs="宋体" w:hint="eastAsia"/>
                <w:color w:val="000000"/>
                <w:kern w:val="0"/>
                <w:sz w:val="24"/>
                <w:szCs w:val="24"/>
              </w:rPr>
              <w:t>单位：万元、%</w:t>
            </w:r>
          </w:p>
        </w:tc>
      </w:tr>
      <w:tr w:rsidR="00432F41" w:rsidRPr="009A537B" w:rsidTr="001B5773">
        <w:trPr>
          <w:trHeight w:val="270"/>
        </w:trPr>
        <w:tc>
          <w:tcPr>
            <w:tcW w:w="1384" w:type="dxa"/>
            <w:noWrap/>
            <w:hideMark/>
          </w:tcPr>
          <w:p w:rsidR="00432F41" w:rsidRPr="009A537B" w:rsidRDefault="00432F41" w:rsidP="001B5773">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资产</w:t>
            </w:r>
          </w:p>
        </w:tc>
        <w:tc>
          <w:tcPr>
            <w:tcW w:w="1985" w:type="dxa"/>
            <w:noWrap/>
            <w:hideMark/>
          </w:tcPr>
          <w:p w:rsidR="00432F41" w:rsidRPr="009A537B" w:rsidRDefault="00432F41" w:rsidP="001B5773">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余额</w:t>
            </w:r>
          </w:p>
        </w:tc>
        <w:tc>
          <w:tcPr>
            <w:tcW w:w="1134" w:type="dxa"/>
            <w:noWrap/>
            <w:hideMark/>
          </w:tcPr>
          <w:p w:rsidR="00432F41" w:rsidRPr="009A537B" w:rsidRDefault="00432F41" w:rsidP="001B5773">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占比</w:t>
            </w:r>
          </w:p>
        </w:tc>
        <w:tc>
          <w:tcPr>
            <w:tcW w:w="1417" w:type="dxa"/>
            <w:noWrap/>
            <w:hideMark/>
          </w:tcPr>
          <w:p w:rsidR="00432F41" w:rsidRPr="009A537B" w:rsidRDefault="00432F41" w:rsidP="001B5773">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负债</w:t>
            </w:r>
          </w:p>
        </w:tc>
        <w:tc>
          <w:tcPr>
            <w:tcW w:w="1701" w:type="dxa"/>
            <w:noWrap/>
            <w:hideMark/>
          </w:tcPr>
          <w:p w:rsidR="00432F41" w:rsidRPr="009A537B" w:rsidRDefault="00432F41" w:rsidP="001B5773">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余额</w:t>
            </w:r>
          </w:p>
        </w:tc>
        <w:tc>
          <w:tcPr>
            <w:tcW w:w="1155" w:type="dxa"/>
            <w:noWrap/>
            <w:hideMark/>
          </w:tcPr>
          <w:p w:rsidR="00432F41" w:rsidRPr="009A537B" w:rsidRDefault="00432F41" w:rsidP="001B5773">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占比</w:t>
            </w:r>
          </w:p>
        </w:tc>
      </w:tr>
      <w:tr w:rsidR="009A537B" w:rsidRPr="009A537B" w:rsidTr="00F5289D">
        <w:trPr>
          <w:trHeight w:val="270"/>
        </w:trPr>
        <w:tc>
          <w:tcPr>
            <w:tcW w:w="1384"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985" w:type="dxa"/>
            <w:noWrap/>
            <w:vAlign w:val="center"/>
          </w:tcPr>
          <w:p w:rsidR="009A537B" w:rsidRPr="009A537B" w:rsidRDefault="009A537B" w:rsidP="00201991">
            <w:pPr>
              <w:adjustRightInd w:val="0"/>
              <w:snapToGrid w:val="0"/>
              <w:jc w:val="center"/>
              <w:rPr>
                <w:rFonts w:asciiTheme="minorEastAsia" w:hAnsiTheme="minorEastAsia" w:cs="Times New Roman"/>
                <w:sz w:val="28"/>
                <w:szCs w:val="28"/>
              </w:rPr>
            </w:pPr>
          </w:p>
        </w:tc>
        <w:tc>
          <w:tcPr>
            <w:tcW w:w="1134" w:type="dxa"/>
            <w:noWrap/>
            <w:vAlign w:val="center"/>
          </w:tcPr>
          <w:p w:rsidR="009A537B" w:rsidRPr="009A537B" w:rsidRDefault="009A537B" w:rsidP="009A537B">
            <w:pPr>
              <w:adjustRightInd w:val="0"/>
              <w:snapToGrid w:val="0"/>
              <w:jc w:val="center"/>
              <w:rPr>
                <w:rFonts w:asciiTheme="minorEastAsia" w:hAnsiTheme="minorEastAsia" w:cs="Times New Roman"/>
                <w:sz w:val="28"/>
                <w:szCs w:val="28"/>
              </w:rPr>
            </w:pPr>
          </w:p>
        </w:tc>
        <w:tc>
          <w:tcPr>
            <w:tcW w:w="1417" w:type="dxa"/>
            <w:noWrap/>
            <w:vAlign w:val="center"/>
          </w:tcPr>
          <w:p w:rsidR="009A537B" w:rsidRPr="009A537B" w:rsidRDefault="009A537B" w:rsidP="00E236B4">
            <w:pPr>
              <w:adjustRightInd w:val="0"/>
              <w:snapToGrid w:val="0"/>
              <w:jc w:val="center"/>
              <w:rPr>
                <w:rFonts w:asciiTheme="minorEastAsia" w:hAnsiTheme="minorEastAsia" w:cs="Times New Roman"/>
                <w:sz w:val="28"/>
                <w:szCs w:val="28"/>
              </w:rPr>
            </w:pPr>
          </w:p>
        </w:tc>
        <w:tc>
          <w:tcPr>
            <w:tcW w:w="1701" w:type="dxa"/>
            <w:noWrap/>
            <w:vAlign w:val="center"/>
          </w:tcPr>
          <w:p w:rsidR="009A537B" w:rsidRPr="009A537B" w:rsidRDefault="009A537B" w:rsidP="00E236B4">
            <w:pPr>
              <w:adjustRightInd w:val="0"/>
              <w:snapToGrid w:val="0"/>
              <w:jc w:val="center"/>
              <w:rPr>
                <w:rFonts w:asciiTheme="minorEastAsia" w:hAnsiTheme="minorEastAsia" w:cs="Times New Roman"/>
                <w:sz w:val="28"/>
                <w:szCs w:val="28"/>
              </w:rPr>
            </w:pPr>
          </w:p>
        </w:tc>
        <w:tc>
          <w:tcPr>
            <w:tcW w:w="1155" w:type="dxa"/>
            <w:noWrap/>
            <w:vAlign w:val="center"/>
          </w:tcPr>
          <w:p w:rsidR="009A537B" w:rsidRPr="009A537B" w:rsidRDefault="009A537B" w:rsidP="009A537B">
            <w:pPr>
              <w:adjustRightInd w:val="0"/>
              <w:snapToGrid w:val="0"/>
              <w:jc w:val="center"/>
              <w:rPr>
                <w:rFonts w:asciiTheme="minorEastAsia" w:hAnsiTheme="minorEastAsia" w:cs="Times New Roman"/>
                <w:sz w:val="28"/>
                <w:szCs w:val="28"/>
              </w:rPr>
            </w:pPr>
          </w:p>
        </w:tc>
      </w:tr>
      <w:tr w:rsidR="009A537B" w:rsidRPr="009A537B" w:rsidTr="002075F5">
        <w:trPr>
          <w:trHeight w:val="270"/>
        </w:trPr>
        <w:tc>
          <w:tcPr>
            <w:tcW w:w="1384" w:type="dxa"/>
            <w:noWrap/>
          </w:tcPr>
          <w:p w:rsidR="009A537B" w:rsidRPr="009A537B" w:rsidRDefault="009A537B" w:rsidP="002075F5">
            <w:pPr>
              <w:adjustRightInd w:val="0"/>
              <w:snapToGrid w:val="0"/>
              <w:jc w:val="center"/>
              <w:rPr>
                <w:rFonts w:asciiTheme="minorEastAsia" w:hAnsiTheme="minorEastAsia" w:cs="Times New Roman"/>
                <w:sz w:val="28"/>
                <w:szCs w:val="28"/>
              </w:rPr>
            </w:pPr>
          </w:p>
        </w:tc>
        <w:tc>
          <w:tcPr>
            <w:tcW w:w="1985" w:type="dxa"/>
            <w:noWrap/>
            <w:vAlign w:val="center"/>
          </w:tcPr>
          <w:p w:rsidR="009A537B" w:rsidRPr="009A537B" w:rsidRDefault="009A537B" w:rsidP="002075F5">
            <w:pPr>
              <w:adjustRightInd w:val="0"/>
              <w:snapToGrid w:val="0"/>
              <w:jc w:val="center"/>
              <w:rPr>
                <w:rFonts w:asciiTheme="minorEastAsia" w:hAnsiTheme="minorEastAsia" w:cs="Times New Roman"/>
                <w:sz w:val="28"/>
                <w:szCs w:val="28"/>
              </w:rPr>
            </w:pPr>
          </w:p>
        </w:tc>
        <w:tc>
          <w:tcPr>
            <w:tcW w:w="1134" w:type="dxa"/>
            <w:noWrap/>
            <w:vAlign w:val="center"/>
          </w:tcPr>
          <w:p w:rsidR="009A537B" w:rsidRPr="009A537B" w:rsidRDefault="009A537B" w:rsidP="009A537B">
            <w:pPr>
              <w:adjustRightInd w:val="0"/>
              <w:snapToGrid w:val="0"/>
              <w:jc w:val="center"/>
              <w:rPr>
                <w:rFonts w:asciiTheme="minorEastAsia" w:hAnsiTheme="minorEastAsia" w:cs="Times New Roman"/>
                <w:sz w:val="28"/>
                <w:szCs w:val="28"/>
              </w:rPr>
            </w:pPr>
          </w:p>
        </w:tc>
        <w:tc>
          <w:tcPr>
            <w:tcW w:w="1417" w:type="dxa"/>
            <w:noWrap/>
            <w:vAlign w:val="center"/>
          </w:tcPr>
          <w:p w:rsidR="009A537B" w:rsidRPr="009A537B" w:rsidRDefault="009A537B" w:rsidP="00E13056">
            <w:pPr>
              <w:adjustRightInd w:val="0"/>
              <w:snapToGrid w:val="0"/>
              <w:jc w:val="center"/>
              <w:rPr>
                <w:rFonts w:asciiTheme="minorEastAsia" w:hAnsiTheme="minorEastAsia" w:cs="Times New Roman"/>
                <w:sz w:val="28"/>
                <w:szCs w:val="28"/>
              </w:rPr>
            </w:pPr>
          </w:p>
        </w:tc>
        <w:tc>
          <w:tcPr>
            <w:tcW w:w="1701" w:type="dxa"/>
            <w:noWrap/>
            <w:vAlign w:val="center"/>
          </w:tcPr>
          <w:p w:rsidR="009A537B" w:rsidRPr="009A537B" w:rsidRDefault="009A537B" w:rsidP="00867012">
            <w:pPr>
              <w:adjustRightInd w:val="0"/>
              <w:snapToGrid w:val="0"/>
              <w:jc w:val="center"/>
              <w:rPr>
                <w:rFonts w:asciiTheme="minorEastAsia" w:hAnsiTheme="minorEastAsia" w:cs="Times New Roman"/>
                <w:sz w:val="28"/>
                <w:szCs w:val="28"/>
              </w:rPr>
            </w:pPr>
          </w:p>
        </w:tc>
        <w:tc>
          <w:tcPr>
            <w:tcW w:w="1155" w:type="dxa"/>
            <w:noWrap/>
            <w:vAlign w:val="center"/>
          </w:tcPr>
          <w:p w:rsidR="009A537B" w:rsidRPr="009A537B" w:rsidRDefault="009A537B" w:rsidP="009A537B">
            <w:pPr>
              <w:adjustRightInd w:val="0"/>
              <w:snapToGrid w:val="0"/>
              <w:jc w:val="center"/>
              <w:rPr>
                <w:rFonts w:asciiTheme="minorEastAsia" w:hAnsiTheme="minorEastAsia" w:cs="Times New Roman"/>
                <w:sz w:val="28"/>
                <w:szCs w:val="28"/>
              </w:rPr>
            </w:pPr>
          </w:p>
        </w:tc>
      </w:tr>
      <w:tr w:rsidR="001F624B" w:rsidRPr="009A537B" w:rsidTr="002075F5">
        <w:trPr>
          <w:trHeight w:val="270"/>
        </w:trPr>
        <w:tc>
          <w:tcPr>
            <w:tcW w:w="1384" w:type="dxa"/>
            <w:noWrap/>
          </w:tcPr>
          <w:p w:rsidR="001F624B" w:rsidRPr="009A537B" w:rsidRDefault="001F624B" w:rsidP="002075F5">
            <w:pPr>
              <w:adjustRightInd w:val="0"/>
              <w:snapToGrid w:val="0"/>
              <w:jc w:val="center"/>
              <w:rPr>
                <w:rFonts w:asciiTheme="minorEastAsia" w:hAnsiTheme="minorEastAsia" w:cs="Times New Roman"/>
                <w:sz w:val="28"/>
                <w:szCs w:val="28"/>
              </w:rPr>
            </w:pPr>
          </w:p>
        </w:tc>
        <w:tc>
          <w:tcPr>
            <w:tcW w:w="1985" w:type="dxa"/>
            <w:noWrap/>
            <w:vAlign w:val="center"/>
          </w:tcPr>
          <w:p w:rsidR="001F624B" w:rsidRPr="009A537B" w:rsidRDefault="001F624B" w:rsidP="00E13056">
            <w:pPr>
              <w:adjustRightInd w:val="0"/>
              <w:snapToGrid w:val="0"/>
              <w:jc w:val="center"/>
              <w:rPr>
                <w:rFonts w:asciiTheme="minorEastAsia" w:hAnsiTheme="minorEastAsia" w:cs="Times New Roman"/>
                <w:sz w:val="28"/>
                <w:szCs w:val="28"/>
              </w:rPr>
            </w:pPr>
          </w:p>
        </w:tc>
        <w:tc>
          <w:tcPr>
            <w:tcW w:w="1134" w:type="dxa"/>
            <w:noWrap/>
            <w:vAlign w:val="center"/>
          </w:tcPr>
          <w:p w:rsidR="001F624B" w:rsidRPr="009A537B" w:rsidRDefault="001F624B" w:rsidP="009A537B">
            <w:pPr>
              <w:adjustRightInd w:val="0"/>
              <w:snapToGrid w:val="0"/>
              <w:jc w:val="center"/>
              <w:rPr>
                <w:rFonts w:asciiTheme="minorEastAsia" w:hAnsiTheme="minorEastAsia" w:cs="Times New Roman"/>
                <w:sz w:val="28"/>
                <w:szCs w:val="28"/>
              </w:rPr>
            </w:pPr>
          </w:p>
        </w:tc>
        <w:tc>
          <w:tcPr>
            <w:tcW w:w="1417" w:type="dxa"/>
            <w:noWrap/>
            <w:vAlign w:val="center"/>
          </w:tcPr>
          <w:p w:rsidR="001F624B" w:rsidRPr="009A537B" w:rsidRDefault="001F624B" w:rsidP="005434E1">
            <w:pPr>
              <w:adjustRightInd w:val="0"/>
              <w:snapToGrid w:val="0"/>
              <w:jc w:val="center"/>
              <w:rPr>
                <w:rFonts w:asciiTheme="minorEastAsia" w:hAnsiTheme="minorEastAsia" w:cs="Times New Roman"/>
                <w:sz w:val="28"/>
                <w:szCs w:val="28"/>
              </w:rPr>
            </w:pPr>
          </w:p>
        </w:tc>
        <w:tc>
          <w:tcPr>
            <w:tcW w:w="1701" w:type="dxa"/>
            <w:noWrap/>
            <w:vAlign w:val="center"/>
          </w:tcPr>
          <w:p w:rsidR="001F624B" w:rsidRPr="009A537B" w:rsidRDefault="001F624B" w:rsidP="005434E1">
            <w:pPr>
              <w:adjustRightInd w:val="0"/>
              <w:snapToGrid w:val="0"/>
              <w:jc w:val="center"/>
              <w:rPr>
                <w:rFonts w:asciiTheme="minorEastAsia" w:hAnsiTheme="minorEastAsia" w:cs="Times New Roman"/>
                <w:sz w:val="28"/>
                <w:szCs w:val="28"/>
              </w:rPr>
            </w:pPr>
          </w:p>
        </w:tc>
        <w:tc>
          <w:tcPr>
            <w:tcW w:w="1155" w:type="dxa"/>
            <w:noWrap/>
            <w:vAlign w:val="center"/>
          </w:tcPr>
          <w:p w:rsidR="001F624B" w:rsidRPr="009A537B" w:rsidRDefault="001F624B" w:rsidP="009A537B">
            <w:pPr>
              <w:adjustRightInd w:val="0"/>
              <w:snapToGrid w:val="0"/>
              <w:jc w:val="center"/>
              <w:rPr>
                <w:rFonts w:asciiTheme="minorEastAsia" w:hAnsiTheme="minorEastAsia" w:cs="Times New Roman"/>
                <w:sz w:val="28"/>
                <w:szCs w:val="28"/>
              </w:rPr>
            </w:pPr>
          </w:p>
        </w:tc>
      </w:tr>
      <w:tr w:rsidR="001F624B" w:rsidRPr="009A537B" w:rsidTr="002075F5">
        <w:trPr>
          <w:trHeight w:val="270"/>
        </w:trPr>
        <w:tc>
          <w:tcPr>
            <w:tcW w:w="1384" w:type="dxa"/>
            <w:noWrap/>
          </w:tcPr>
          <w:p w:rsidR="001F624B" w:rsidRPr="009A537B" w:rsidRDefault="001F624B" w:rsidP="002075F5">
            <w:pPr>
              <w:adjustRightInd w:val="0"/>
              <w:snapToGrid w:val="0"/>
              <w:jc w:val="center"/>
              <w:rPr>
                <w:rFonts w:asciiTheme="minorEastAsia" w:hAnsiTheme="minorEastAsia" w:cs="Times New Roman"/>
                <w:sz w:val="28"/>
                <w:szCs w:val="28"/>
              </w:rPr>
            </w:pPr>
          </w:p>
        </w:tc>
        <w:tc>
          <w:tcPr>
            <w:tcW w:w="1985" w:type="dxa"/>
            <w:noWrap/>
            <w:vAlign w:val="center"/>
          </w:tcPr>
          <w:p w:rsidR="001F624B" w:rsidRPr="009A537B" w:rsidRDefault="001F624B" w:rsidP="00E13056">
            <w:pPr>
              <w:adjustRightInd w:val="0"/>
              <w:snapToGrid w:val="0"/>
              <w:jc w:val="center"/>
              <w:rPr>
                <w:rFonts w:asciiTheme="minorEastAsia" w:hAnsiTheme="minorEastAsia" w:cs="Times New Roman"/>
                <w:sz w:val="28"/>
                <w:szCs w:val="28"/>
              </w:rPr>
            </w:pPr>
          </w:p>
        </w:tc>
        <w:tc>
          <w:tcPr>
            <w:tcW w:w="1134" w:type="dxa"/>
            <w:noWrap/>
            <w:vAlign w:val="center"/>
          </w:tcPr>
          <w:p w:rsidR="001F624B" w:rsidRPr="009A537B" w:rsidRDefault="001F624B" w:rsidP="009A537B">
            <w:pPr>
              <w:adjustRightInd w:val="0"/>
              <w:snapToGrid w:val="0"/>
              <w:jc w:val="center"/>
              <w:rPr>
                <w:rFonts w:asciiTheme="minorEastAsia" w:hAnsiTheme="minorEastAsia" w:cs="Times New Roman"/>
                <w:sz w:val="28"/>
                <w:szCs w:val="28"/>
              </w:rPr>
            </w:pPr>
          </w:p>
        </w:tc>
        <w:tc>
          <w:tcPr>
            <w:tcW w:w="1417" w:type="dxa"/>
            <w:noWrap/>
            <w:vAlign w:val="center"/>
          </w:tcPr>
          <w:p w:rsidR="001F624B" w:rsidRPr="009A537B" w:rsidRDefault="001F624B" w:rsidP="005434E1">
            <w:pPr>
              <w:adjustRightInd w:val="0"/>
              <w:snapToGrid w:val="0"/>
              <w:jc w:val="center"/>
              <w:rPr>
                <w:rFonts w:asciiTheme="minorEastAsia" w:hAnsiTheme="minorEastAsia" w:cs="Times New Roman"/>
                <w:sz w:val="28"/>
                <w:szCs w:val="28"/>
              </w:rPr>
            </w:pPr>
          </w:p>
        </w:tc>
        <w:tc>
          <w:tcPr>
            <w:tcW w:w="1701" w:type="dxa"/>
            <w:noWrap/>
            <w:vAlign w:val="center"/>
          </w:tcPr>
          <w:p w:rsidR="001F624B" w:rsidRPr="009A537B" w:rsidRDefault="001F624B" w:rsidP="005434E1">
            <w:pPr>
              <w:adjustRightInd w:val="0"/>
              <w:snapToGrid w:val="0"/>
              <w:jc w:val="center"/>
              <w:rPr>
                <w:rFonts w:asciiTheme="minorEastAsia" w:hAnsiTheme="minorEastAsia" w:cs="Times New Roman"/>
                <w:sz w:val="28"/>
                <w:szCs w:val="28"/>
              </w:rPr>
            </w:pPr>
          </w:p>
        </w:tc>
        <w:tc>
          <w:tcPr>
            <w:tcW w:w="1155" w:type="dxa"/>
            <w:noWrap/>
            <w:vAlign w:val="center"/>
          </w:tcPr>
          <w:p w:rsidR="001F624B" w:rsidRPr="009A537B" w:rsidRDefault="001F624B" w:rsidP="009A537B">
            <w:pPr>
              <w:adjustRightInd w:val="0"/>
              <w:snapToGrid w:val="0"/>
              <w:jc w:val="center"/>
              <w:rPr>
                <w:rFonts w:asciiTheme="minorEastAsia" w:hAnsiTheme="minorEastAsia" w:cs="Times New Roman"/>
                <w:sz w:val="28"/>
                <w:szCs w:val="28"/>
              </w:rPr>
            </w:pPr>
          </w:p>
        </w:tc>
      </w:tr>
      <w:tr w:rsidR="001F624B" w:rsidRPr="009A537B" w:rsidTr="002075F5">
        <w:trPr>
          <w:trHeight w:val="270"/>
        </w:trPr>
        <w:tc>
          <w:tcPr>
            <w:tcW w:w="1384" w:type="dxa"/>
            <w:noWrap/>
          </w:tcPr>
          <w:p w:rsidR="001F624B" w:rsidRPr="009A537B" w:rsidRDefault="001F624B" w:rsidP="002075F5">
            <w:pPr>
              <w:adjustRightInd w:val="0"/>
              <w:snapToGrid w:val="0"/>
              <w:jc w:val="center"/>
              <w:rPr>
                <w:rFonts w:asciiTheme="minorEastAsia" w:hAnsiTheme="minorEastAsia" w:cs="Times New Roman"/>
                <w:sz w:val="28"/>
                <w:szCs w:val="28"/>
              </w:rPr>
            </w:pPr>
          </w:p>
        </w:tc>
        <w:tc>
          <w:tcPr>
            <w:tcW w:w="1985" w:type="dxa"/>
            <w:noWrap/>
            <w:vAlign w:val="center"/>
          </w:tcPr>
          <w:p w:rsidR="001F624B" w:rsidRPr="009A537B" w:rsidRDefault="001F624B" w:rsidP="00E13056">
            <w:pPr>
              <w:adjustRightInd w:val="0"/>
              <w:snapToGrid w:val="0"/>
              <w:jc w:val="center"/>
              <w:rPr>
                <w:rFonts w:asciiTheme="minorEastAsia" w:hAnsiTheme="minorEastAsia" w:cs="Times New Roman"/>
                <w:sz w:val="28"/>
                <w:szCs w:val="28"/>
              </w:rPr>
            </w:pPr>
          </w:p>
        </w:tc>
        <w:tc>
          <w:tcPr>
            <w:tcW w:w="1134" w:type="dxa"/>
            <w:noWrap/>
            <w:vAlign w:val="center"/>
          </w:tcPr>
          <w:p w:rsidR="001F624B" w:rsidRPr="009A537B" w:rsidRDefault="001F624B" w:rsidP="009A537B">
            <w:pPr>
              <w:adjustRightInd w:val="0"/>
              <w:snapToGrid w:val="0"/>
              <w:jc w:val="center"/>
              <w:rPr>
                <w:rFonts w:asciiTheme="minorEastAsia" w:hAnsiTheme="minorEastAsia" w:cs="Times New Roman"/>
                <w:sz w:val="28"/>
                <w:szCs w:val="28"/>
              </w:rPr>
            </w:pPr>
          </w:p>
        </w:tc>
        <w:tc>
          <w:tcPr>
            <w:tcW w:w="1417" w:type="dxa"/>
            <w:noWrap/>
            <w:vAlign w:val="center"/>
          </w:tcPr>
          <w:p w:rsidR="001F624B" w:rsidRPr="009A537B" w:rsidRDefault="001F624B" w:rsidP="005434E1">
            <w:pPr>
              <w:adjustRightInd w:val="0"/>
              <w:snapToGrid w:val="0"/>
              <w:jc w:val="center"/>
              <w:rPr>
                <w:rFonts w:asciiTheme="minorEastAsia" w:hAnsiTheme="minorEastAsia" w:cs="Times New Roman"/>
                <w:sz w:val="28"/>
                <w:szCs w:val="28"/>
              </w:rPr>
            </w:pPr>
          </w:p>
        </w:tc>
        <w:tc>
          <w:tcPr>
            <w:tcW w:w="1701" w:type="dxa"/>
            <w:noWrap/>
            <w:vAlign w:val="center"/>
          </w:tcPr>
          <w:p w:rsidR="001F624B" w:rsidRPr="009A537B" w:rsidRDefault="001F624B" w:rsidP="005434E1">
            <w:pPr>
              <w:adjustRightInd w:val="0"/>
              <w:snapToGrid w:val="0"/>
              <w:jc w:val="center"/>
              <w:rPr>
                <w:rFonts w:asciiTheme="minorEastAsia" w:hAnsiTheme="minorEastAsia" w:cs="Times New Roman"/>
                <w:sz w:val="28"/>
                <w:szCs w:val="28"/>
              </w:rPr>
            </w:pPr>
          </w:p>
        </w:tc>
        <w:tc>
          <w:tcPr>
            <w:tcW w:w="1155" w:type="dxa"/>
            <w:noWrap/>
            <w:vAlign w:val="center"/>
          </w:tcPr>
          <w:p w:rsidR="001F624B" w:rsidRPr="009A537B" w:rsidRDefault="001F624B" w:rsidP="009A537B">
            <w:pPr>
              <w:adjustRightInd w:val="0"/>
              <w:snapToGrid w:val="0"/>
              <w:jc w:val="center"/>
              <w:rPr>
                <w:rFonts w:asciiTheme="minorEastAsia" w:hAnsiTheme="minorEastAsia" w:cs="Times New Roman"/>
                <w:sz w:val="28"/>
                <w:szCs w:val="28"/>
              </w:rPr>
            </w:pPr>
          </w:p>
        </w:tc>
      </w:tr>
      <w:tr w:rsidR="001F624B" w:rsidRPr="009A537B" w:rsidTr="002075F5">
        <w:trPr>
          <w:trHeight w:val="270"/>
        </w:trPr>
        <w:tc>
          <w:tcPr>
            <w:tcW w:w="1384" w:type="dxa"/>
            <w:noWrap/>
          </w:tcPr>
          <w:p w:rsidR="001F624B" w:rsidRPr="009A537B" w:rsidRDefault="001F624B" w:rsidP="002075F5">
            <w:pPr>
              <w:adjustRightInd w:val="0"/>
              <w:snapToGrid w:val="0"/>
              <w:jc w:val="center"/>
              <w:rPr>
                <w:rFonts w:asciiTheme="minorEastAsia" w:hAnsiTheme="minorEastAsia" w:cs="Times New Roman"/>
                <w:sz w:val="28"/>
                <w:szCs w:val="28"/>
              </w:rPr>
            </w:pPr>
          </w:p>
        </w:tc>
        <w:tc>
          <w:tcPr>
            <w:tcW w:w="1985" w:type="dxa"/>
            <w:noWrap/>
            <w:vAlign w:val="center"/>
          </w:tcPr>
          <w:p w:rsidR="001F624B" w:rsidRPr="009A537B" w:rsidRDefault="001F624B" w:rsidP="00E13056">
            <w:pPr>
              <w:adjustRightInd w:val="0"/>
              <w:snapToGrid w:val="0"/>
              <w:jc w:val="center"/>
              <w:rPr>
                <w:rFonts w:asciiTheme="minorEastAsia" w:hAnsiTheme="minorEastAsia" w:cs="Times New Roman"/>
                <w:sz w:val="28"/>
                <w:szCs w:val="28"/>
              </w:rPr>
            </w:pPr>
          </w:p>
        </w:tc>
        <w:tc>
          <w:tcPr>
            <w:tcW w:w="1134" w:type="dxa"/>
            <w:noWrap/>
            <w:vAlign w:val="center"/>
          </w:tcPr>
          <w:p w:rsidR="001F624B" w:rsidRPr="009A537B" w:rsidRDefault="001F624B" w:rsidP="009A537B">
            <w:pPr>
              <w:adjustRightInd w:val="0"/>
              <w:snapToGrid w:val="0"/>
              <w:jc w:val="center"/>
              <w:rPr>
                <w:rFonts w:asciiTheme="minorEastAsia" w:hAnsiTheme="minorEastAsia" w:cs="Times New Roman"/>
                <w:sz w:val="28"/>
                <w:szCs w:val="28"/>
              </w:rPr>
            </w:pPr>
          </w:p>
        </w:tc>
        <w:tc>
          <w:tcPr>
            <w:tcW w:w="1417" w:type="dxa"/>
            <w:noWrap/>
            <w:vAlign w:val="center"/>
          </w:tcPr>
          <w:p w:rsidR="001F624B" w:rsidRPr="009A537B" w:rsidRDefault="001F624B" w:rsidP="005434E1">
            <w:pPr>
              <w:adjustRightInd w:val="0"/>
              <w:snapToGrid w:val="0"/>
              <w:jc w:val="center"/>
              <w:rPr>
                <w:rFonts w:asciiTheme="minorEastAsia" w:hAnsiTheme="minorEastAsia" w:cs="Times New Roman"/>
                <w:sz w:val="28"/>
                <w:szCs w:val="28"/>
              </w:rPr>
            </w:pPr>
          </w:p>
        </w:tc>
        <w:tc>
          <w:tcPr>
            <w:tcW w:w="1701" w:type="dxa"/>
            <w:noWrap/>
            <w:vAlign w:val="center"/>
          </w:tcPr>
          <w:p w:rsidR="001F624B" w:rsidRPr="009A537B" w:rsidRDefault="001F624B" w:rsidP="005434E1">
            <w:pPr>
              <w:adjustRightInd w:val="0"/>
              <w:snapToGrid w:val="0"/>
              <w:jc w:val="center"/>
              <w:rPr>
                <w:rFonts w:asciiTheme="minorEastAsia" w:hAnsiTheme="minorEastAsia" w:cs="Times New Roman"/>
                <w:sz w:val="28"/>
                <w:szCs w:val="28"/>
              </w:rPr>
            </w:pPr>
          </w:p>
        </w:tc>
        <w:tc>
          <w:tcPr>
            <w:tcW w:w="1155" w:type="dxa"/>
            <w:noWrap/>
            <w:vAlign w:val="center"/>
          </w:tcPr>
          <w:p w:rsidR="001F624B" w:rsidRPr="009A537B" w:rsidRDefault="001F624B" w:rsidP="009A537B">
            <w:pPr>
              <w:adjustRightInd w:val="0"/>
              <w:snapToGrid w:val="0"/>
              <w:jc w:val="center"/>
              <w:rPr>
                <w:rFonts w:asciiTheme="minorEastAsia" w:hAnsiTheme="minorEastAsia" w:cs="Times New Roman"/>
                <w:sz w:val="28"/>
                <w:szCs w:val="28"/>
              </w:rPr>
            </w:pPr>
          </w:p>
        </w:tc>
      </w:tr>
      <w:tr w:rsidR="001F624B" w:rsidRPr="009A537B" w:rsidTr="002075F5">
        <w:trPr>
          <w:trHeight w:val="270"/>
        </w:trPr>
        <w:tc>
          <w:tcPr>
            <w:tcW w:w="1384" w:type="dxa"/>
            <w:noWrap/>
          </w:tcPr>
          <w:p w:rsidR="001F624B" w:rsidRPr="009A537B" w:rsidRDefault="001F624B" w:rsidP="002075F5">
            <w:pPr>
              <w:adjustRightInd w:val="0"/>
              <w:snapToGrid w:val="0"/>
              <w:jc w:val="center"/>
              <w:rPr>
                <w:rFonts w:asciiTheme="minorEastAsia" w:hAnsiTheme="minorEastAsia" w:cs="Times New Roman"/>
                <w:sz w:val="28"/>
                <w:szCs w:val="28"/>
              </w:rPr>
            </w:pPr>
          </w:p>
        </w:tc>
        <w:tc>
          <w:tcPr>
            <w:tcW w:w="1985" w:type="dxa"/>
            <w:noWrap/>
            <w:vAlign w:val="center"/>
          </w:tcPr>
          <w:p w:rsidR="001F624B" w:rsidRPr="009A537B" w:rsidRDefault="001F624B" w:rsidP="00E13056">
            <w:pPr>
              <w:adjustRightInd w:val="0"/>
              <w:snapToGrid w:val="0"/>
              <w:jc w:val="center"/>
              <w:rPr>
                <w:rFonts w:asciiTheme="minorEastAsia" w:hAnsiTheme="minorEastAsia" w:cs="Times New Roman"/>
                <w:sz w:val="28"/>
                <w:szCs w:val="28"/>
              </w:rPr>
            </w:pPr>
          </w:p>
        </w:tc>
        <w:tc>
          <w:tcPr>
            <w:tcW w:w="1134" w:type="dxa"/>
            <w:noWrap/>
            <w:vAlign w:val="center"/>
          </w:tcPr>
          <w:p w:rsidR="001F624B" w:rsidRPr="009A537B" w:rsidRDefault="001F624B" w:rsidP="009A537B">
            <w:pPr>
              <w:adjustRightInd w:val="0"/>
              <w:snapToGrid w:val="0"/>
              <w:jc w:val="center"/>
              <w:rPr>
                <w:rFonts w:asciiTheme="minorEastAsia" w:hAnsiTheme="minorEastAsia" w:cs="Times New Roman"/>
                <w:sz w:val="28"/>
                <w:szCs w:val="28"/>
              </w:rPr>
            </w:pPr>
          </w:p>
        </w:tc>
        <w:tc>
          <w:tcPr>
            <w:tcW w:w="1417" w:type="dxa"/>
            <w:noWrap/>
            <w:vAlign w:val="center"/>
          </w:tcPr>
          <w:p w:rsidR="001F624B" w:rsidRPr="009A537B" w:rsidRDefault="001F624B" w:rsidP="005434E1">
            <w:pPr>
              <w:adjustRightInd w:val="0"/>
              <w:snapToGrid w:val="0"/>
              <w:jc w:val="center"/>
              <w:rPr>
                <w:rFonts w:asciiTheme="minorEastAsia" w:hAnsiTheme="minorEastAsia" w:cs="Times New Roman"/>
                <w:sz w:val="28"/>
                <w:szCs w:val="28"/>
              </w:rPr>
            </w:pPr>
          </w:p>
        </w:tc>
        <w:tc>
          <w:tcPr>
            <w:tcW w:w="1701" w:type="dxa"/>
            <w:noWrap/>
            <w:vAlign w:val="center"/>
          </w:tcPr>
          <w:p w:rsidR="001F624B" w:rsidRPr="009A537B" w:rsidRDefault="001F624B" w:rsidP="005434E1">
            <w:pPr>
              <w:adjustRightInd w:val="0"/>
              <w:snapToGrid w:val="0"/>
              <w:jc w:val="center"/>
              <w:rPr>
                <w:rFonts w:asciiTheme="minorEastAsia" w:hAnsiTheme="minorEastAsia" w:cs="Times New Roman"/>
                <w:sz w:val="28"/>
                <w:szCs w:val="28"/>
              </w:rPr>
            </w:pPr>
          </w:p>
        </w:tc>
        <w:tc>
          <w:tcPr>
            <w:tcW w:w="1155" w:type="dxa"/>
            <w:noWrap/>
            <w:vAlign w:val="center"/>
          </w:tcPr>
          <w:p w:rsidR="001F624B" w:rsidRPr="009A537B" w:rsidRDefault="001F624B" w:rsidP="009A537B">
            <w:pPr>
              <w:adjustRightInd w:val="0"/>
              <w:snapToGrid w:val="0"/>
              <w:jc w:val="center"/>
              <w:rPr>
                <w:rFonts w:asciiTheme="minorEastAsia" w:hAnsiTheme="minorEastAsia" w:cs="Times New Roman"/>
                <w:sz w:val="28"/>
                <w:szCs w:val="28"/>
              </w:rPr>
            </w:pPr>
          </w:p>
        </w:tc>
      </w:tr>
      <w:tr w:rsidR="001F624B" w:rsidRPr="009A537B" w:rsidTr="002075F5">
        <w:trPr>
          <w:trHeight w:val="270"/>
        </w:trPr>
        <w:tc>
          <w:tcPr>
            <w:tcW w:w="1384" w:type="dxa"/>
            <w:noWrap/>
          </w:tcPr>
          <w:p w:rsidR="001F624B" w:rsidRPr="009A537B" w:rsidRDefault="001F624B" w:rsidP="002075F5">
            <w:pPr>
              <w:adjustRightInd w:val="0"/>
              <w:snapToGrid w:val="0"/>
              <w:jc w:val="center"/>
              <w:rPr>
                <w:rFonts w:asciiTheme="minorEastAsia" w:hAnsiTheme="minorEastAsia" w:cs="Times New Roman"/>
                <w:sz w:val="28"/>
                <w:szCs w:val="28"/>
              </w:rPr>
            </w:pPr>
          </w:p>
        </w:tc>
        <w:tc>
          <w:tcPr>
            <w:tcW w:w="1985" w:type="dxa"/>
            <w:noWrap/>
            <w:vAlign w:val="center"/>
          </w:tcPr>
          <w:p w:rsidR="001F624B" w:rsidRPr="009A537B" w:rsidRDefault="001F624B" w:rsidP="00E13056">
            <w:pPr>
              <w:adjustRightInd w:val="0"/>
              <w:snapToGrid w:val="0"/>
              <w:jc w:val="center"/>
              <w:rPr>
                <w:rFonts w:asciiTheme="minorEastAsia" w:hAnsiTheme="minorEastAsia" w:cs="Times New Roman"/>
                <w:sz w:val="28"/>
                <w:szCs w:val="28"/>
              </w:rPr>
            </w:pPr>
          </w:p>
        </w:tc>
        <w:tc>
          <w:tcPr>
            <w:tcW w:w="1134" w:type="dxa"/>
            <w:noWrap/>
            <w:vAlign w:val="center"/>
          </w:tcPr>
          <w:p w:rsidR="001F624B" w:rsidRPr="009A537B" w:rsidRDefault="001F624B" w:rsidP="009A537B">
            <w:pPr>
              <w:adjustRightInd w:val="0"/>
              <w:snapToGrid w:val="0"/>
              <w:jc w:val="center"/>
              <w:rPr>
                <w:rFonts w:asciiTheme="minorEastAsia" w:hAnsiTheme="minorEastAsia" w:cs="Times New Roman"/>
                <w:sz w:val="28"/>
                <w:szCs w:val="28"/>
              </w:rPr>
            </w:pPr>
          </w:p>
        </w:tc>
        <w:tc>
          <w:tcPr>
            <w:tcW w:w="1417" w:type="dxa"/>
            <w:noWrap/>
            <w:vAlign w:val="center"/>
          </w:tcPr>
          <w:p w:rsidR="001F624B" w:rsidRPr="009A537B" w:rsidRDefault="001F624B" w:rsidP="005434E1">
            <w:pPr>
              <w:adjustRightInd w:val="0"/>
              <w:snapToGrid w:val="0"/>
              <w:jc w:val="center"/>
              <w:rPr>
                <w:rFonts w:asciiTheme="minorEastAsia" w:hAnsiTheme="minorEastAsia" w:cs="Times New Roman"/>
                <w:sz w:val="28"/>
                <w:szCs w:val="28"/>
              </w:rPr>
            </w:pPr>
          </w:p>
        </w:tc>
        <w:tc>
          <w:tcPr>
            <w:tcW w:w="1701" w:type="dxa"/>
            <w:noWrap/>
            <w:vAlign w:val="center"/>
          </w:tcPr>
          <w:p w:rsidR="001F624B" w:rsidRPr="009A537B" w:rsidRDefault="001F624B" w:rsidP="005434E1">
            <w:pPr>
              <w:adjustRightInd w:val="0"/>
              <w:snapToGrid w:val="0"/>
              <w:jc w:val="center"/>
              <w:rPr>
                <w:rFonts w:asciiTheme="minorEastAsia" w:hAnsiTheme="minorEastAsia" w:cs="Times New Roman"/>
                <w:sz w:val="28"/>
                <w:szCs w:val="28"/>
              </w:rPr>
            </w:pPr>
          </w:p>
        </w:tc>
        <w:tc>
          <w:tcPr>
            <w:tcW w:w="1155" w:type="dxa"/>
            <w:noWrap/>
            <w:vAlign w:val="center"/>
          </w:tcPr>
          <w:p w:rsidR="001F624B" w:rsidRPr="009A537B" w:rsidRDefault="001F624B" w:rsidP="009A537B">
            <w:pPr>
              <w:adjustRightInd w:val="0"/>
              <w:snapToGrid w:val="0"/>
              <w:jc w:val="center"/>
              <w:rPr>
                <w:rFonts w:asciiTheme="minorEastAsia" w:hAnsiTheme="minorEastAsia" w:cs="Times New Roman"/>
                <w:sz w:val="28"/>
                <w:szCs w:val="28"/>
              </w:rPr>
            </w:pPr>
          </w:p>
        </w:tc>
      </w:tr>
      <w:tr w:rsidR="009A537B" w:rsidRPr="009A537B" w:rsidTr="002075F5">
        <w:trPr>
          <w:trHeight w:val="270"/>
        </w:trPr>
        <w:tc>
          <w:tcPr>
            <w:tcW w:w="1384" w:type="dxa"/>
            <w:noWrap/>
          </w:tcPr>
          <w:p w:rsidR="009A537B" w:rsidRPr="009A537B" w:rsidRDefault="009A537B" w:rsidP="002075F5">
            <w:pPr>
              <w:adjustRightInd w:val="0"/>
              <w:snapToGrid w:val="0"/>
              <w:jc w:val="center"/>
              <w:rPr>
                <w:rFonts w:asciiTheme="minorEastAsia" w:hAnsiTheme="minorEastAsia" w:cs="Times New Roman"/>
                <w:sz w:val="28"/>
                <w:szCs w:val="28"/>
              </w:rPr>
            </w:pPr>
          </w:p>
        </w:tc>
        <w:tc>
          <w:tcPr>
            <w:tcW w:w="1985" w:type="dxa"/>
            <w:noWrap/>
            <w:vAlign w:val="center"/>
          </w:tcPr>
          <w:p w:rsidR="009A537B" w:rsidRPr="009A537B" w:rsidRDefault="009A537B" w:rsidP="00E13056">
            <w:pPr>
              <w:adjustRightInd w:val="0"/>
              <w:snapToGrid w:val="0"/>
              <w:jc w:val="center"/>
              <w:rPr>
                <w:rFonts w:asciiTheme="minorEastAsia" w:hAnsiTheme="minorEastAsia" w:cs="Times New Roman"/>
                <w:sz w:val="28"/>
                <w:szCs w:val="28"/>
              </w:rPr>
            </w:pPr>
          </w:p>
        </w:tc>
        <w:tc>
          <w:tcPr>
            <w:tcW w:w="1134" w:type="dxa"/>
            <w:noWrap/>
            <w:vAlign w:val="center"/>
          </w:tcPr>
          <w:p w:rsidR="009A537B" w:rsidRPr="009A537B" w:rsidRDefault="009A537B" w:rsidP="009A537B">
            <w:pPr>
              <w:adjustRightInd w:val="0"/>
              <w:snapToGrid w:val="0"/>
              <w:jc w:val="center"/>
              <w:rPr>
                <w:rFonts w:asciiTheme="minorEastAsia" w:hAnsiTheme="minorEastAsia" w:cs="Times New Roman"/>
                <w:sz w:val="28"/>
                <w:szCs w:val="28"/>
              </w:rPr>
            </w:pPr>
          </w:p>
        </w:tc>
        <w:tc>
          <w:tcPr>
            <w:tcW w:w="1417" w:type="dxa"/>
            <w:noWrap/>
            <w:vAlign w:val="center"/>
          </w:tcPr>
          <w:p w:rsidR="009A537B" w:rsidRPr="009A537B" w:rsidRDefault="009A537B" w:rsidP="005434E1">
            <w:pPr>
              <w:adjustRightInd w:val="0"/>
              <w:snapToGrid w:val="0"/>
              <w:jc w:val="center"/>
              <w:rPr>
                <w:rFonts w:asciiTheme="minorEastAsia" w:hAnsiTheme="minorEastAsia" w:cs="Times New Roman"/>
                <w:sz w:val="28"/>
                <w:szCs w:val="28"/>
              </w:rPr>
            </w:pPr>
          </w:p>
        </w:tc>
        <w:tc>
          <w:tcPr>
            <w:tcW w:w="1701" w:type="dxa"/>
            <w:noWrap/>
            <w:vAlign w:val="center"/>
          </w:tcPr>
          <w:p w:rsidR="009A537B" w:rsidRPr="009A537B" w:rsidRDefault="009A537B" w:rsidP="005434E1">
            <w:pPr>
              <w:adjustRightInd w:val="0"/>
              <w:snapToGrid w:val="0"/>
              <w:jc w:val="center"/>
              <w:rPr>
                <w:rFonts w:asciiTheme="minorEastAsia" w:hAnsiTheme="minorEastAsia" w:cs="Times New Roman"/>
                <w:sz w:val="28"/>
                <w:szCs w:val="28"/>
              </w:rPr>
            </w:pPr>
          </w:p>
        </w:tc>
        <w:tc>
          <w:tcPr>
            <w:tcW w:w="1155" w:type="dxa"/>
            <w:noWrap/>
            <w:vAlign w:val="center"/>
          </w:tcPr>
          <w:p w:rsidR="009A537B" w:rsidRPr="009A537B" w:rsidRDefault="009A537B" w:rsidP="009A537B">
            <w:pPr>
              <w:adjustRightInd w:val="0"/>
              <w:snapToGrid w:val="0"/>
              <w:jc w:val="center"/>
              <w:rPr>
                <w:rFonts w:asciiTheme="minorEastAsia" w:hAnsiTheme="minorEastAsia" w:cs="Times New Roman"/>
                <w:sz w:val="28"/>
                <w:szCs w:val="28"/>
              </w:rPr>
            </w:pPr>
          </w:p>
        </w:tc>
      </w:tr>
      <w:tr w:rsidR="009A537B" w:rsidRPr="009A537B" w:rsidTr="000F3452">
        <w:trPr>
          <w:trHeight w:val="270"/>
        </w:trPr>
        <w:tc>
          <w:tcPr>
            <w:tcW w:w="1384" w:type="dxa"/>
            <w:noWrap/>
            <w:vAlign w:val="center"/>
          </w:tcPr>
          <w:p w:rsidR="009A537B" w:rsidRPr="009A537B" w:rsidRDefault="009A537B" w:rsidP="002075F5">
            <w:pPr>
              <w:adjustRightInd w:val="0"/>
              <w:snapToGrid w:val="0"/>
              <w:jc w:val="center"/>
              <w:rPr>
                <w:rFonts w:asciiTheme="minorEastAsia" w:hAnsiTheme="minorEastAsia" w:cs="Times New Roman"/>
                <w:sz w:val="28"/>
                <w:szCs w:val="28"/>
              </w:rPr>
            </w:pPr>
          </w:p>
        </w:tc>
        <w:tc>
          <w:tcPr>
            <w:tcW w:w="1985" w:type="dxa"/>
            <w:noWrap/>
            <w:vAlign w:val="center"/>
          </w:tcPr>
          <w:p w:rsidR="009A537B" w:rsidRPr="009A537B" w:rsidRDefault="009A537B" w:rsidP="00E87B12">
            <w:pPr>
              <w:adjustRightInd w:val="0"/>
              <w:snapToGrid w:val="0"/>
              <w:jc w:val="center"/>
              <w:rPr>
                <w:rFonts w:asciiTheme="minorEastAsia" w:hAnsiTheme="minorEastAsia" w:cs="Times New Roman"/>
                <w:sz w:val="28"/>
                <w:szCs w:val="28"/>
              </w:rPr>
            </w:pPr>
          </w:p>
        </w:tc>
        <w:tc>
          <w:tcPr>
            <w:tcW w:w="1134" w:type="dxa"/>
            <w:noWrap/>
            <w:vAlign w:val="center"/>
          </w:tcPr>
          <w:p w:rsidR="009A537B" w:rsidRPr="009A537B" w:rsidRDefault="009A537B" w:rsidP="009A537B">
            <w:pPr>
              <w:adjustRightInd w:val="0"/>
              <w:snapToGrid w:val="0"/>
              <w:jc w:val="center"/>
              <w:rPr>
                <w:rFonts w:asciiTheme="minorEastAsia" w:hAnsiTheme="minorEastAsia" w:cs="Times New Roman"/>
                <w:sz w:val="28"/>
                <w:szCs w:val="28"/>
              </w:rPr>
            </w:pPr>
          </w:p>
        </w:tc>
        <w:tc>
          <w:tcPr>
            <w:tcW w:w="1417" w:type="dxa"/>
            <w:noWrap/>
            <w:vAlign w:val="center"/>
          </w:tcPr>
          <w:p w:rsidR="009A537B" w:rsidRPr="009A537B" w:rsidRDefault="009A537B" w:rsidP="000F3452">
            <w:pPr>
              <w:adjustRightInd w:val="0"/>
              <w:snapToGrid w:val="0"/>
              <w:jc w:val="center"/>
              <w:rPr>
                <w:rFonts w:asciiTheme="minorEastAsia" w:hAnsiTheme="minorEastAsia" w:cs="Times New Roman"/>
                <w:sz w:val="28"/>
                <w:szCs w:val="28"/>
              </w:rPr>
            </w:pPr>
          </w:p>
        </w:tc>
        <w:tc>
          <w:tcPr>
            <w:tcW w:w="1701" w:type="dxa"/>
            <w:noWrap/>
            <w:vAlign w:val="center"/>
          </w:tcPr>
          <w:p w:rsidR="009A537B" w:rsidRPr="009A537B" w:rsidRDefault="009A537B" w:rsidP="000F3452">
            <w:pPr>
              <w:adjustRightInd w:val="0"/>
              <w:snapToGrid w:val="0"/>
              <w:jc w:val="center"/>
              <w:rPr>
                <w:rFonts w:asciiTheme="minorEastAsia" w:hAnsiTheme="minorEastAsia" w:cs="Times New Roman"/>
                <w:sz w:val="28"/>
                <w:szCs w:val="28"/>
              </w:rPr>
            </w:pPr>
          </w:p>
        </w:tc>
        <w:tc>
          <w:tcPr>
            <w:tcW w:w="1155" w:type="dxa"/>
            <w:noWrap/>
            <w:vAlign w:val="center"/>
          </w:tcPr>
          <w:p w:rsidR="009A537B" w:rsidRPr="009A537B" w:rsidRDefault="009A537B" w:rsidP="00010D5C">
            <w:pPr>
              <w:adjustRightInd w:val="0"/>
              <w:snapToGrid w:val="0"/>
              <w:jc w:val="center"/>
              <w:rPr>
                <w:rFonts w:asciiTheme="minorEastAsia" w:hAnsiTheme="minorEastAsia" w:cs="Times New Roman"/>
                <w:sz w:val="28"/>
                <w:szCs w:val="28"/>
              </w:rPr>
            </w:pPr>
          </w:p>
        </w:tc>
      </w:tr>
      <w:tr w:rsidR="009A537B" w:rsidRPr="009A537B" w:rsidTr="005C04AC">
        <w:trPr>
          <w:trHeight w:val="270"/>
        </w:trPr>
        <w:tc>
          <w:tcPr>
            <w:tcW w:w="1384" w:type="dxa"/>
            <w:noWrap/>
            <w:vAlign w:val="center"/>
          </w:tcPr>
          <w:p w:rsidR="009A537B" w:rsidRPr="009A537B" w:rsidRDefault="009A537B" w:rsidP="003C1455">
            <w:pPr>
              <w:adjustRightInd w:val="0"/>
              <w:snapToGrid w:val="0"/>
              <w:jc w:val="center"/>
              <w:rPr>
                <w:rFonts w:asciiTheme="minorEastAsia" w:hAnsiTheme="minorEastAsia" w:cs="Times New Roman"/>
                <w:sz w:val="28"/>
                <w:szCs w:val="28"/>
              </w:rPr>
            </w:pPr>
          </w:p>
        </w:tc>
        <w:tc>
          <w:tcPr>
            <w:tcW w:w="1985" w:type="dxa"/>
            <w:noWrap/>
            <w:vAlign w:val="center"/>
          </w:tcPr>
          <w:p w:rsidR="009A537B" w:rsidRPr="009A537B" w:rsidRDefault="009A537B" w:rsidP="00FF300D">
            <w:pPr>
              <w:adjustRightInd w:val="0"/>
              <w:snapToGrid w:val="0"/>
              <w:jc w:val="center"/>
              <w:rPr>
                <w:rFonts w:asciiTheme="minorEastAsia" w:hAnsiTheme="minorEastAsia" w:cs="Times New Roman"/>
                <w:sz w:val="28"/>
                <w:szCs w:val="28"/>
              </w:rPr>
            </w:pPr>
          </w:p>
        </w:tc>
        <w:tc>
          <w:tcPr>
            <w:tcW w:w="1134" w:type="dxa"/>
            <w:noWrap/>
            <w:vAlign w:val="center"/>
          </w:tcPr>
          <w:p w:rsidR="009A537B" w:rsidRPr="009A537B" w:rsidRDefault="009A537B" w:rsidP="009A537B">
            <w:pPr>
              <w:adjustRightInd w:val="0"/>
              <w:snapToGrid w:val="0"/>
              <w:jc w:val="center"/>
              <w:rPr>
                <w:rFonts w:asciiTheme="minorEastAsia" w:hAnsiTheme="minorEastAsia" w:cs="Times New Roman"/>
                <w:sz w:val="28"/>
                <w:szCs w:val="28"/>
              </w:rPr>
            </w:pPr>
          </w:p>
        </w:tc>
        <w:tc>
          <w:tcPr>
            <w:tcW w:w="1417" w:type="dxa"/>
            <w:noWrap/>
            <w:vAlign w:val="center"/>
          </w:tcPr>
          <w:p w:rsidR="009A537B" w:rsidRPr="009A537B" w:rsidRDefault="009A537B" w:rsidP="000E6E7F">
            <w:pPr>
              <w:adjustRightInd w:val="0"/>
              <w:snapToGrid w:val="0"/>
              <w:jc w:val="center"/>
              <w:rPr>
                <w:rFonts w:asciiTheme="minorEastAsia" w:hAnsiTheme="minorEastAsia" w:cs="Times New Roman"/>
                <w:sz w:val="28"/>
                <w:szCs w:val="28"/>
              </w:rPr>
            </w:pPr>
          </w:p>
        </w:tc>
        <w:tc>
          <w:tcPr>
            <w:tcW w:w="1701" w:type="dxa"/>
            <w:noWrap/>
            <w:vAlign w:val="center"/>
          </w:tcPr>
          <w:p w:rsidR="009A537B" w:rsidRPr="009A537B" w:rsidRDefault="009A537B" w:rsidP="000E6E7F">
            <w:pPr>
              <w:adjustRightInd w:val="0"/>
              <w:snapToGrid w:val="0"/>
              <w:jc w:val="center"/>
              <w:rPr>
                <w:rFonts w:asciiTheme="minorEastAsia" w:hAnsiTheme="minorEastAsia" w:cs="Times New Roman"/>
                <w:sz w:val="28"/>
                <w:szCs w:val="28"/>
              </w:rPr>
            </w:pPr>
          </w:p>
        </w:tc>
        <w:tc>
          <w:tcPr>
            <w:tcW w:w="1155" w:type="dxa"/>
            <w:noWrap/>
            <w:vAlign w:val="center"/>
          </w:tcPr>
          <w:p w:rsidR="009A537B" w:rsidRPr="009A537B" w:rsidRDefault="009A537B" w:rsidP="000E106D">
            <w:pPr>
              <w:adjustRightInd w:val="0"/>
              <w:snapToGrid w:val="0"/>
              <w:jc w:val="center"/>
              <w:rPr>
                <w:rFonts w:asciiTheme="minorEastAsia" w:hAnsiTheme="minorEastAsia" w:cs="Times New Roman"/>
                <w:sz w:val="28"/>
                <w:szCs w:val="28"/>
              </w:rPr>
            </w:pPr>
          </w:p>
        </w:tc>
      </w:tr>
      <w:tr w:rsidR="009A537B" w:rsidRPr="009A537B" w:rsidTr="005C04AC">
        <w:trPr>
          <w:trHeight w:val="270"/>
        </w:trPr>
        <w:tc>
          <w:tcPr>
            <w:tcW w:w="1384" w:type="dxa"/>
            <w:noWrap/>
            <w:vAlign w:val="center"/>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985" w:type="dxa"/>
            <w:noWrap/>
            <w:vAlign w:val="center"/>
          </w:tcPr>
          <w:p w:rsidR="009A537B" w:rsidRPr="009A537B" w:rsidRDefault="009A537B" w:rsidP="00FF300D">
            <w:pPr>
              <w:adjustRightInd w:val="0"/>
              <w:snapToGrid w:val="0"/>
              <w:jc w:val="center"/>
              <w:rPr>
                <w:rFonts w:asciiTheme="minorEastAsia" w:hAnsiTheme="minorEastAsia" w:cs="Times New Roman"/>
                <w:sz w:val="28"/>
                <w:szCs w:val="28"/>
              </w:rPr>
            </w:pPr>
          </w:p>
        </w:tc>
        <w:tc>
          <w:tcPr>
            <w:tcW w:w="1134" w:type="dxa"/>
            <w:noWrap/>
            <w:vAlign w:val="center"/>
          </w:tcPr>
          <w:p w:rsidR="009A537B" w:rsidRPr="009A537B" w:rsidRDefault="009A537B" w:rsidP="009A537B">
            <w:pPr>
              <w:adjustRightInd w:val="0"/>
              <w:snapToGrid w:val="0"/>
              <w:jc w:val="center"/>
              <w:rPr>
                <w:rFonts w:asciiTheme="minorEastAsia" w:hAnsiTheme="minorEastAsia" w:cs="Times New Roman"/>
                <w:sz w:val="28"/>
                <w:szCs w:val="28"/>
              </w:rPr>
            </w:pPr>
          </w:p>
        </w:tc>
        <w:tc>
          <w:tcPr>
            <w:tcW w:w="1417" w:type="dxa"/>
            <w:noWrap/>
            <w:vAlign w:val="center"/>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701" w:type="dxa"/>
            <w:noWrap/>
            <w:vAlign w:val="center"/>
          </w:tcPr>
          <w:p w:rsidR="009A537B" w:rsidRPr="009A537B" w:rsidRDefault="009A537B" w:rsidP="00D06A53">
            <w:pPr>
              <w:adjustRightInd w:val="0"/>
              <w:snapToGrid w:val="0"/>
              <w:jc w:val="center"/>
              <w:rPr>
                <w:rFonts w:asciiTheme="minorEastAsia" w:hAnsiTheme="minorEastAsia" w:cs="Times New Roman"/>
                <w:sz w:val="28"/>
                <w:szCs w:val="28"/>
              </w:rPr>
            </w:pPr>
          </w:p>
        </w:tc>
        <w:tc>
          <w:tcPr>
            <w:tcW w:w="1155" w:type="dxa"/>
            <w:noWrap/>
            <w:vAlign w:val="center"/>
          </w:tcPr>
          <w:p w:rsidR="009A537B" w:rsidRPr="009A537B" w:rsidRDefault="009A537B" w:rsidP="000C63D8">
            <w:pPr>
              <w:adjustRightInd w:val="0"/>
              <w:snapToGrid w:val="0"/>
              <w:jc w:val="center"/>
              <w:rPr>
                <w:rFonts w:asciiTheme="minorEastAsia" w:hAnsiTheme="minorEastAsia" w:cs="Times New Roman"/>
                <w:sz w:val="28"/>
                <w:szCs w:val="28"/>
              </w:rPr>
            </w:pPr>
          </w:p>
        </w:tc>
      </w:tr>
      <w:tr w:rsidR="009A537B" w:rsidRPr="009A537B" w:rsidTr="00F5289D">
        <w:trPr>
          <w:trHeight w:val="270"/>
        </w:trPr>
        <w:tc>
          <w:tcPr>
            <w:tcW w:w="1384"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985" w:type="dxa"/>
            <w:noWrap/>
            <w:vAlign w:val="center"/>
          </w:tcPr>
          <w:p w:rsidR="009A537B" w:rsidRPr="009A537B" w:rsidRDefault="009A537B" w:rsidP="00E13056">
            <w:pPr>
              <w:adjustRightInd w:val="0"/>
              <w:snapToGrid w:val="0"/>
              <w:jc w:val="center"/>
              <w:rPr>
                <w:rFonts w:asciiTheme="minorEastAsia" w:hAnsiTheme="minorEastAsia" w:cs="Times New Roman"/>
                <w:sz w:val="28"/>
                <w:szCs w:val="28"/>
              </w:rPr>
            </w:pPr>
          </w:p>
        </w:tc>
        <w:tc>
          <w:tcPr>
            <w:tcW w:w="1134" w:type="dxa"/>
            <w:noWrap/>
            <w:vAlign w:val="center"/>
          </w:tcPr>
          <w:p w:rsidR="009A537B" w:rsidRPr="009A537B" w:rsidRDefault="009A537B" w:rsidP="009A537B">
            <w:pPr>
              <w:adjustRightInd w:val="0"/>
              <w:snapToGrid w:val="0"/>
              <w:jc w:val="center"/>
              <w:rPr>
                <w:rFonts w:asciiTheme="minorEastAsia" w:hAnsiTheme="minorEastAsia" w:cs="Times New Roman"/>
                <w:sz w:val="28"/>
                <w:szCs w:val="28"/>
              </w:rPr>
            </w:pPr>
          </w:p>
        </w:tc>
        <w:tc>
          <w:tcPr>
            <w:tcW w:w="1417"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701"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155"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r>
      <w:tr w:rsidR="009A537B" w:rsidRPr="009A537B" w:rsidTr="00F5289D">
        <w:trPr>
          <w:trHeight w:val="270"/>
        </w:trPr>
        <w:tc>
          <w:tcPr>
            <w:tcW w:w="1384"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985" w:type="dxa"/>
            <w:noWrap/>
            <w:vAlign w:val="center"/>
          </w:tcPr>
          <w:p w:rsidR="009A537B" w:rsidRPr="009A537B" w:rsidRDefault="009A537B" w:rsidP="00B314D3">
            <w:pPr>
              <w:adjustRightInd w:val="0"/>
              <w:snapToGrid w:val="0"/>
              <w:jc w:val="center"/>
              <w:rPr>
                <w:rFonts w:asciiTheme="minorEastAsia" w:hAnsiTheme="minorEastAsia" w:cs="Times New Roman"/>
                <w:sz w:val="28"/>
                <w:szCs w:val="28"/>
              </w:rPr>
            </w:pPr>
          </w:p>
        </w:tc>
        <w:tc>
          <w:tcPr>
            <w:tcW w:w="1134" w:type="dxa"/>
            <w:noWrap/>
            <w:vAlign w:val="center"/>
          </w:tcPr>
          <w:p w:rsidR="009A537B" w:rsidRPr="009A537B" w:rsidRDefault="009A537B" w:rsidP="009A537B">
            <w:pPr>
              <w:adjustRightInd w:val="0"/>
              <w:snapToGrid w:val="0"/>
              <w:jc w:val="center"/>
              <w:rPr>
                <w:rFonts w:asciiTheme="minorEastAsia" w:hAnsiTheme="minorEastAsia" w:cs="Times New Roman"/>
                <w:sz w:val="28"/>
                <w:szCs w:val="28"/>
              </w:rPr>
            </w:pPr>
          </w:p>
        </w:tc>
        <w:tc>
          <w:tcPr>
            <w:tcW w:w="1417"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701"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155"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r>
      <w:tr w:rsidR="009A537B" w:rsidRPr="009A537B" w:rsidTr="005C04AC">
        <w:trPr>
          <w:trHeight w:val="270"/>
        </w:trPr>
        <w:tc>
          <w:tcPr>
            <w:tcW w:w="1384"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985" w:type="dxa"/>
            <w:noWrap/>
            <w:vAlign w:val="center"/>
          </w:tcPr>
          <w:p w:rsidR="009A537B" w:rsidRPr="009A537B" w:rsidRDefault="009A537B" w:rsidP="00E13056">
            <w:pPr>
              <w:adjustRightInd w:val="0"/>
              <w:snapToGrid w:val="0"/>
              <w:jc w:val="center"/>
              <w:rPr>
                <w:rFonts w:asciiTheme="minorEastAsia" w:hAnsiTheme="minorEastAsia" w:cs="Times New Roman"/>
                <w:sz w:val="28"/>
                <w:szCs w:val="28"/>
              </w:rPr>
            </w:pPr>
          </w:p>
        </w:tc>
        <w:tc>
          <w:tcPr>
            <w:tcW w:w="1134" w:type="dxa"/>
            <w:noWrap/>
            <w:vAlign w:val="center"/>
          </w:tcPr>
          <w:p w:rsidR="009A537B" w:rsidRPr="009A537B" w:rsidRDefault="009A537B" w:rsidP="009A537B">
            <w:pPr>
              <w:adjustRightInd w:val="0"/>
              <w:snapToGrid w:val="0"/>
              <w:jc w:val="center"/>
              <w:rPr>
                <w:rFonts w:asciiTheme="minorEastAsia" w:hAnsiTheme="minorEastAsia" w:cs="Times New Roman"/>
                <w:sz w:val="28"/>
                <w:szCs w:val="28"/>
              </w:rPr>
            </w:pPr>
          </w:p>
        </w:tc>
        <w:tc>
          <w:tcPr>
            <w:tcW w:w="1417"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701"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c>
          <w:tcPr>
            <w:tcW w:w="1155" w:type="dxa"/>
            <w:noWrap/>
          </w:tcPr>
          <w:p w:rsidR="009A537B" w:rsidRPr="009A537B" w:rsidRDefault="009A537B" w:rsidP="001B5773">
            <w:pPr>
              <w:adjustRightInd w:val="0"/>
              <w:snapToGrid w:val="0"/>
              <w:jc w:val="center"/>
              <w:rPr>
                <w:rFonts w:asciiTheme="minorEastAsia" w:hAnsiTheme="minorEastAsia" w:cs="Times New Roman"/>
                <w:sz w:val="28"/>
                <w:szCs w:val="28"/>
              </w:rPr>
            </w:pPr>
          </w:p>
        </w:tc>
      </w:tr>
      <w:tr w:rsidR="00E13056" w:rsidRPr="009A537B" w:rsidTr="00807340">
        <w:trPr>
          <w:trHeight w:val="270"/>
        </w:trPr>
        <w:tc>
          <w:tcPr>
            <w:tcW w:w="1384" w:type="dxa"/>
            <w:tcBorders>
              <w:bottom w:val="single" w:sz="4" w:space="0" w:color="auto"/>
            </w:tcBorders>
            <w:noWrap/>
            <w:hideMark/>
          </w:tcPr>
          <w:p w:rsidR="00E13056" w:rsidRPr="009A537B" w:rsidRDefault="00E13056" w:rsidP="001B5773">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资产合计</w:t>
            </w:r>
          </w:p>
        </w:tc>
        <w:tc>
          <w:tcPr>
            <w:tcW w:w="1985" w:type="dxa"/>
            <w:tcBorders>
              <w:bottom w:val="single" w:sz="4" w:space="0" w:color="auto"/>
            </w:tcBorders>
            <w:noWrap/>
            <w:vAlign w:val="center"/>
            <w:hideMark/>
          </w:tcPr>
          <w:p w:rsidR="00E13056" w:rsidRPr="009A537B" w:rsidRDefault="009A537B" w:rsidP="009C3DCD">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b/>
                <w:sz w:val="28"/>
                <w:szCs w:val="28"/>
              </w:rPr>
              <w:t>5,129,125.04</w:t>
            </w:r>
          </w:p>
        </w:tc>
        <w:tc>
          <w:tcPr>
            <w:tcW w:w="1134" w:type="dxa"/>
            <w:tcBorders>
              <w:bottom w:val="single" w:sz="4" w:space="0" w:color="auto"/>
            </w:tcBorders>
            <w:noWrap/>
            <w:vAlign w:val="center"/>
            <w:hideMark/>
          </w:tcPr>
          <w:p w:rsidR="00E13056" w:rsidRPr="009A537B" w:rsidRDefault="00E13056" w:rsidP="00201991">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100%</w:t>
            </w:r>
          </w:p>
        </w:tc>
        <w:tc>
          <w:tcPr>
            <w:tcW w:w="1417" w:type="dxa"/>
            <w:tcBorders>
              <w:bottom w:val="single" w:sz="4" w:space="0" w:color="auto"/>
            </w:tcBorders>
            <w:noWrap/>
            <w:vAlign w:val="center"/>
            <w:hideMark/>
          </w:tcPr>
          <w:p w:rsidR="00E13056" w:rsidRPr="009A537B" w:rsidRDefault="00E13056" w:rsidP="00807340">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负债合计</w:t>
            </w:r>
          </w:p>
        </w:tc>
        <w:tc>
          <w:tcPr>
            <w:tcW w:w="1701" w:type="dxa"/>
            <w:tcBorders>
              <w:bottom w:val="single" w:sz="4" w:space="0" w:color="auto"/>
            </w:tcBorders>
            <w:noWrap/>
            <w:vAlign w:val="center"/>
            <w:hideMark/>
          </w:tcPr>
          <w:p w:rsidR="00E13056" w:rsidRPr="009A537B" w:rsidRDefault="009A537B" w:rsidP="00201991">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b/>
                <w:sz w:val="28"/>
                <w:szCs w:val="28"/>
              </w:rPr>
              <w:t>260,000.00</w:t>
            </w:r>
          </w:p>
        </w:tc>
        <w:tc>
          <w:tcPr>
            <w:tcW w:w="1155" w:type="dxa"/>
            <w:tcBorders>
              <w:bottom w:val="single" w:sz="4" w:space="0" w:color="auto"/>
            </w:tcBorders>
            <w:noWrap/>
            <w:vAlign w:val="center"/>
            <w:hideMark/>
          </w:tcPr>
          <w:p w:rsidR="00E13056" w:rsidRPr="009A537B" w:rsidRDefault="00E13056" w:rsidP="00201991">
            <w:pPr>
              <w:adjustRightInd w:val="0"/>
              <w:snapToGrid w:val="0"/>
              <w:jc w:val="center"/>
              <w:rPr>
                <w:rFonts w:asciiTheme="minorEastAsia" w:hAnsiTheme="minorEastAsia" w:cs="Times New Roman"/>
                <w:b/>
                <w:sz w:val="28"/>
                <w:szCs w:val="28"/>
              </w:rPr>
            </w:pPr>
            <w:r w:rsidRPr="009A537B">
              <w:rPr>
                <w:rFonts w:asciiTheme="minorEastAsia" w:hAnsiTheme="minorEastAsia" w:cs="Times New Roman" w:hint="eastAsia"/>
                <w:b/>
                <w:sz w:val="28"/>
                <w:szCs w:val="28"/>
              </w:rPr>
              <w:t>100%</w:t>
            </w:r>
          </w:p>
        </w:tc>
      </w:tr>
      <w:tr w:rsidR="00E13056" w:rsidRPr="009A537B" w:rsidTr="001B5773">
        <w:trPr>
          <w:trHeight w:val="270"/>
        </w:trPr>
        <w:tc>
          <w:tcPr>
            <w:tcW w:w="8776" w:type="dxa"/>
            <w:gridSpan w:val="6"/>
            <w:tcBorders>
              <w:left w:val="nil"/>
              <w:bottom w:val="nil"/>
              <w:right w:val="nil"/>
            </w:tcBorders>
            <w:noWrap/>
            <w:vAlign w:val="center"/>
          </w:tcPr>
          <w:p w:rsidR="00E13056" w:rsidRPr="009A537B" w:rsidRDefault="00E13056" w:rsidP="001B5773">
            <w:pPr>
              <w:widowControl/>
              <w:rPr>
                <w:rFonts w:ascii="宋体" w:eastAsia="宋体" w:hAnsi="宋体" w:cs="宋体"/>
                <w:color w:val="000000"/>
                <w:kern w:val="0"/>
                <w:sz w:val="22"/>
              </w:rPr>
            </w:pPr>
            <w:r w:rsidRPr="009A537B">
              <w:rPr>
                <w:rFonts w:ascii="仿宋" w:eastAsia="仿宋" w:hAnsi="仿宋" w:cs="宋体" w:hint="eastAsia"/>
                <w:color w:val="000000"/>
                <w:kern w:val="0"/>
                <w:sz w:val="24"/>
                <w:szCs w:val="24"/>
              </w:rPr>
              <w:t>数据来源：COMSTAR系统、资金业务管理系统，尚未</w:t>
            </w:r>
            <w:proofErr w:type="gramStart"/>
            <w:r w:rsidRPr="009A537B">
              <w:rPr>
                <w:rFonts w:ascii="仿宋" w:eastAsia="仿宋" w:hAnsi="仿宋" w:cs="宋体" w:hint="eastAsia"/>
                <w:color w:val="000000"/>
                <w:kern w:val="0"/>
                <w:sz w:val="24"/>
                <w:szCs w:val="24"/>
              </w:rPr>
              <w:t>涵盖省联社</w:t>
            </w:r>
            <w:proofErr w:type="gramEnd"/>
            <w:r w:rsidRPr="009A537B">
              <w:rPr>
                <w:rFonts w:ascii="仿宋" w:eastAsia="仿宋" w:hAnsi="仿宋" w:cs="宋体" w:hint="eastAsia"/>
                <w:color w:val="000000"/>
                <w:kern w:val="0"/>
                <w:sz w:val="24"/>
                <w:szCs w:val="24"/>
              </w:rPr>
              <w:t>资金统一平台数据，余额采用系统中市值数据计算，与会计核算数据口径上存在的差异</w:t>
            </w:r>
          </w:p>
        </w:tc>
      </w:tr>
    </w:tbl>
    <w:p w:rsidR="00432F41" w:rsidRPr="002A03CC" w:rsidRDefault="00432F41" w:rsidP="00432F41">
      <w:pPr>
        <w:spacing w:line="560" w:lineRule="exact"/>
        <w:ind w:firstLineChars="200" w:firstLine="643"/>
        <w:rPr>
          <w:rFonts w:ascii="仿宋_GB2312" w:eastAsia="仿宋_GB2312" w:hAnsi="Calibri" w:cs="Times New Roman"/>
          <w:b/>
          <w:sz w:val="32"/>
          <w:szCs w:val="32"/>
        </w:rPr>
      </w:pPr>
      <w:r w:rsidRPr="002A03CC">
        <w:rPr>
          <w:rFonts w:ascii="仿宋_GB2312" w:eastAsia="仿宋_GB2312" w:hAnsi="Calibri" w:cs="Times New Roman" w:hint="eastAsia"/>
          <w:b/>
          <w:sz w:val="32"/>
          <w:szCs w:val="32"/>
        </w:rPr>
        <w:t>（二）理财事业部</w:t>
      </w:r>
    </w:p>
    <w:tbl>
      <w:tblPr>
        <w:tblStyle w:val="a3"/>
        <w:tblW w:w="9238" w:type="dxa"/>
        <w:jc w:val="center"/>
        <w:tblInd w:w="416" w:type="dxa"/>
        <w:tblLook w:val="04A0" w:firstRow="1" w:lastRow="0" w:firstColumn="1" w:lastColumn="0" w:noHBand="0" w:noVBand="1"/>
      </w:tblPr>
      <w:tblGrid>
        <w:gridCol w:w="1440"/>
        <w:gridCol w:w="2120"/>
        <w:gridCol w:w="1056"/>
        <w:gridCol w:w="1581"/>
        <w:gridCol w:w="1985"/>
        <w:gridCol w:w="1056"/>
      </w:tblGrid>
      <w:tr w:rsidR="00432F41" w:rsidRPr="002A03CC" w:rsidTr="00F15BE1">
        <w:trPr>
          <w:trHeight w:val="270"/>
          <w:jc w:val="center"/>
        </w:trPr>
        <w:tc>
          <w:tcPr>
            <w:tcW w:w="4616" w:type="dxa"/>
            <w:gridSpan w:val="3"/>
            <w:tcBorders>
              <w:top w:val="nil"/>
              <w:left w:val="nil"/>
              <w:right w:val="nil"/>
            </w:tcBorders>
            <w:noWrap/>
            <w:hideMark/>
          </w:tcPr>
          <w:p w:rsidR="00432F41" w:rsidRPr="002A03CC" w:rsidRDefault="00432F41" w:rsidP="001B5773">
            <w:pPr>
              <w:widowControl/>
              <w:rPr>
                <w:rFonts w:ascii="仿宋" w:eastAsia="仿宋" w:hAnsi="仿宋" w:cs="宋体"/>
                <w:color w:val="000000"/>
                <w:kern w:val="0"/>
                <w:sz w:val="24"/>
                <w:szCs w:val="24"/>
              </w:rPr>
            </w:pPr>
            <w:r w:rsidRPr="002A03CC">
              <w:rPr>
                <w:rFonts w:ascii="仿宋" w:eastAsia="仿宋" w:hAnsi="仿宋" w:cs="宋体" w:hint="eastAsia"/>
                <w:color w:val="000000"/>
                <w:kern w:val="0"/>
                <w:sz w:val="24"/>
                <w:szCs w:val="24"/>
              </w:rPr>
              <w:t>部门:理财事业部</w:t>
            </w:r>
          </w:p>
        </w:tc>
        <w:tc>
          <w:tcPr>
            <w:tcW w:w="1581" w:type="dxa"/>
            <w:tcBorders>
              <w:top w:val="nil"/>
              <w:left w:val="nil"/>
              <w:right w:val="nil"/>
            </w:tcBorders>
            <w:noWrap/>
            <w:hideMark/>
          </w:tcPr>
          <w:p w:rsidR="00432F41" w:rsidRPr="002A03CC" w:rsidRDefault="00432F41" w:rsidP="001B5773">
            <w:pPr>
              <w:widowControl/>
              <w:rPr>
                <w:rFonts w:ascii="仿宋" w:eastAsia="仿宋" w:hAnsi="仿宋" w:cs="宋体"/>
                <w:color w:val="000000"/>
                <w:kern w:val="0"/>
                <w:sz w:val="24"/>
                <w:szCs w:val="24"/>
              </w:rPr>
            </w:pPr>
          </w:p>
        </w:tc>
        <w:tc>
          <w:tcPr>
            <w:tcW w:w="3041" w:type="dxa"/>
            <w:gridSpan w:val="2"/>
            <w:tcBorders>
              <w:top w:val="nil"/>
              <w:left w:val="nil"/>
              <w:right w:val="nil"/>
            </w:tcBorders>
            <w:noWrap/>
            <w:vAlign w:val="center"/>
            <w:hideMark/>
          </w:tcPr>
          <w:p w:rsidR="00432F41" w:rsidRPr="002A03CC" w:rsidRDefault="00432F41" w:rsidP="001B5773">
            <w:pPr>
              <w:widowControl/>
              <w:jc w:val="right"/>
              <w:rPr>
                <w:rFonts w:ascii="仿宋" w:eastAsia="仿宋" w:hAnsi="仿宋" w:cs="宋体"/>
                <w:color w:val="000000"/>
                <w:kern w:val="0"/>
                <w:sz w:val="24"/>
                <w:szCs w:val="24"/>
              </w:rPr>
            </w:pPr>
            <w:r w:rsidRPr="002A03CC">
              <w:rPr>
                <w:rFonts w:ascii="仿宋" w:eastAsia="仿宋" w:hAnsi="仿宋" w:cs="宋体" w:hint="eastAsia"/>
                <w:color w:val="000000"/>
                <w:kern w:val="0"/>
                <w:sz w:val="24"/>
                <w:szCs w:val="24"/>
              </w:rPr>
              <w:t>单位：万元、%</w:t>
            </w:r>
          </w:p>
        </w:tc>
      </w:tr>
      <w:tr w:rsidR="00432F41" w:rsidRPr="002A03CC" w:rsidTr="00F15BE1">
        <w:trPr>
          <w:trHeight w:val="270"/>
          <w:jc w:val="center"/>
        </w:trPr>
        <w:tc>
          <w:tcPr>
            <w:tcW w:w="1440" w:type="dxa"/>
            <w:noWrap/>
            <w:hideMark/>
          </w:tcPr>
          <w:p w:rsidR="00432F41" w:rsidRPr="002A03CC" w:rsidRDefault="00432F41" w:rsidP="001B5773">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资产</w:t>
            </w:r>
          </w:p>
        </w:tc>
        <w:tc>
          <w:tcPr>
            <w:tcW w:w="2120" w:type="dxa"/>
            <w:noWrap/>
            <w:hideMark/>
          </w:tcPr>
          <w:p w:rsidR="00432F41" w:rsidRPr="002A03CC" w:rsidRDefault="00432F41" w:rsidP="001B5773">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余额</w:t>
            </w:r>
          </w:p>
        </w:tc>
        <w:tc>
          <w:tcPr>
            <w:tcW w:w="1056" w:type="dxa"/>
            <w:noWrap/>
            <w:hideMark/>
          </w:tcPr>
          <w:p w:rsidR="00432F41" w:rsidRPr="002A03CC" w:rsidRDefault="00432F41" w:rsidP="001B5773">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占比</w:t>
            </w:r>
          </w:p>
        </w:tc>
        <w:tc>
          <w:tcPr>
            <w:tcW w:w="1581" w:type="dxa"/>
            <w:noWrap/>
            <w:hideMark/>
          </w:tcPr>
          <w:p w:rsidR="00432F41" w:rsidRPr="002A03CC" w:rsidRDefault="00432F41" w:rsidP="001B5773">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负债</w:t>
            </w:r>
          </w:p>
        </w:tc>
        <w:tc>
          <w:tcPr>
            <w:tcW w:w="1985" w:type="dxa"/>
            <w:noWrap/>
            <w:hideMark/>
          </w:tcPr>
          <w:p w:rsidR="00432F41" w:rsidRPr="002A03CC" w:rsidRDefault="00432F41" w:rsidP="001B5773">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余额</w:t>
            </w:r>
          </w:p>
        </w:tc>
        <w:tc>
          <w:tcPr>
            <w:tcW w:w="1056" w:type="dxa"/>
            <w:noWrap/>
            <w:hideMark/>
          </w:tcPr>
          <w:p w:rsidR="00432F41" w:rsidRPr="002A03CC" w:rsidRDefault="00432F41" w:rsidP="001B5773">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占比</w:t>
            </w:r>
          </w:p>
        </w:tc>
      </w:tr>
      <w:tr w:rsidR="00E7627E" w:rsidRPr="002A03CC" w:rsidTr="000A57D4">
        <w:trPr>
          <w:trHeight w:val="270"/>
          <w:jc w:val="center"/>
        </w:trPr>
        <w:tc>
          <w:tcPr>
            <w:tcW w:w="1440" w:type="dxa"/>
            <w:noWrap/>
            <w:vAlign w:val="center"/>
          </w:tcPr>
          <w:p w:rsidR="00E7627E" w:rsidRPr="002A03CC" w:rsidRDefault="00E7627E" w:rsidP="004564D7">
            <w:pPr>
              <w:adjustRightInd w:val="0"/>
              <w:snapToGrid w:val="0"/>
              <w:jc w:val="center"/>
              <w:rPr>
                <w:rFonts w:asciiTheme="minorEastAsia" w:hAnsiTheme="minorEastAsia" w:cs="Times New Roman"/>
                <w:sz w:val="28"/>
                <w:szCs w:val="28"/>
              </w:rPr>
            </w:pPr>
            <w:bookmarkStart w:id="0" w:name="_GoBack"/>
            <w:bookmarkEnd w:id="0"/>
          </w:p>
        </w:tc>
        <w:tc>
          <w:tcPr>
            <w:tcW w:w="2120" w:type="dxa"/>
            <w:noWrap/>
            <w:vAlign w:val="center"/>
          </w:tcPr>
          <w:p w:rsidR="00E7627E" w:rsidRPr="002A03CC" w:rsidRDefault="00E7627E" w:rsidP="003F18C9">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E7627E">
            <w:pPr>
              <w:adjustRightInd w:val="0"/>
              <w:snapToGrid w:val="0"/>
              <w:jc w:val="center"/>
              <w:rPr>
                <w:rFonts w:asciiTheme="minorEastAsia" w:hAnsiTheme="minorEastAsia" w:cs="Times New Roman"/>
                <w:sz w:val="28"/>
                <w:szCs w:val="28"/>
              </w:rPr>
            </w:pPr>
          </w:p>
        </w:tc>
        <w:tc>
          <w:tcPr>
            <w:tcW w:w="1581" w:type="dxa"/>
            <w:noWrap/>
            <w:vAlign w:val="center"/>
          </w:tcPr>
          <w:p w:rsidR="00E7627E" w:rsidRPr="002A03CC" w:rsidRDefault="00E7627E" w:rsidP="007007D0">
            <w:pPr>
              <w:adjustRightInd w:val="0"/>
              <w:snapToGrid w:val="0"/>
              <w:jc w:val="center"/>
              <w:rPr>
                <w:rFonts w:asciiTheme="minorEastAsia" w:hAnsiTheme="minorEastAsia" w:cs="Times New Roman"/>
                <w:sz w:val="28"/>
                <w:szCs w:val="28"/>
              </w:rPr>
            </w:pPr>
          </w:p>
        </w:tc>
        <w:tc>
          <w:tcPr>
            <w:tcW w:w="1985" w:type="dxa"/>
            <w:noWrap/>
            <w:vAlign w:val="center"/>
          </w:tcPr>
          <w:p w:rsidR="00E7627E" w:rsidRPr="002A03CC" w:rsidRDefault="00E7627E" w:rsidP="007007D0">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E7627E">
            <w:pPr>
              <w:adjustRightInd w:val="0"/>
              <w:snapToGrid w:val="0"/>
              <w:jc w:val="center"/>
              <w:rPr>
                <w:rFonts w:asciiTheme="minorEastAsia" w:hAnsiTheme="minorEastAsia" w:cs="Times New Roman"/>
                <w:sz w:val="28"/>
                <w:szCs w:val="28"/>
              </w:rPr>
            </w:pPr>
          </w:p>
        </w:tc>
      </w:tr>
      <w:tr w:rsidR="00E7627E" w:rsidRPr="002A03CC" w:rsidTr="000A57D4">
        <w:trPr>
          <w:trHeight w:val="270"/>
          <w:jc w:val="center"/>
        </w:trPr>
        <w:tc>
          <w:tcPr>
            <w:tcW w:w="1440" w:type="dxa"/>
            <w:noWrap/>
            <w:vAlign w:val="center"/>
          </w:tcPr>
          <w:p w:rsidR="00E7627E" w:rsidRPr="002A03CC" w:rsidRDefault="00E7627E" w:rsidP="00A97A80">
            <w:pPr>
              <w:adjustRightInd w:val="0"/>
              <w:snapToGrid w:val="0"/>
              <w:jc w:val="center"/>
              <w:rPr>
                <w:rFonts w:asciiTheme="minorEastAsia" w:hAnsiTheme="minorEastAsia" w:cs="Times New Roman"/>
                <w:sz w:val="28"/>
                <w:szCs w:val="28"/>
              </w:rPr>
            </w:pPr>
          </w:p>
        </w:tc>
        <w:tc>
          <w:tcPr>
            <w:tcW w:w="2120" w:type="dxa"/>
            <w:noWrap/>
            <w:vAlign w:val="center"/>
          </w:tcPr>
          <w:p w:rsidR="00E7627E" w:rsidRPr="002A03CC" w:rsidRDefault="00E7627E" w:rsidP="005434E1">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E7627E">
            <w:pPr>
              <w:adjustRightInd w:val="0"/>
              <w:snapToGrid w:val="0"/>
              <w:jc w:val="center"/>
              <w:rPr>
                <w:rFonts w:asciiTheme="minorEastAsia" w:hAnsiTheme="minorEastAsia" w:cs="Times New Roman"/>
                <w:sz w:val="28"/>
                <w:szCs w:val="28"/>
              </w:rPr>
            </w:pPr>
          </w:p>
        </w:tc>
        <w:tc>
          <w:tcPr>
            <w:tcW w:w="1581" w:type="dxa"/>
            <w:noWrap/>
            <w:vAlign w:val="center"/>
          </w:tcPr>
          <w:p w:rsidR="00E7627E" w:rsidRPr="002A03CC" w:rsidRDefault="00E7627E" w:rsidP="00A97A80">
            <w:pPr>
              <w:adjustRightInd w:val="0"/>
              <w:snapToGrid w:val="0"/>
              <w:jc w:val="center"/>
              <w:rPr>
                <w:rFonts w:asciiTheme="minorEastAsia" w:hAnsiTheme="minorEastAsia" w:cs="Times New Roman"/>
                <w:sz w:val="28"/>
                <w:szCs w:val="28"/>
              </w:rPr>
            </w:pPr>
          </w:p>
        </w:tc>
        <w:tc>
          <w:tcPr>
            <w:tcW w:w="1985" w:type="dxa"/>
            <w:noWrap/>
            <w:vAlign w:val="center"/>
          </w:tcPr>
          <w:p w:rsidR="00E7627E" w:rsidRPr="002A03CC" w:rsidRDefault="00E7627E" w:rsidP="00E7627E">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E7627E">
            <w:pPr>
              <w:adjustRightInd w:val="0"/>
              <w:snapToGrid w:val="0"/>
              <w:jc w:val="center"/>
              <w:rPr>
                <w:rFonts w:asciiTheme="minorEastAsia" w:hAnsiTheme="minorEastAsia" w:cs="Times New Roman"/>
                <w:sz w:val="28"/>
                <w:szCs w:val="28"/>
              </w:rPr>
            </w:pPr>
          </w:p>
        </w:tc>
      </w:tr>
      <w:tr w:rsidR="00E7627E" w:rsidRPr="002A03CC" w:rsidTr="000A57D4">
        <w:trPr>
          <w:trHeight w:val="270"/>
          <w:jc w:val="center"/>
        </w:trPr>
        <w:tc>
          <w:tcPr>
            <w:tcW w:w="1440" w:type="dxa"/>
            <w:noWrap/>
            <w:vAlign w:val="center"/>
          </w:tcPr>
          <w:p w:rsidR="00E7627E" w:rsidRPr="002A03CC" w:rsidRDefault="00E7627E" w:rsidP="004564D7">
            <w:pPr>
              <w:adjustRightInd w:val="0"/>
              <w:snapToGrid w:val="0"/>
              <w:jc w:val="center"/>
              <w:rPr>
                <w:rFonts w:asciiTheme="minorEastAsia" w:hAnsiTheme="minorEastAsia" w:cs="Times New Roman"/>
                <w:sz w:val="28"/>
                <w:szCs w:val="28"/>
              </w:rPr>
            </w:pPr>
          </w:p>
        </w:tc>
        <w:tc>
          <w:tcPr>
            <w:tcW w:w="2120" w:type="dxa"/>
            <w:noWrap/>
            <w:vAlign w:val="center"/>
          </w:tcPr>
          <w:p w:rsidR="00E7627E" w:rsidRPr="002A03CC" w:rsidRDefault="00E7627E" w:rsidP="003D1EF2">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E7627E">
            <w:pPr>
              <w:adjustRightInd w:val="0"/>
              <w:snapToGrid w:val="0"/>
              <w:jc w:val="center"/>
              <w:rPr>
                <w:rFonts w:asciiTheme="minorEastAsia" w:hAnsiTheme="minorEastAsia" w:cs="Times New Roman"/>
                <w:sz w:val="28"/>
                <w:szCs w:val="28"/>
              </w:rPr>
            </w:pPr>
          </w:p>
        </w:tc>
        <w:tc>
          <w:tcPr>
            <w:tcW w:w="1581" w:type="dxa"/>
            <w:noWrap/>
            <w:vAlign w:val="center"/>
          </w:tcPr>
          <w:p w:rsidR="00E7627E" w:rsidRPr="002A03CC" w:rsidRDefault="00E7627E" w:rsidP="00A97A80">
            <w:pPr>
              <w:adjustRightInd w:val="0"/>
              <w:snapToGrid w:val="0"/>
              <w:jc w:val="center"/>
              <w:rPr>
                <w:rFonts w:asciiTheme="minorEastAsia" w:hAnsiTheme="minorEastAsia" w:cs="Times New Roman"/>
                <w:sz w:val="28"/>
                <w:szCs w:val="28"/>
              </w:rPr>
            </w:pPr>
          </w:p>
        </w:tc>
        <w:tc>
          <w:tcPr>
            <w:tcW w:w="1985" w:type="dxa"/>
            <w:noWrap/>
            <w:vAlign w:val="center"/>
          </w:tcPr>
          <w:p w:rsidR="00E7627E" w:rsidRPr="002A03CC" w:rsidRDefault="00E7627E" w:rsidP="00A97A80">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E7627E">
            <w:pPr>
              <w:adjustRightInd w:val="0"/>
              <w:snapToGrid w:val="0"/>
              <w:jc w:val="center"/>
              <w:rPr>
                <w:rFonts w:asciiTheme="minorEastAsia" w:hAnsiTheme="minorEastAsia" w:cs="Times New Roman"/>
                <w:sz w:val="28"/>
                <w:szCs w:val="28"/>
              </w:rPr>
            </w:pPr>
          </w:p>
        </w:tc>
      </w:tr>
      <w:tr w:rsidR="001F624B" w:rsidRPr="002A03CC" w:rsidTr="00192DAB">
        <w:trPr>
          <w:trHeight w:val="270"/>
          <w:jc w:val="center"/>
        </w:trPr>
        <w:tc>
          <w:tcPr>
            <w:tcW w:w="1440" w:type="dxa"/>
            <w:noWrap/>
            <w:vAlign w:val="center"/>
          </w:tcPr>
          <w:p w:rsidR="001F624B" w:rsidRPr="002A03CC" w:rsidRDefault="001F624B" w:rsidP="00F70155">
            <w:pPr>
              <w:adjustRightInd w:val="0"/>
              <w:snapToGrid w:val="0"/>
              <w:jc w:val="center"/>
              <w:rPr>
                <w:rFonts w:asciiTheme="minorEastAsia" w:hAnsiTheme="minorEastAsia" w:cs="Times New Roman"/>
                <w:sz w:val="28"/>
                <w:szCs w:val="28"/>
              </w:rPr>
            </w:pPr>
          </w:p>
        </w:tc>
        <w:tc>
          <w:tcPr>
            <w:tcW w:w="2120" w:type="dxa"/>
            <w:noWrap/>
            <w:vAlign w:val="center"/>
          </w:tcPr>
          <w:p w:rsidR="001F624B" w:rsidRPr="002A03CC" w:rsidRDefault="001F624B" w:rsidP="005D3E41">
            <w:pPr>
              <w:adjustRightInd w:val="0"/>
              <w:snapToGrid w:val="0"/>
              <w:jc w:val="center"/>
              <w:rPr>
                <w:rFonts w:asciiTheme="minorEastAsia" w:hAnsiTheme="minorEastAsia" w:cs="Times New Roman"/>
                <w:sz w:val="28"/>
                <w:szCs w:val="28"/>
              </w:rPr>
            </w:pPr>
          </w:p>
        </w:tc>
        <w:tc>
          <w:tcPr>
            <w:tcW w:w="1056" w:type="dxa"/>
            <w:noWrap/>
            <w:vAlign w:val="center"/>
          </w:tcPr>
          <w:p w:rsidR="001F624B" w:rsidRPr="002A03CC" w:rsidRDefault="001F624B" w:rsidP="00E7627E">
            <w:pPr>
              <w:adjustRightInd w:val="0"/>
              <w:snapToGrid w:val="0"/>
              <w:jc w:val="center"/>
              <w:rPr>
                <w:rFonts w:asciiTheme="minorEastAsia" w:hAnsiTheme="minorEastAsia" w:cs="Times New Roman"/>
                <w:sz w:val="28"/>
                <w:szCs w:val="28"/>
              </w:rPr>
            </w:pPr>
          </w:p>
        </w:tc>
        <w:tc>
          <w:tcPr>
            <w:tcW w:w="1581" w:type="dxa"/>
            <w:noWrap/>
            <w:vAlign w:val="center"/>
          </w:tcPr>
          <w:p w:rsidR="001F624B" w:rsidRPr="002A03CC" w:rsidRDefault="001F624B" w:rsidP="00184655">
            <w:pPr>
              <w:adjustRightInd w:val="0"/>
              <w:snapToGrid w:val="0"/>
              <w:jc w:val="center"/>
              <w:rPr>
                <w:rFonts w:asciiTheme="minorEastAsia" w:hAnsiTheme="minorEastAsia" w:cs="Times New Roman"/>
                <w:sz w:val="28"/>
                <w:szCs w:val="28"/>
              </w:rPr>
            </w:pPr>
          </w:p>
        </w:tc>
        <w:tc>
          <w:tcPr>
            <w:tcW w:w="1985" w:type="dxa"/>
            <w:noWrap/>
            <w:vAlign w:val="center"/>
          </w:tcPr>
          <w:p w:rsidR="001F624B" w:rsidRPr="002A03CC" w:rsidRDefault="001F624B" w:rsidP="00184655">
            <w:pPr>
              <w:adjustRightInd w:val="0"/>
              <w:snapToGrid w:val="0"/>
              <w:jc w:val="center"/>
              <w:rPr>
                <w:rFonts w:asciiTheme="minorEastAsia" w:hAnsiTheme="minorEastAsia" w:cs="Times New Roman"/>
                <w:sz w:val="28"/>
                <w:szCs w:val="28"/>
              </w:rPr>
            </w:pPr>
          </w:p>
        </w:tc>
        <w:tc>
          <w:tcPr>
            <w:tcW w:w="1056" w:type="dxa"/>
            <w:noWrap/>
            <w:vAlign w:val="center"/>
          </w:tcPr>
          <w:p w:rsidR="001F624B" w:rsidRPr="002A03CC" w:rsidRDefault="001F624B" w:rsidP="006167E6">
            <w:pPr>
              <w:adjustRightInd w:val="0"/>
              <w:snapToGrid w:val="0"/>
              <w:jc w:val="center"/>
              <w:rPr>
                <w:rFonts w:asciiTheme="minorEastAsia" w:hAnsiTheme="minorEastAsia" w:cs="Times New Roman"/>
                <w:sz w:val="28"/>
                <w:szCs w:val="28"/>
              </w:rPr>
            </w:pPr>
          </w:p>
        </w:tc>
      </w:tr>
      <w:tr w:rsidR="001F624B" w:rsidRPr="002A03CC" w:rsidTr="00192DAB">
        <w:trPr>
          <w:trHeight w:val="270"/>
          <w:jc w:val="center"/>
        </w:trPr>
        <w:tc>
          <w:tcPr>
            <w:tcW w:w="1440" w:type="dxa"/>
            <w:noWrap/>
            <w:vAlign w:val="center"/>
          </w:tcPr>
          <w:p w:rsidR="001F624B" w:rsidRPr="002A03CC" w:rsidRDefault="001F624B" w:rsidP="00F70155">
            <w:pPr>
              <w:adjustRightInd w:val="0"/>
              <w:snapToGrid w:val="0"/>
              <w:jc w:val="center"/>
              <w:rPr>
                <w:rFonts w:asciiTheme="minorEastAsia" w:hAnsiTheme="minorEastAsia" w:cs="Times New Roman"/>
                <w:sz w:val="28"/>
                <w:szCs w:val="28"/>
              </w:rPr>
            </w:pPr>
          </w:p>
        </w:tc>
        <w:tc>
          <w:tcPr>
            <w:tcW w:w="2120" w:type="dxa"/>
            <w:noWrap/>
            <w:vAlign w:val="center"/>
          </w:tcPr>
          <w:p w:rsidR="001F624B" w:rsidRPr="002A03CC" w:rsidRDefault="001F624B" w:rsidP="005D3E41">
            <w:pPr>
              <w:adjustRightInd w:val="0"/>
              <w:snapToGrid w:val="0"/>
              <w:jc w:val="center"/>
              <w:rPr>
                <w:rFonts w:asciiTheme="minorEastAsia" w:hAnsiTheme="minorEastAsia" w:cs="Times New Roman"/>
                <w:sz w:val="28"/>
                <w:szCs w:val="28"/>
              </w:rPr>
            </w:pPr>
          </w:p>
        </w:tc>
        <w:tc>
          <w:tcPr>
            <w:tcW w:w="1056" w:type="dxa"/>
            <w:noWrap/>
            <w:vAlign w:val="center"/>
          </w:tcPr>
          <w:p w:rsidR="001F624B" w:rsidRPr="002A03CC" w:rsidRDefault="001F624B" w:rsidP="00E7627E">
            <w:pPr>
              <w:adjustRightInd w:val="0"/>
              <w:snapToGrid w:val="0"/>
              <w:jc w:val="center"/>
              <w:rPr>
                <w:rFonts w:asciiTheme="minorEastAsia" w:hAnsiTheme="minorEastAsia" w:cs="Times New Roman"/>
                <w:sz w:val="28"/>
                <w:szCs w:val="28"/>
              </w:rPr>
            </w:pPr>
          </w:p>
        </w:tc>
        <w:tc>
          <w:tcPr>
            <w:tcW w:w="1581" w:type="dxa"/>
            <w:noWrap/>
            <w:vAlign w:val="center"/>
          </w:tcPr>
          <w:p w:rsidR="001F624B" w:rsidRPr="002A03CC" w:rsidRDefault="001F624B" w:rsidP="00184655">
            <w:pPr>
              <w:adjustRightInd w:val="0"/>
              <w:snapToGrid w:val="0"/>
              <w:jc w:val="center"/>
              <w:rPr>
                <w:rFonts w:asciiTheme="minorEastAsia" w:hAnsiTheme="minorEastAsia" w:cs="Times New Roman"/>
                <w:sz w:val="28"/>
                <w:szCs w:val="28"/>
              </w:rPr>
            </w:pPr>
          </w:p>
        </w:tc>
        <w:tc>
          <w:tcPr>
            <w:tcW w:w="1985" w:type="dxa"/>
            <w:noWrap/>
            <w:vAlign w:val="center"/>
          </w:tcPr>
          <w:p w:rsidR="001F624B" w:rsidRPr="002A03CC" w:rsidRDefault="001F624B" w:rsidP="00184655">
            <w:pPr>
              <w:adjustRightInd w:val="0"/>
              <w:snapToGrid w:val="0"/>
              <w:jc w:val="center"/>
              <w:rPr>
                <w:rFonts w:asciiTheme="minorEastAsia" w:hAnsiTheme="minorEastAsia" w:cs="Times New Roman"/>
                <w:sz w:val="28"/>
                <w:szCs w:val="28"/>
              </w:rPr>
            </w:pPr>
          </w:p>
        </w:tc>
        <w:tc>
          <w:tcPr>
            <w:tcW w:w="1056" w:type="dxa"/>
            <w:noWrap/>
            <w:vAlign w:val="center"/>
          </w:tcPr>
          <w:p w:rsidR="001F624B" w:rsidRPr="002A03CC" w:rsidRDefault="001F624B" w:rsidP="006167E6">
            <w:pPr>
              <w:adjustRightInd w:val="0"/>
              <w:snapToGrid w:val="0"/>
              <w:jc w:val="center"/>
              <w:rPr>
                <w:rFonts w:asciiTheme="minorEastAsia" w:hAnsiTheme="minorEastAsia" w:cs="Times New Roman"/>
                <w:sz w:val="28"/>
                <w:szCs w:val="28"/>
              </w:rPr>
            </w:pPr>
          </w:p>
        </w:tc>
      </w:tr>
      <w:tr w:rsidR="001F624B" w:rsidRPr="002A03CC" w:rsidTr="00192DAB">
        <w:trPr>
          <w:trHeight w:val="270"/>
          <w:jc w:val="center"/>
        </w:trPr>
        <w:tc>
          <w:tcPr>
            <w:tcW w:w="1440" w:type="dxa"/>
            <w:noWrap/>
            <w:vAlign w:val="center"/>
          </w:tcPr>
          <w:p w:rsidR="001F624B" w:rsidRPr="002A03CC" w:rsidRDefault="001F624B" w:rsidP="00F70155">
            <w:pPr>
              <w:adjustRightInd w:val="0"/>
              <w:snapToGrid w:val="0"/>
              <w:jc w:val="center"/>
              <w:rPr>
                <w:rFonts w:asciiTheme="minorEastAsia" w:hAnsiTheme="minorEastAsia" w:cs="Times New Roman"/>
                <w:sz w:val="28"/>
                <w:szCs w:val="28"/>
              </w:rPr>
            </w:pPr>
          </w:p>
        </w:tc>
        <w:tc>
          <w:tcPr>
            <w:tcW w:w="2120" w:type="dxa"/>
            <w:noWrap/>
            <w:vAlign w:val="center"/>
          </w:tcPr>
          <w:p w:rsidR="001F624B" w:rsidRPr="002A03CC" w:rsidRDefault="001F624B" w:rsidP="005D3E41">
            <w:pPr>
              <w:adjustRightInd w:val="0"/>
              <w:snapToGrid w:val="0"/>
              <w:jc w:val="center"/>
              <w:rPr>
                <w:rFonts w:asciiTheme="minorEastAsia" w:hAnsiTheme="minorEastAsia" w:cs="Times New Roman"/>
                <w:sz w:val="28"/>
                <w:szCs w:val="28"/>
              </w:rPr>
            </w:pPr>
          </w:p>
        </w:tc>
        <w:tc>
          <w:tcPr>
            <w:tcW w:w="1056" w:type="dxa"/>
            <w:noWrap/>
            <w:vAlign w:val="center"/>
          </w:tcPr>
          <w:p w:rsidR="001F624B" w:rsidRPr="002A03CC" w:rsidRDefault="001F624B" w:rsidP="00E7627E">
            <w:pPr>
              <w:adjustRightInd w:val="0"/>
              <w:snapToGrid w:val="0"/>
              <w:jc w:val="center"/>
              <w:rPr>
                <w:rFonts w:asciiTheme="minorEastAsia" w:hAnsiTheme="minorEastAsia" w:cs="Times New Roman"/>
                <w:sz w:val="28"/>
                <w:szCs w:val="28"/>
              </w:rPr>
            </w:pPr>
          </w:p>
        </w:tc>
        <w:tc>
          <w:tcPr>
            <w:tcW w:w="1581" w:type="dxa"/>
            <w:noWrap/>
            <w:vAlign w:val="center"/>
          </w:tcPr>
          <w:p w:rsidR="001F624B" w:rsidRPr="002A03CC" w:rsidRDefault="001F624B" w:rsidP="00184655">
            <w:pPr>
              <w:adjustRightInd w:val="0"/>
              <w:snapToGrid w:val="0"/>
              <w:jc w:val="center"/>
              <w:rPr>
                <w:rFonts w:asciiTheme="minorEastAsia" w:hAnsiTheme="minorEastAsia" w:cs="Times New Roman"/>
                <w:sz w:val="28"/>
                <w:szCs w:val="28"/>
              </w:rPr>
            </w:pPr>
          </w:p>
        </w:tc>
        <w:tc>
          <w:tcPr>
            <w:tcW w:w="1985" w:type="dxa"/>
            <w:noWrap/>
            <w:vAlign w:val="center"/>
          </w:tcPr>
          <w:p w:rsidR="001F624B" w:rsidRPr="002A03CC" w:rsidRDefault="001F624B" w:rsidP="00184655">
            <w:pPr>
              <w:adjustRightInd w:val="0"/>
              <w:snapToGrid w:val="0"/>
              <w:jc w:val="center"/>
              <w:rPr>
                <w:rFonts w:asciiTheme="minorEastAsia" w:hAnsiTheme="minorEastAsia" w:cs="Times New Roman"/>
                <w:sz w:val="28"/>
                <w:szCs w:val="28"/>
              </w:rPr>
            </w:pPr>
          </w:p>
        </w:tc>
        <w:tc>
          <w:tcPr>
            <w:tcW w:w="1056" w:type="dxa"/>
            <w:noWrap/>
            <w:vAlign w:val="center"/>
          </w:tcPr>
          <w:p w:rsidR="001F624B" w:rsidRPr="002A03CC" w:rsidRDefault="001F624B" w:rsidP="006167E6">
            <w:pPr>
              <w:adjustRightInd w:val="0"/>
              <w:snapToGrid w:val="0"/>
              <w:jc w:val="center"/>
              <w:rPr>
                <w:rFonts w:asciiTheme="minorEastAsia" w:hAnsiTheme="minorEastAsia" w:cs="Times New Roman"/>
                <w:sz w:val="28"/>
                <w:szCs w:val="28"/>
              </w:rPr>
            </w:pPr>
          </w:p>
        </w:tc>
      </w:tr>
      <w:tr w:rsidR="001F624B" w:rsidRPr="002A03CC" w:rsidTr="00192DAB">
        <w:trPr>
          <w:trHeight w:val="270"/>
          <w:jc w:val="center"/>
        </w:trPr>
        <w:tc>
          <w:tcPr>
            <w:tcW w:w="1440" w:type="dxa"/>
            <w:noWrap/>
            <w:vAlign w:val="center"/>
          </w:tcPr>
          <w:p w:rsidR="001F624B" w:rsidRPr="002A03CC" w:rsidRDefault="001F624B" w:rsidP="00F70155">
            <w:pPr>
              <w:adjustRightInd w:val="0"/>
              <w:snapToGrid w:val="0"/>
              <w:jc w:val="center"/>
              <w:rPr>
                <w:rFonts w:asciiTheme="minorEastAsia" w:hAnsiTheme="minorEastAsia" w:cs="Times New Roman"/>
                <w:sz w:val="28"/>
                <w:szCs w:val="28"/>
              </w:rPr>
            </w:pPr>
          </w:p>
        </w:tc>
        <w:tc>
          <w:tcPr>
            <w:tcW w:w="2120" w:type="dxa"/>
            <w:noWrap/>
            <w:vAlign w:val="center"/>
          </w:tcPr>
          <w:p w:rsidR="001F624B" w:rsidRPr="002A03CC" w:rsidRDefault="001F624B" w:rsidP="005D3E41">
            <w:pPr>
              <w:adjustRightInd w:val="0"/>
              <w:snapToGrid w:val="0"/>
              <w:jc w:val="center"/>
              <w:rPr>
                <w:rFonts w:asciiTheme="minorEastAsia" w:hAnsiTheme="minorEastAsia" w:cs="Times New Roman"/>
                <w:sz w:val="28"/>
                <w:szCs w:val="28"/>
              </w:rPr>
            </w:pPr>
          </w:p>
        </w:tc>
        <w:tc>
          <w:tcPr>
            <w:tcW w:w="1056" w:type="dxa"/>
            <w:noWrap/>
            <w:vAlign w:val="center"/>
          </w:tcPr>
          <w:p w:rsidR="001F624B" w:rsidRPr="002A03CC" w:rsidRDefault="001F624B" w:rsidP="00E7627E">
            <w:pPr>
              <w:adjustRightInd w:val="0"/>
              <w:snapToGrid w:val="0"/>
              <w:jc w:val="center"/>
              <w:rPr>
                <w:rFonts w:asciiTheme="minorEastAsia" w:hAnsiTheme="minorEastAsia" w:cs="Times New Roman"/>
                <w:sz w:val="28"/>
                <w:szCs w:val="28"/>
              </w:rPr>
            </w:pPr>
          </w:p>
        </w:tc>
        <w:tc>
          <w:tcPr>
            <w:tcW w:w="1581" w:type="dxa"/>
            <w:noWrap/>
            <w:vAlign w:val="center"/>
          </w:tcPr>
          <w:p w:rsidR="001F624B" w:rsidRPr="002A03CC" w:rsidRDefault="001F624B" w:rsidP="00184655">
            <w:pPr>
              <w:adjustRightInd w:val="0"/>
              <w:snapToGrid w:val="0"/>
              <w:jc w:val="center"/>
              <w:rPr>
                <w:rFonts w:asciiTheme="minorEastAsia" w:hAnsiTheme="minorEastAsia" w:cs="Times New Roman"/>
                <w:sz w:val="28"/>
                <w:szCs w:val="28"/>
              </w:rPr>
            </w:pPr>
          </w:p>
        </w:tc>
        <w:tc>
          <w:tcPr>
            <w:tcW w:w="1985" w:type="dxa"/>
            <w:noWrap/>
            <w:vAlign w:val="center"/>
          </w:tcPr>
          <w:p w:rsidR="001F624B" w:rsidRPr="002A03CC" w:rsidRDefault="001F624B" w:rsidP="00184655">
            <w:pPr>
              <w:adjustRightInd w:val="0"/>
              <w:snapToGrid w:val="0"/>
              <w:jc w:val="center"/>
              <w:rPr>
                <w:rFonts w:asciiTheme="minorEastAsia" w:hAnsiTheme="minorEastAsia" w:cs="Times New Roman"/>
                <w:sz w:val="28"/>
                <w:szCs w:val="28"/>
              </w:rPr>
            </w:pPr>
          </w:p>
        </w:tc>
        <w:tc>
          <w:tcPr>
            <w:tcW w:w="1056" w:type="dxa"/>
            <w:noWrap/>
            <w:vAlign w:val="center"/>
          </w:tcPr>
          <w:p w:rsidR="001F624B" w:rsidRPr="002A03CC" w:rsidRDefault="001F624B" w:rsidP="006167E6">
            <w:pPr>
              <w:adjustRightInd w:val="0"/>
              <w:snapToGrid w:val="0"/>
              <w:jc w:val="center"/>
              <w:rPr>
                <w:rFonts w:asciiTheme="minorEastAsia" w:hAnsiTheme="minorEastAsia" w:cs="Times New Roman"/>
                <w:sz w:val="28"/>
                <w:szCs w:val="28"/>
              </w:rPr>
            </w:pPr>
          </w:p>
        </w:tc>
      </w:tr>
      <w:tr w:rsidR="001F624B" w:rsidRPr="002A03CC" w:rsidTr="00192DAB">
        <w:trPr>
          <w:trHeight w:val="270"/>
          <w:jc w:val="center"/>
        </w:trPr>
        <w:tc>
          <w:tcPr>
            <w:tcW w:w="1440" w:type="dxa"/>
            <w:noWrap/>
            <w:vAlign w:val="center"/>
          </w:tcPr>
          <w:p w:rsidR="001F624B" w:rsidRPr="002A03CC" w:rsidRDefault="001F624B" w:rsidP="00F70155">
            <w:pPr>
              <w:adjustRightInd w:val="0"/>
              <w:snapToGrid w:val="0"/>
              <w:jc w:val="center"/>
              <w:rPr>
                <w:rFonts w:asciiTheme="minorEastAsia" w:hAnsiTheme="minorEastAsia" w:cs="Times New Roman"/>
                <w:sz w:val="28"/>
                <w:szCs w:val="28"/>
              </w:rPr>
            </w:pPr>
          </w:p>
        </w:tc>
        <w:tc>
          <w:tcPr>
            <w:tcW w:w="2120" w:type="dxa"/>
            <w:noWrap/>
            <w:vAlign w:val="center"/>
          </w:tcPr>
          <w:p w:rsidR="001F624B" w:rsidRPr="002A03CC" w:rsidRDefault="001F624B" w:rsidP="005D3E41">
            <w:pPr>
              <w:adjustRightInd w:val="0"/>
              <w:snapToGrid w:val="0"/>
              <w:jc w:val="center"/>
              <w:rPr>
                <w:rFonts w:asciiTheme="minorEastAsia" w:hAnsiTheme="minorEastAsia" w:cs="Times New Roman"/>
                <w:sz w:val="28"/>
                <w:szCs w:val="28"/>
              </w:rPr>
            </w:pPr>
          </w:p>
        </w:tc>
        <w:tc>
          <w:tcPr>
            <w:tcW w:w="1056" w:type="dxa"/>
            <w:noWrap/>
            <w:vAlign w:val="center"/>
          </w:tcPr>
          <w:p w:rsidR="001F624B" w:rsidRPr="002A03CC" w:rsidRDefault="001F624B" w:rsidP="00E7627E">
            <w:pPr>
              <w:adjustRightInd w:val="0"/>
              <w:snapToGrid w:val="0"/>
              <w:jc w:val="center"/>
              <w:rPr>
                <w:rFonts w:asciiTheme="minorEastAsia" w:hAnsiTheme="minorEastAsia" w:cs="Times New Roman"/>
                <w:sz w:val="28"/>
                <w:szCs w:val="28"/>
              </w:rPr>
            </w:pPr>
          </w:p>
        </w:tc>
        <w:tc>
          <w:tcPr>
            <w:tcW w:w="1581" w:type="dxa"/>
            <w:noWrap/>
            <w:vAlign w:val="center"/>
          </w:tcPr>
          <w:p w:rsidR="001F624B" w:rsidRPr="002A03CC" w:rsidRDefault="001F624B" w:rsidP="00184655">
            <w:pPr>
              <w:adjustRightInd w:val="0"/>
              <w:snapToGrid w:val="0"/>
              <w:jc w:val="center"/>
              <w:rPr>
                <w:rFonts w:asciiTheme="minorEastAsia" w:hAnsiTheme="minorEastAsia" w:cs="Times New Roman"/>
                <w:sz w:val="28"/>
                <w:szCs w:val="28"/>
              </w:rPr>
            </w:pPr>
          </w:p>
        </w:tc>
        <w:tc>
          <w:tcPr>
            <w:tcW w:w="1985" w:type="dxa"/>
            <w:noWrap/>
            <w:vAlign w:val="center"/>
          </w:tcPr>
          <w:p w:rsidR="001F624B" w:rsidRPr="002A03CC" w:rsidRDefault="001F624B" w:rsidP="00184655">
            <w:pPr>
              <w:adjustRightInd w:val="0"/>
              <w:snapToGrid w:val="0"/>
              <w:jc w:val="center"/>
              <w:rPr>
                <w:rFonts w:asciiTheme="minorEastAsia" w:hAnsiTheme="minorEastAsia" w:cs="Times New Roman"/>
                <w:sz w:val="28"/>
                <w:szCs w:val="28"/>
              </w:rPr>
            </w:pPr>
          </w:p>
        </w:tc>
        <w:tc>
          <w:tcPr>
            <w:tcW w:w="1056" w:type="dxa"/>
            <w:noWrap/>
            <w:vAlign w:val="center"/>
          </w:tcPr>
          <w:p w:rsidR="001F624B" w:rsidRPr="002A03CC" w:rsidRDefault="001F624B" w:rsidP="006167E6">
            <w:pPr>
              <w:adjustRightInd w:val="0"/>
              <w:snapToGrid w:val="0"/>
              <w:jc w:val="center"/>
              <w:rPr>
                <w:rFonts w:asciiTheme="minorEastAsia" w:hAnsiTheme="minorEastAsia" w:cs="Times New Roman"/>
                <w:sz w:val="28"/>
                <w:szCs w:val="28"/>
              </w:rPr>
            </w:pPr>
          </w:p>
        </w:tc>
      </w:tr>
      <w:tr w:rsidR="001F624B" w:rsidRPr="002A03CC" w:rsidTr="00192DAB">
        <w:trPr>
          <w:trHeight w:val="270"/>
          <w:jc w:val="center"/>
        </w:trPr>
        <w:tc>
          <w:tcPr>
            <w:tcW w:w="1440" w:type="dxa"/>
            <w:noWrap/>
            <w:vAlign w:val="center"/>
          </w:tcPr>
          <w:p w:rsidR="001F624B" w:rsidRPr="002A03CC" w:rsidRDefault="001F624B" w:rsidP="00F70155">
            <w:pPr>
              <w:adjustRightInd w:val="0"/>
              <w:snapToGrid w:val="0"/>
              <w:jc w:val="center"/>
              <w:rPr>
                <w:rFonts w:asciiTheme="minorEastAsia" w:hAnsiTheme="minorEastAsia" w:cs="Times New Roman"/>
                <w:sz w:val="28"/>
                <w:szCs w:val="28"/>
              </w:rPr>
            </w:pPr>
          </w:p>
        </w:tc>
        <w:tc>
          <w:tcPr>
            <w:tcW w:w="2120" w:type="dxa"/>
            <w:noWrap/>
            <w:vAlign w:val="center"/>
          </w:tcPr>
          <w:p w:rsidR="001F624B" w:rsidRPr="002A03CC" w:rsidRDefault="001F624B" w:rsidP="005D3E41">
            <w:pPr>
              <w:adjustRightInd w:val="0"/>
              <w:snapToGrid w:val="0"/>
              <w:jc w:val="center"/>
              <w:rPr>
                <w:rFonts w:asciiTheme="minorEastAsia" w:hAnsiTheme="minorEastAsia" w:cs="Times New Roman"/>
                <w:sz w:val="28"/>
                <w:szCs w:val="28"/>
              </w:rPr>
            </w:pPr>
          </w:p>
        </w:tc>
        <w:tc>
          <w:tcPr>
            <w:tcW w:w="1056" w:type="dxa"/>
            <w:noWrap/>
            <w:vAlign w:val="center"/>
          </w:tcPr>
          <w:p w:rsidR="001F624B" w:rsidRPr="002A03CC" w:rsidRDefault="001F624B" w:rsidP="00E7627E">
            <w:pPr>
              <w:adjustRightInd w:val="0"/>
              <w:snapToGrid w:val="0"/>
              <w:jc w:val="center"/>
              <w:rPr>
                <w:rFonts w:asciiTheme="minorEastAsia" w:hAnsiTheme="minorEastAsia" w:cs="Times New Roman"/>
                <w:sz w:val="28"/>
                <w:szCs w:val="28"/>
              </w:rPr>
            </w:pPr>
          </w:p>
        </w:tc>
        <w:tc>
          <w:tcPr>
            <w:tcW w:w="1581" w:type="dxa"/>
            <w:noWrap/>
            <w:vAlign w:val="center"/>
          </w:tcPr>
          <w:p w:rsidR="001F624B" w:rsidRPr="002A03CC" w:rsidRDefault="001F624B" w:rsidP="00184655">
            <w:pPr>
              <w:adjustRightInd w:val="0"/>
              <w:snapToGrid w:val="0"/>
              <w:jc w:val="center"/>
              <w:rPr>
                <w:rFonts w:asciiTheme="minorEastAsia" w:hAnsiTheme="minorEastAsia" w:cs="Times New Roman"/>
                <w:sz w:val="28"/>
                <w:szCs w:val="28"/>
              </w:rPr>
            </w:pPr>
          </w:p>
        </w:tc>
        <w:tc>
          <w:tcPr>
            <w:tcW w:w="1985" w:type="dxa"/>
            <w:noWrap/>
            <w:vAlign w:val="center"/>
          </w:tcPr>
          <w:p w:rsidR="001F624B" w:rsidRPr="002A03CC" w:rsidRDefault="001F624B" w:rsidP="00184655">
            <w:pPr>
              <w:adjustRightInd w:val="0"/>
              <w:snapToGrid w:val="0"/>
              <w:jc w:val="center"/>
              <w:rPr>
                <w:rFonts w:asciiTheme="minorEastAsia" w:hAnsiTheme="minorEastAsia" w:cs="Times New Roman"/>
                <w:sz w:val="28"/>
                <w:szCs w:val="28"/>
              </w:rPr>
            </w:pPr>
          </w:p>
        </w:tc>
        <w:tc>
          <w:tcPr>
            <w:tcW w:w="1056" w:type="dxa"/>
            <w:noWrap/>
            <w:vAlign w:val="center"/>
          </w:tcPr>
          <w:p w:rsidR="001F624B" w:rsidRPr="002A03CC" w:rsidRDefault="001F624B" w:rsidP="006167E6">
            <w:pPr>
              <w:adjustRightInd w:val="0"/>
              <w:snapToGrid w:val="0"/>
              <w:jc w:val="center"/>
              <w:rPr>
                <w:rFonts w:asciiTheme="minorEastAsia" w:hAnsiTheme="minorEastAsia" w:cs="Times New Roman"/>
                <w:sz w:val="28"/>
                <w:szCs w:val="28"/>
              </w:rPr>
            </w:pPr>
          </w:p>
        </w:tc>
      </w:tr>
      <w:tr w:rsidR="00E7627E" w:rsidRPr="002A03CC" w:rsidTr="00192DAB">
        <w:trPr>
          <w:trHeight w:val="270"/>
          <w:jc w:val="center"/>
        </w:trPr>
        <w:tc>
          <w:tcPr>
            <w:tcW w:w="1440" w:type="dxa"/>
            <w:noWrap/>
            <w:vAlign w:val="center"/>
          </w:tcPr>
          <w:p w:rsidR="00E7627E" w:rsidRPr="002A03CC" w:rsidRDefault="00E7627E" w:rsidP="00F70155">
            <w:pPr>
              <w:adjustRightInd w:val="0"/>
              <w:snapToGrid w:val="0"/>
              <w:jc w:val="center"/>
              <w:rPr>
                <w:rFonts w:asciiTheme="minorEastAsia" w:hAnsiTheme="minorEastAsia" w:cs="Times New Roman"/>
                <w:sz w:val="28"/>
                <w:szCs w:val="28"/>
              </w:rPr>
            </w:pPr>
          </w:p>
        </w:tc>
        <w:tc>
          <w:tcPr>
            <w:tcW w:w="2120" w:type="dxa"/>
            <w:noWrap/>
            <w:vAlign w:val="center"/>
          </w:tcPr>
          <w:p w:rsidR="00E7627E" w:rsidRPr="002A03CC" w:rsidRDefault="00E7627E" w:rsidP="005D3E41">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E7627E">
            <w:pPr>
              <w:adjustRightInd w:val="0"/>
              <w:snapToGrid w:val="0"/>
              <w:jc w:val="center"/>
              <w:rPr>
                <w:rFonts w:asciiTheme="minorEastAsia" w:hAnsiTheme="minorEastAsia" w:cs="Times New Roman"/>
                <w:sz w:val="28"/>
                <w:szCs w:val="28"/>
              </w:rPr>
            </w:pPr>
          </w:p>
        </w:tc>
        <w:tc>
          <w:tcPr>
            <w:tcW w:w="1581" w:type="dxa"/>
            <w:noWrap/>
            <w:vAlign w:val="center"/>
          </w:tcPr>
          <w:p w:rsidR="00E7627E" w:rsidRPr="002A03CC" w:rsidRDefault="00E7627E" w:rsidP="00184655">
            <w:pPr>
              <w:adjustRightInd w:val="0"/>
              <w:snapToGrid w:val="0"/>
              <w:jc w:val="center"/>
              <w:rPr>
                <w:rFonts w:asciiTheme="minorEastAsia" w:hAnsiTheme="minorEastAsia" w:cs="Times New Roman"/>
                <w:sz w:val="28"/>
                <w:szCs w:val="28"/>
              </w:rPr>
            </w:pPr>
          </w:p>
        </w:tc>
        <w:tc>
          <w:tcPr>
            <w:tcW w:w="1985" w:type="dxa"/>
            <w:noWrap/>
            <w:vAlign w:val="center"/>
          </w:tcPr>
          <w:p w:rsidR="00E7627E" w:rsidRPr="002A03CC" w:rsidRDefault="00E7627E" w:rsidP="00184655">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6167E6">
            <w:pPr>
              <w:adjustRightInd w:val="0"/>
              <w:snapToGrid w:val="0"/>
              <w:jc w:val="center"/>
              <w:rPr>
                <w:rFonts w:asciiTheme="minorEastAsia" w:hAnsiTheme="minorEastAsia" w:cs="Times New Roman"/>
                <w:sz w:val="28"/>
                <w:szCs w:val="28"/>
              </w:rPr>
            </w:pPr>
          </w:p>
        </w:tc>
      </w:tr>
      <w:tr w:rsidR="00E7627E" w:rsidRPr="002A03CC" w:rsidTr="00192DAB">
        <w:trPr>
          <w:trHeight w:val="270"/>
          <w:jc w:val="center"/>
        </w:trPr>
        <w:tc>
          <w:tcPr>
            <w:tcW w:w="1440" w:type="dxa"/>
            <w:noWrap/>
            <w:vAlign w:val="center"/>
          </w:tcPr>
          <w:p w:rsidR="00E7627E" w:rsidRPr="002A03CC" w:rsidRDefault="00E7627E" w:rsidP="00F70155">
            <w:pPr>
              <w:adjustRightInd w:val="0"/>
              <w:snapToGrid w:val="0"/>
              <w:jc w:val="center"/>
              <w:rPr>
                <w:rFonts w:asciiTheme="minorEastAsia" w:hAnsiTheme="minorEastAsia" w:cs="Times New Roman"/>
                <w:sz w:val="28"/>
                <w:szCs w:val="28"/>
              </w:rPr>
            </w:pPr>
          </w:p>
        </w:tc>
        <w:tc>
          <w:tcPr>
            <w:tcW w:w="2120" w:type="dxa"/>
            <w:noWrap/>
            <w:vAlign w:val="center"/>
          </w:tcPr>
          <w:p w:rsidR="00E7627E" w:rsidRPr="002A03CC" w:rsidRDefault="00E7627E" w:rsidP="005D3E41">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E7627E">
            <w:pPr>
              <w:adjustRightInd w:val="0"/>
              <w:snapToGrid w:val="0"/>
              <w:jc w:val="center"/>
              <w:rPr>
                <w:rFonts w:asciiTheme="minorEastAsia" w:hAnsiTheme="minorEastAsia" w:cs="Times New Roman"/>
                <w:sz w:val="28"/>
                <w:szCs w:val="28"/>
              </w:rPr>
            </w:pPr>
          </w:p>
        </w:tc>
        <w:tc>
          <w:tcPr>
            <w:tcW w:w="1581" w:type="dxa"/>
            <w:noWrap/>
            <w:vAlign w:val="center"/>
          </w:tcPr>
          <w:p w:rsidR="00E7627E" w:rsidRPr="002A03CC" w:rsidRDefault="00E7627E" w:rsidP="00184655">
            <w:pPr>
              <w:adjustRightInd w:val="0"/>
              <w:snapToGrid w:val="0"/>
              <w:jc w:val="center"/>
              <w:rPr>
                <w:rFonts w:asciiTheme="minorEastAsia" w:hAnsiTheme="minorEastAsia" w:cs="Times New Roman"/>
                <w:sz w:val="28"/>
                <w:szCs w:val="28"/>
              </w:rPr>
            </w:pPr>
          </w:p>
        </w:tc>
        <w:tc>
          <w:tcPr>
            <w:tcW w:w="1985" w:type="dxa"/>
            <w:noWrap/>
            <w:vAlign w:val="center"/>
          </w:tcPr>
          <w:p w:rsidR="00E7627E" w:rsidRPr="002A03CC" w:rsidRDefault="00E7627E" w:rsidP="00184655">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6167E6">
            <w:pPr>
              <w:adjustRightInd w:val="0"/>
              <w:snapToGrid w:val="0"/>
              <w:jc w:val="center"/>
              <w:rPr>
                <w:rFonts w:asciiTheme="minorEastAsia" w:hAnsiTheme="minorEastAsia" w:cs="Times New Roman"/>
                <w:sz w:val="28"/>
                <w:szCs w:val="28"/>
              </w:rPr>
            </w:pPr>
          </w:p>
        </w:tc>
      </w:tr>
      <w:tr w:rsidR="00E7627E" w:rsidRPr="002A03CC" w:rsidTr="004564D7">
        <w:trPr>
          <w:trHeight w:val="270"/>
          <w:jc w:val="center"/>
        </w:trPr>
        <w:tc>
          <w:tcPr>
            <w:tcW w:w="1440" w:type="dxa"/>
            <w:noWrap/>
            <w:vAlign w:val="center"/>
          </w:tcPr>
          <w:p w:rsidR="00E7627E" w:rsidRPr="002A03CC" w:rsidRDefault="00E7627E" w:rsidP="00F70155">
            <w:pPr>
              <w:adjustRightInd w:val="0"/>
              <w:snapToGrid w:val="0"/>
              <w:jc w:val="center"/>
              <w:rPr>
                <w:rFonts w:asciiTheme="minorEastAsia" w:hAnsiTheme="minorEastAsia" w:cs="Times New Roman"/>
                <w:sz w:val="28"/>
                <w:szCs w:val="28"/>
              </w:rPr>
            </w:pPr>
          </w:p>
        </w:tc>
        <w:tc>
          <w:tcPr>
            <w:tcW w:w="2120" w:type="dxa"/>
            <w:noWrap/>
            <w:vAlign w:val="center"/>
          </w:tcPr>
          <w:p w:rsidR="00E7627E" w:rsidRPr="002A03CC" w:rsidRDefault="00E7627E" w:rsidP="00E7627E">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E7627E">
            <w:pPr>
              <w:adjustRightInd w:val="0"/>
              <w:snapToGrid w:val="0"/>
              <w:jc w:val="center"/>
              <w:rPr>
                <w:rFonts w:asciiTheme="minorEastAsia" w:hAnsiTheme="minorEastAsia" w:cs="Times New Roman"/>
                <w:sz w:val="28"/>
                <w:szCs w:val="28"/>
              </w:rPr>
            </w:pPr>
          </w:p>
        </w:tc>
        <w:tc>
          <w:tcPr>
            <w:tcW w:w="1581" w:type="dxa"/>
            <w:noWrap/>
            <w:vAlign w:val="center"/>
          </w:tcPr>
          <w:p w:rsidR="00E7627E" w:rsidRPr="002A03CC" w:rsidRDefault="00E7627E" w:rsidP="007007D0">
            <w:pPr>
              <w:adjustRightInd w:val="0"/>
              <w:snapToGrid w:val="0"/>
              <w:jc w:val="center"/>
              <w:rPr>
                <w:rFonts w:asciiTheme="minorEastAsia" w:hAnsiTheme="minorEastAsia" w:cs="Times New Roman"/>
                <w:sz w:val="28"/>
                <w:szCs w:val="28"/>
              </w:rPr>
            </w:pPr>
          </w:p>
        </w:tc>
        <w:tc>
          <w:tcPr>
            <w:tcW w:w="1985" w:type="dxa"/>
            <w:noWrap/>
            <w:vAlign w:val="center"/>
          </w:tcPr>
          <w:p w:rsidR="00E7627E" w:rsidRPr="002A03CC" w:rsidRDefault="00E7627E" w:rsidP="007007D0">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7007D0">
            <w:pPr>
              <w:adjustRightInd w:val="0"/>
              <w:snapToGrid w:val="0"/>
              <w:jc w:val="center"/>
              <w:rPr>
                <w:rFonts w:asciiTheme="minorEastAsia" w:hAnsiTheme="minorEastAsia" w:cs="Times New Roman"/>
                <w:sz w:val="28"/>
                <w:szCs w:val="28"/>
              </w:rPr>
            </w:pPr>
          </w:p>
        </w:tc>
      </w:tr>
      <w:tr w:rsidR="00E7627E" w:rsidRPr="002A03CC" w:rsidTr="004564D7">
        <w:trPr>
          <w:trHeight w:val="270"/>
          <w:jc w:val="center"/>
        </w:trPr>
        <w:tc>
          <w:tcPr>
            <w:tcW w:w="1440" w:type="dxa"/>
            <w:noWrap/>
            <w:vAlign w:val="center"/>
          </w:tcPr>
          <w:p w:rsidR="00E7627E" w:rsidRPr="002A03CC" w:rsidRDefault="00E7627E" w:rsidP="00F70155">
            <w:pPr>
              <w:adjustRightInd w:val="0"/>
              <w:snapToGrid w:val="0"/>
              <w:jc w:val="center"/>
              <w:rPr>
                <w:rFonts w:asciiTheme="minorEastAsia" w:hAnsiTheme="minorEastAsia" w:cs="Times New Roman"/>
                <w:sz w:val="28"/>
                <w:szCs w:val="28"/>
              </w:rPr>
            </w:pPr>
          </w:p>
        </w:tc>
        <w:tc>
          <w:tcPr>
            <w:tcW w:w="2120" w:type="dxa"/>
            <w:noWrap/>
            <w:vAlign w:val="center"/>
          </w:tcPr>
          <w:p w:rsidR="00E7627E" w:rsidRPr="002A03CC" w:rsidRDefault="00E7627E" w:rsidP="00F70155">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E7627E">
            <w:pPr>
              <w:adjustRightInd w:val="0"/>
              <w:snapToGrid w:val="0"/>
              <w:jc w:val="center"/>
              <w:rPr>
                <w:rFonts w:asciiTheme="minorEastAsia" w:hAnsiTheme="minorEastAsia" w:cs="Times New Roman"/>
                <w:sz w:val="28"/>
                <w:szCs w:val="28"/>
              </w:rPr>
            </w:pPr>
          </w:p>
        </w:tc>
        <w:tc>
          <w:tcPr>
            <w:tcW w:w="1581" w:type="dxa"/>
            <w:noWrap/>
            <w:vAlign w:val="center"/>
          </w:tcPr>
          <w:p w:rsidR="00E7627E" w:rsidRPr="002A03CC" w:rsidRDefault="00E7627E" w:rsidP="007007D0">
            <w:pPr>
              <w:adjustRightInd w:val="0"/>
              <w:snapToGrid w:val="0"/>
              <w:jc w:val="center"/>
              <w:rPr>
                <w:rFonts w:asciiTheme="minorEastAsia" w:hAnsiTheme="minorEastAsia" w:cs="Times New Roman"/>
                <w:sz w:val="28"/>
                <w:szCs w:val="28"/>
              </w:rPr>
            </w:pPr>
          </w:p>
        </w:tc>
        <w:tc>
          <w:tcPr>
            <w:tcW w:w="1985" w:type="dxa"/>
            <w:noWrap/>
            <w:vAlign w:val="center"/>
          </w:tcPr>
          <w:p w:rsidR="00E7627E" w:rsidRPr="002A03CC" w:rsidRDefault="00E7627E" w:rsidP="007007D0">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7007D0">
            <w:pPr>
              <w:adjustRightInd w:val="0"/>
              <w:snapToGrid w:val="0"/>
              <w:jc w:val="center"/>
              <w:rPr>
                <w:rFonts w:asciiTheme="minorEastAsia" w:hAnsiTheme="minorEastAsia" w:cs="Times New Roman"/>
                <w:sz w:val="28"/>
                <w:szCs w:val="28"/>
              </w:rPr>
            </w:pPr>
          </w:p>
        </w:tc>
      </w:tr>
      <w:tr w:rsidR="00E7627E" w:rsidRPr="002A03CC" w:rsidTr="00F70155">
        <w:trPr>
          <w:trHeight w:val="270"/>
          <w:jc w:val="center"/>
        </w:trPr>
        <w:tc>
          <w:tcPr>
            <w:tcW w:w="1440" w:type="dxa"/>
            <w:noWrap/>
            <w:vAlign w:val="center"/>
          </w:tcPr>
          <w:p w:rsidR="00E7627E" w:rsidRPr="002A03CC" w:rsidRDefault="00E7627E" w:rsidP="00363A47">
            <w:pPr>
              <w:adjustRightInd w:val="0"/>
              <w:snapToGrid w:val="0"/>
              <w:jc w:val="center"/>
              <w:rPr>
                <w:rFonts w:asciiTheme="minorEastAsia" w:hAnsiTheme="minorEastAsia" w:cs="Times New Roman"/>
                <w:sz w:val="28"/>
                <w:szCs w:val="28"/>
              </w:rPr>
            </w:pPr>
          </w:p>
        </w:tc>
        <w:tc>
          <w:tcPr>
            <w:tcW w:w="2120" w:type="dxa"/>
            <w:noWrap/>
            <w:vAlign w:val="center"/>
          </w:tcPr>
          <w:p w:rsidR="00E7627E" w:rsidRPr="002A03CC" w:rsidRDefault="00E7627E" w:rsidP="00363A47">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E7627E">
            <w:pPr>
              <w:adjustRightInd w:val="0"/>
              <w:snapToGrid w:val="0"/>
              <w:jc w:val="center"/>
              <w:rPr>
                <w:rFonts w:asciiTheme="minorEastAsia" w:hAnsiTheme="minorEastAsia" w:cs="Times New Roman"/>
                <w:sz w:val="28"/>
                <w:szCs w:val="28"/>
              </w:rPr>
            </w:pPr>
          </w:p>
        </w:tc>
        <w:tc>
          <w:tcPr>
            <w:tcW w:w="1581" w:type="dxa"/>
            <w:noWrap/>
            <w:vAlign w:val="center"/>
          </w:tcPr>
          <w:p w:rsidR="00E7627E" w:rsidRPr="002A03CC" w:rsidRDefault="00E7627E" w:rsidP="00192DAB">
            <w:pPr>
              <w:adjustRightInd w:val="0"/>
              <w:snapToGrid w:val="0"/>
              <w:jc w:val="center"/>
              <w:rPr>
                <w:rFonts w:asciiTheme="minorEastAsia" w:hAnsiTheme="minorEastAsia" w:cs="Times New Roman"/>
                <w:sz w:val="28"/>
                <w:szCs w:val="28"/>
              </w:rPr>
            </w:pPr>
          </w:p>
        </w:tc>
        <w:tc>
          <w:tcPr>
            <w:tcW w:w="1985" w:type="dxa"/>
            <w:noWrap/>
            <w:vAlign w:val="center"/>
          </w:tcPr>
          <w:p w:rsidR="00E7627E" w:rsidRPr="002A03CC" w:rsidRDefault="00E7627E" w:rsidP="008B0E56">
            <w:pPr>
              <w:adjustRightInd w:val="0"/>
              <w:snapToGrid w:val="0"/>
              <w:jc w:val="center"/>
              <w:rPr>
                <w:color w:val="000000"/>
                <w:sz w:val="28"/>
                <w:szCs w:val="28"/>
              </w:rPr>
            </w:pPr>
          </w:p>
        </w:tc>
        <w:tc>
          <w:tcPr>
            <w:tcW w:w="1056" w:type="dxa"/>
            <w:noWrap/>
            <w:vAlign w:val="center"/>
          </w:tcPr>
          <w:p w:rsidR="00E7627E" w:rsidRPr="002A03CC" w:rsidRDefault="00E7627E" w:rsidP="008B0E56">
            <w:pPr>
              <w:adjustRightInd w:val="0"/>
              <w:snapToGrid w:val="0"/>
              <w:jc w:val="center"/>
              <w:rPr>
                <w:color w:val="000000"/>
                <w:sz w:val="28"/>
                <w:szCs w:val="28"/>
              </w:rPr>
            </w:pPr>
          </w:p>
        </w:tc>
      </w:tr>
      <w:tr w:rsidR="00E7627E" w:rsidRPr="002A03CC" w:rsidTr="00363A47">
        <w:trPr>
          <w:trHeight w:val="270"/>
          <w:jc w:val="center"/>
        </w:trPr>
        <w:tc>
          <w:tcPr>
            <w:tcW w:w="1440" w:type="dxa"/>
            <w:noWrap/>
            <w:vAlign w:val="center"/>
          </w:tcPr>
          <w:p w:rsidR="00E7627E" w:rsidRPr="002A03CC" w:rsidRDefault="00E7627E" w:rsidP="00363A47">
            <w:pPr>
              <w:adjustRightInd w:val="0"/>
              <w:snapToGrid w:val="0"/>
              <w:jc w:val="center"/>
              <w:rPr>
                <w:rFonts w:asciiTheme="minorEastAsia" w:hAnsiTheme="minorEastAsia" w:cs="Times New Roman"/>
                <w:sz w:val="28"/>
                <w:szCs w:val="28"/>
              </w:rPr>
            </w:pPr>
          </w:p>
        </w:tc>
        <w:tc>
          <w:tcPr>
            <w:tcW w:w="2120" w:type="dxa"/>
            <w:noWrap/>
            <w:vAlign w:val="center"/>
          </w:tcPr>
          <w:p w:rsidR="00E7627E" w:rsidRPr="002A03CC" w:rsidRDefault="00E7627E" w:rsidP="00363A47">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E7627E">
            <w:pPr>
              <w:adjustRightInd w:val="0"/>
              <w:snapToGrid w:val="0"/>
              <w:jc w:val="center"/>
              <w:rPr>
                <w:rFonts w:asciiTheme="minorEastAsia" w:hAnsiTheme="minorEastAsia" w:cs="Times New Roman"/>
                <w:sz w:val="28"/>
                <w:szCs w:val="28"/>
              </w:rPr>
            </w:pPr>
          </w:p>
        </w:tc>
        <w:tc>
          <w:tcPr>
            <w:tcW w:w="1581" w:type="dxa"/>
            <w:noWrap/>
            <w:vAlign w:val="center"/>
          </w:tcPr>
          <w:p w:rsidR="00E7627E" w:rsidRPr="002A03CC" w:rsidRDefault="00E7627E" w:rsidP="00192DAB">
            <w:pPr>
              <w:adjustRightInd w:val="0"/>
              <w:snapToGrid w:val="0"/>
              <w:jc w:val="center"/>
              <w:rPr>
                <w:rFonts w:asciiTheme="minorEastAsia" w:hAnsiTheme="minorEastAsia" w:cs="Times New Roman"/>
                <w:sz w:val="28"/>
                <w:szCs w:val="28"/>
              </w:rPr>
            </w:pPr>
          </w:p>
        </w:tc>
        <w:tc>
          <w:tcPr>
            <w:tcW w:w="1985" w:type="dxa"/>
            <w:noWrap/>
            <w:vAlign w:val="center"/>
          </w:tcPr>
          <w:p w:rsidR="00E7627E" w:rsidRPr="002A03CC" w:rsidRDefault="00E7627E" w:rsidP="008B0E56">
            <w:pPr>
              <w:adjustRightInd w:val="0"/>
              <w:snapToGrid w:val="0"/>
              <w:jc w:val="center"/>
              <w:rPr>
                <w:color w:val="000000"/>
                <w:sz w:val="28"/>
                <w:szCs w:val="28"/>
              </w:rPr>
            </w:pPr>
          </w:p>
        </w:tc>
        <w:tc>
          <w:tcPr>
            <w:tcW w:w="1056" w:type="dxa"/>
            <w:noWrap/>
            <w:vAlign w:val="center"/>
          </w:tcPr>
          <w:p w:rsidR="00E7627E" w:rsidRPr="002A03CC" w:rsidRDefault="00E7627E" w:rsidP="008B0E56">
            <w:pPr>
              <w:adjustRightInd w:val="0"/>
              <w:snapToGrid w:val="0"/>
              <w:jc w:val="center"/>
              <w:rPr>
                <w:color w:val="000000"/>
                <w:sz w:val="28"/>
                <w:szCs w:val="28"/>
              </w:rPr>
            </w:pPr>
          </w:p>
        </w:tc>
      </w:tr>
      <w:tr w:rsidR="00E7627E" w:rsidRPr="002A03CC" w:rsidTr="00363A47">
        <w:trPr>
          <w:trHeight w:val="270"/>
          <w:jc w:val="center"/>
        </w:trPr>
        <w:tc>
          <w:tcPr>
            <w:tcW w:w="1440" w:type="dxa"/>
            <w:noWrap/>
            <w:vAlign w:val="center"/>
          </w:tcPr>
          <w:p w:rsidR="00E7627E" w:rsidRPr="002A03CC" w:rsidRDefault="00E7627E" w:rsidP="00363A47">
            <w:pPr>
              <w:adjustRightInd w:val="0"/>
              <w:snapToGrid w:val="0"/>
              <w:jc w:val="center"/>
              <w:rPr>
                <w:rFonts w:asciiTheme="minorEastAsia" w:hAnsiTheme="minorEastAsia" w:cs="Times New Roman"/>
                <w:sz w:val="28"/>
                <w:szCs w:val="28"/>
              </w:rPr>
            </w:pPr>
          </w:p>
        </w:tc>
        <w:tc>
          <w:tcPr>
            <w:tcW w:w="2120" w:type="dxa"/>
            <w:noWrap/>
            <w:vAlign w:val="center"/>
          </w:tcPr>
          <w:p w:rsidR="00E7627E" w:rsidRPr="002A03CC" w:rsidRDefault="00E7627E" w:rsidP="00363A47">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E7627E">
            <w:pPr>
              <w:adjustRightInd w:val="0"/>
              <w:snapToGrid w:val="0"/>
              <w:jc w:val="center"/>
              <w:rPr>
                <w:rFonts w:asciiTheme="minorEastAsia" w:hAnsiTheme="minorEastAsia" w:cs="Times New Roman"/>
                <w:sz w:val="28"/>
                <w:szCs w:val="28"/>
              </w:rPr>
            </w:pPr>
          </w:p>
        </w:tc>
        <w:tc>
          <w:tcPr>
            <w:tcW w:w="1581" w:type="dxa"/>
            <w:noWrap/>
            <w:vAlign w:val="center"/>
          </w:tcPr>
          <w:p w:rsidR="00E7627E" w:rsidRPr="002A03CC" w:rsidRDefault="00E7627E" w:rsidP="00192DAB">
            <w:pPr>
              <w:adjustRightInd w:val="0"/>
              <w:snapToGrid w:val="0"/>
              <w:jc w:val="center"/>
              <w:rPr>
                <w:rFonts w:asciiTheme="minorEastAsia" w:hAnsiTheme="minorEastAsia" w:cs="Times New Roman"/>
                <w:sz w:val="28"/>
                <w:szCs w:val="28"/>
              </w:rPr>
            </w:pPr>
          </w:p>
        </w:tc>
        <w:tc>
          <w:tcPr>
            <w:tcW w:w="1985" w:type="dxa"/>
            <w:noWrap/>
            <w:vAlign w:val="center"/>
          </w:tcPr>
          <w:p w:rsidR="00E7627E" w:rsidRPr="002A03CC" w:rsidRDefault="00E7627E" w:rsidP="008B0E56">
            <w:pPr>
              <w:adjustRightInd w:val="0"/>
              <w:snapToGrid w:val="0"/>
              <w:jc w:val="center"/>
              <w:rPr>
                <w:color w:val="000000"/>
                <w:sz w:val="28"/>
                <w:szCs w:val="28"/>
              </w:rPr>
            </w:pPr>
          </w:p>
        </w:tc>
        <w:tc>
          <w:tcPr>
            <w:tcW w:w="1056" w:type="dxa"/>
            <w:noWrap/>
            <w:vAlign w:val="center"/>
          </w:tcPr>
          <w:p w:rsidR="00E7627E" w:rsidRPr="002A03CC" w:rsidRDefault="00E7627E" w:rsidP="008B0E56">
            <w:pPr>
              <w:adjustRightInd w:val="0"/>
              <w:snapToGrid w:val="0"/>
              <w:jc w:val="center"/>
              <w:rPr>
                <w:color w:val="000000"/>
                <w:sz w:val="28"/>
                <w:szCs w:val="28"/>
              </w:rPr>
            </w:pPr>
          </w:p>
        </w:tc>
      </w:tr>
      <w:tr w:rsidR="00E7627E" w:rsidRPr="002A03CC" w:rsidTr="00E27F60">
        <w:trPr>
          <w:trHeight w:val="270"/>
          <w:jc w:val="center"/>
        </w:trPr>
        <w:tc>
          <w:tcPr>
            <w:tcW w:w="1440" w:type="dxa"/>
            <w:noWrap/>
          </w:tcPr>
          <w:p w:rsidR="00E7627E" w:rsidRPr="002A03CC" w:rsidRDefault="00E7627E" w:rsidP="00363A47">
            <w:pPr>
              <w:adjustRightInd w:val="0"/>
              <w:snapToGrid w:val="0"/>
              <w:jc w:val="center"/>
              <w:rPr>
                <w:rFonts w:asciiTheme="minorEastAsia" w:hAnsiTheme="minorEastAsia" w:cs="Times New Roman"/>
                <w:sz w:val="28"/>
                <w:szCs w:val="28"/>
              </w:rPr>
            </w:pPr>
          </w:p>
        </w:tc>
        <w:tc>
          <w:tcPr>
            <w:tcW w:w="2120" w:type="dxa"/>
            <w:noWrap/>
            <w:vAlign w:val="center"/>
          </w:tcPr>
          <w:p w:rsidR="00E7627E" w:rsidRPr="002A03CC" w:rsidRDefault="00E7627E" w:rsidP="00E7627E">
            <w:pPr>
              <w:adjustRightInd w:val="0"/>
              <w:snapToGrid w:val="0"/>
              <w:jc w:val="center"/>
              <w:rPr>
                <w:rFonts w:asciiTheme="minorEastAsia" w:hAnsiTheme="minorEastAsia" w:cs="Times New Roman"/>
                <w:sz w:val="28"/>
                <w:szCs w:val="28"/>
              </w:rPr>
            </w:pPr>
          </w:p>
        </w:tc>
        <w:tc>
          <w:tcPr>
            <w:tcW w:w="1056" w:type="dxa"/>
            <w:noWrap/>
            <w:vAlign w:val="center"/>
          </w:tcPr>
          <w:p w:rsidR="00E7627E" w:rsidRPr="002A03CC" w:rsidRDefault="00E7627E" w:rsidP="00E7627E">
            <w:pPr>
              <w:adjustRightInd w:val="0"/>
              <w:snapToGrid w:val="0"/>
              <w:jc w:val="center"/>
              <w:rPr>
                <w:rFonts w:asciiTheme="minorEastAsia" w:hAnsiTheme="minorEastAsia" w:cs="Times New Roman"/>
                <w:sz w:val="28"/>
                <w:szCs w:val="28"/>
              </w:rPr>
            </w:pPr>
          </w:p>
        </w:tc>
        <w:tc>
          <w:tcPr>
            <w:tcW w:w="1581" w:type="dxa"/>
            <w:noWrap/>
            <w:vAlign w:val="center"/>
          </w:tcPr>
          <w:p w:rsidR="00E7627E" w:rsidRPr="002A03CC" w:rsidRDefault="00E7627E" w:rsidP="00192DAB">
            <w:pPr>
              <w:adjustRightInd w:val="0"/>
              <w:snapToGrid w:val="0"/>
              <w:jc w:val="center"/>
              <w:rPr>
                <w:rFonts w:asciiTheme="minorEastAsia" w:hAnsiTheme="minorEastAsia" w:cs="Times New Roman"/>
                <w:sz w:val="28"/>
                <w:szCs w:val="28"/>
              </w:rPr>
            </w:pPr>
          </w:p>
        </w:tc>
        <w:tc>
          <w:tcPr>
            <w:tcW w:w="1985" w:type="dxa"/>
            <w:noWrap/>
            <w:vAlign w:val="center"/>
          </w:tcPr>
          <w:p w:rsidR="00E7627E" w:rsidRPr="002A03CC" w:rsidRDefault="00E7627E" w:rsidP="008B0E56">
            <w:pPr>
              <w:adjustRightInd w:val="0"/>
              <w:snapToGrid w:val="0"/>
              <w:jc w:val="center"/>
              <w:rPr>
                <w:color w:val="000000"/>
                <w:sz w:val="28"/>
                <w:szCs w:val="28"/>
              </w:rPr>
            </w:pPr>
          </w:p>
        </w:tc>
        <w:tc>
          <w:tcPr>
            <w:tcW w:w="1056" w:type="dxa"/>
            <w:noWrap/>
            <w:vAlign w:val="center"/>
          </w:tcPr>
          <w:p w:rsidR="00E7627E" w:rsidRPr="002A03CC" w:rsidRDefault="00E7627E" w:rsidP="008B0E56">
            <w:pPr>
              <w:adjustRightInd w:val="0"/>
              <w:snapToGrid w:val="0"/>
              <w:jc w:val="center"/>
              <w:rPr>
                <w:color w:val="000000"/>
                <w:sz w:val="28"/>
                <w:szCs w:val="28"/>
              </w:rPr>
            </w:pPr>
          </w:p>
        </w:tc>
      </w:tr>
      <w:tr w:rsidR="00A97A80" w:rsidRPr="002A03CC" w:rsidTr="00505565">
        <w:trPr>
          <w:trHeight w:val="270"/>
          <w:jc w:val="center"/>
        </w:trPr>
        <w:tc>
          <w:tcPr>
            <w:tcW w:w="1440" w:type="dxa"/>
            <w:tcBorders>
              <w:bottom w:val="single" w:sz="4" w:space="0" w:color="auto"/>
            </w:tcBorders>
            <w:noWrap/>
            <w:vAlign w:val="center"/>
            <w:hideMark/>
          </w:tcPr>
          <w:p w:rsidR="00A97A80" w:rsidRPr="002A03CC" w:rsidRDefault="00A97A80" w:rsidP="007305BE">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资产合计</w:t>
            </w:r>
          </w:p>
        </w:tc>
        <w:tc>
          <w:tcPr>
            <w:tcW w:w="2120" w:type="dxa"/>
            <w:tcBorders>
              <w:bottom w:val="single" w:sz="4" w:space="0" w:color="auto"/>
            </w:tcBorders>
            <w:noWrap/>
            <w:vAlign w:val="center"/>
            <w:hideMark/>
          </w:tcPr>
          <w:p w:rsidR="00A97A80" w:rsidRPr="002A03CC" w:rsidRDefault="00E7627E" w:rsidP="000757C8">
            <w:pPr>
              <w:adjustRightInd w:val="0"/>
              <w:snapToGrid w:val="0"/>
              <w:jc w:val="center"/>
              <w:rPr>
                <w:rFonts w:ascii="宋体" w:eastAsia="宋体" w:hAnsi="宋体" w:cs="宋体"/>
                <w:b/>
                <w:bCs/>
                <w:color w:val="000000"/>
                <w:sz w:val="28"/>
                <w:szCs w:val="28"/>
              </w:rPr>
            </w:pPr>
            <w:r w:rsidRPr="002A03CC">
              <w:rPr>
                <w:rFonts w:asciiTheme="minorEastAsia" w:hAnsiTheme="minorEastAsia" w:cs="Times New Roman"/>
                <w:b/>
                <w:sz w:val="28"/>
                <w:szCs w:val="28"/>
              </w:rPr>
              <w:t>1,455,095.93</w:t>
            </w:r>
          </w:p>
        </w:tc>
        <w:tc>
          <w:tcPr>
            <w:tcW w:w="1056" w:type="dxa"/>
            <w:tcBorders>
              <w:bottom w:val="single" w:sz="4" w:space="0" w:color="auto"/>
            </w:tcBorders>
            <w:noWrap/>
            <w:vAlign w:val="center"/>
            <w:hideMark/>
          </w:tcPr>
          <w:p w:rsidR="00A97A80" w:rsidRPr="002A03CC" w:rsidRDefault="00A97A80" w:rsidP="007305BE">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100%</w:t>
            </w:r>
          </w:p>
        </w:tc>
        <w:tc>
          <w:tcPr>
            <w:tcW w:w="1581" w:type="dxa"/>
            <w:tcBorders>
              <w:bottom w:val="single" w:sz="4" w:space="0" w:color="auto"/>
            </w:tcBorders>
            <w:noWrap/>
            <w:vAlign w:val="center"/>
            <w:hideMark/>
          </w:tcPr>
          <w:p w:rsidR="00A97A80" w:rsidRPr="002A03CC" w:rsidRDefault="00A97A80" w:rsidP="007305BE">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负债合计</w:t>
            </w:r>
          </w:p>
        </w:tc>
        <w:tc>
          <w:tcPr>
            <w:tcW w:w="1985" w:type="dxa"/>
            <w:tcBorders>
              <w:bottom w:val="single" w:sz="4" w:space="0" w:color="auto"/>
            </w:tcBorders>
            <w:noWrap/>
            <w:vAlign w:val="center"/>
            <w:hideMark/>
          </w:tcPr>
          <w:p w:rsidR="00A97A80" w:rsidRPr="002A03CC" w:rsidRDefault="00E7627E" w:rsidP="008B0E56">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b/>
                <w:sz w:val="28"/>
                <w:szCs w:val="28"/>
              </w:rPr>
              <w:t>1,477,031.96</w:t>
            </w:r>
          </w:p>
        </w:tc>
        <w:tc>
          <w:tcPr>
            <w:tcW w:w="1056" w:type="dxa"/>
            <w:tcBorders>
              <w:bottom w:val="single" w:sz="4" w:space="0" w:color="auto"/>
            </w:tcBorders>
            <w:noWrap/>
            <w:vAlign w:val="center"/>
            <w:hideMark/>
          </w:tcPr>
          <w:p w:rsidR="00A97A80" w:rsidRPr="002A03CC" w:rsidRDefault="00A97A80" w:rsidP="008B0E56">
            <w:pPr>
              <w:adjustRightInd w:val="0"/>
              <w:snapToGrid w:val="0"/>
              <w:jc w:val="center"/>
              <w:rPr>
                <w:rFonts w:asciiTheme="minorEastAsia" w:hAnsiTheme="minorEastAsia" w:cs="Times New Roman"/>
                <w:b/>
                <w:sz w:val="28"/>
                <w:szCs w:val="28"/>
              </w:rPr>
            </w:pPr>
            <w:r w:rsidRPr="002A03CC">
              <w:rPr>
                <w:rFonts w:asciiTheme="minorEastAsia" w:hAnsiTheme="minorEastAsia" w:cs="Times New Roman" w:hint="eastAsia"/>
                <w:b/>
                <w:sz w:val="28"/>
                <w:szCs w:val="28"/>
              </w:rPr>
              <w:t>100%</w:t>
            </w:r>
          </w:p>
        </w:tc>
      </w:tr>
      <w:tr w:rsidR="00A97A80" w:rsidRPr="002A03CC" w:rsidTr="00F15BE1">
        <w:trPr>
          <w:trHeight w:val="270"/>
          <w:jc w:val="center"/>
        </w:trPr>
        <w:tc>
          <w:tcPr>
            <w:tcW w:w="9238" w:type="dxa"/>
            <w:gridSpan w:val="6"/>
            <w:tcBorders>
              <w:left w:val="nil"/>
              <w:bottom w:val="nil"/>
              <w:right w:val="nil"/>
            </w:tcBorders>
            <w:noWrap/>
            <w:vAlign w:val="center"/>
          </w:tcPr>
          <w:p w:rsidR="00A97A80" w:rsidRPr="002A03CC" w:rsidRDefault="00A97A80" w:rsidP="0056016C">
            <w:pPr>
              <w:widowControl/>
              <w:rPr>
                <w:rFonts w:ascii="宋体" w:eastAsia="宋体" w:hAnsi="宋体" w:cs="宋体"/>
                <w:color w:val="000000"/>
                <w:kern w:val="0"/>
                <w:sz w:val="22"/>
              </w:rPr>
            </w:pPr>
            <w:r w:rsidRPr="002A03CC">
              <w:rPr>
                <w:rFonts w:ascii="仿宋" w:eastAsia="仿宋" w:hAnsi="仿宋" w:cs="宋体" w:hint="eastAsia"/>
                <w:color w:val="000000"/>
                <w:kern w:val="0"/>
                <w:sz w:val="24"/>
                <w:szCs w:val="24"/>
              </w:rPr>
              <w:t>数据来源：理财资产管理系统、兆</w:t>
            </w:r>
            <w:proofErr w:type="gramStart"/>
            <w:r w:rsidRPr="002A03CC">
              <w:rPr>
                <w:rFonts w:ascii="仿宋" w:eastAsia="仿宋" w:hAnsi="仿宋" w:cs="宋体" w:hint="eastAsia"/>
                <w:color w:val="000000"/>
                <w:kern w:val="0"/>
                <w:sz w:val="24"/>
                <w:szCs w:val="24"/>
              </w:rPr>
              <w:t>尹</w:t>
            </w:r>
            <w:proofErr w:type="gramEnd"/>
            <w:r w:rsidRPr="002A03CC">
              <w:rPr>
                <w:rFonts w:ascii="仿宋" w:eastAsia="仿宋" w:hAnsi="仿宋" w:cs="宋体" w:hint="eastAsia"/>
                <w:color w:val="000000"/>
                <w:kern w:val="0"/>
                <w:sz w:val="24"/>
                <w:szCs w:val="24"/>
              </w:rPr>
              <w:t>系统，余额采用系统中市值数据计算，与会计核算数据口径上存在的差异</w:t>
            </w:r>
          </w:p>
        </w:tc>
      </w:tr>
    </w:tbl>
    <w:p w:rsidR="004411DA" w:rsidRPr="00D57643" w:rsidRDefault="00432F41" w:rsidP="00540422">
      <w:pPr>
        <w:spacing w:line="520" w:lineRule="exact"/>
        <w:ind w:firstLineChars="200" w:firstLine="643"/>
        <w:rPr>
          <w:rFonts w:ascii="仿宋_GB2312" w:eastAsia="仿宋_GB2312" w:hAnsi="Calibri" w:cs="Times New Roman"/>
          <w:b/>
          <w:sz w:val="32"/>
          <w:szCs w:val="32"/>
        </w:rPr>
      </w:pPr>
      <w:r w:rsidRPr="00D57643">
        <w:rPr>
          <w:rFonts w:ascii="仿宋_GB2312" w:eastAsia="仿宋_GB2312" w:hAnsi="Calibri" w:cs="Times New Roman" w:hint="eastAsia"/>
          <w:b/>
          <w:sz w:val="32"/>
          <w:szCs w:val="32"/>
        </w:rPr>
        <w:t>二、交易</w:t>
      </w:r>
      <w:r w:rsidR="004411DA" w:rsidRPr="00D57643">
        <w:rPr>
          <w:rFonts w:ascii="仿宋_GB2312" w:eastAsia="仿宋_GB2312" w:hAnsi="Calibri" w:cs="Times New Roman" w:hint="eastAsia"/>
          <w:b/>
          <w:sz w:val="32"/>
          <w:szCs w:val="32"/>
        </w:rPr>
        <w:t>概况</w:t>
      </w:r>
    </w:p>
    <w:p w:rsidR="008E06F4" w:rsidRPr="00D57643" w:rsidRDefault="00131002" w:rsidP="00540422">
      <w:pPr>
        <w:spacing w:line="520" w:lineRule="exact"/>
        <w:ind w:firstLineChars="200" w:firstLine="643"/>
        <w:rPr>
          <w:rFonts w:ascii="仿宋_GB2312" w:eastAsia="仿宋_GB2312" w:hAnsi="Calibri" w:cs="Times New Roman"/>
          <w:b/>
          <w:sz w:val="32"/>
          <w:szCs w:val="32"/>
        </w:rPr>
      </w:pPr>
      <w:r w:rsidRPr="00D57643">
        <w:rPr>
          <w:rFonts w:ascii="仿宋_GB2312" w:eastAsia="仿宋_GB2312" w:hAnsi="Calibri" w:cs="Times New Roman" w:hint="eastAsia"/>
          <w:b/>
          <w:sz w:val="32"/>
          <w:szCs w:val="32"/>
        </w:rPr>
        <w:t>（</w:t>
      </w:r>
      <w:r w:rsidR="00432F41" w:rsidRPr="00D57643">
        <w:rPr>
          <w:rFonts w:ascii="仿宋_GB2312" w:eastAsia="仿宋_GB2312" w:hAnsi="Calibri" w:cs="Times New Roman" w:hint="eastAsia"/>
          <w:b/>
          <w:sz w:val="32"/>
          <w:szCs w:val="32"/>
        </w:rPr>
        <w:t>一</w:t>
      </w:r>
      <w:r w:rsidRPr="00D57643">
        <w:rPr>
          <w:rFonts w:ascii="仿宋_GB2312" w:eastAsia="仿宋_GB2312" w:hAnsi="Calibri" w:cs="Times New Roman" w:hint="eastAsia"/>
          <w:b/>
          <w:sz w:val="32"/>
          <w:szCs w:val="32"/>
        </w:rPr>
        <w:t>）</w:t>
      </w:r>
      <w:r w:rsidR="008E06F4" w:rsidRPr="00D57643">
        <w:rPr>
          <w:rFonts w:ascii="仿宋_GB2312" w:eastAsia="仿宋_GB2312" w:hAnsi="Calibri" w:cs="Times New Roman" w:hint="eastAsia"/>
          <w:b/>
          <w:sz w:val="32"/>
          <w:szCs w:val="32"/>
        </w:rPr>
        <w:t>同业线上业务</w:t>
      </w:r>
    </w:p>
    <w:p w:rsidR="004411DA" w:rsidRPr="00D57643" w:rsidRDefault="004411DA" w:rsidP="00540422">
      <w:pPr>
        <w:spacing w:line="520" w:lineRule="exact"/>
        <w:ind w:firstLineChars="200" w:firstLine="643"/>
        <w:rPr>
          <w:rFonts w:ascii="仿宋_GB2312" w:eastAsia="仿宋_GB2312" w:hAnsi="Calibri" w:cs="Times New Roman"/>
          <w:b/>
          <w:sz w:val="32"/>
          <w:szCs w:val="32"/>
        </w:rPr>
      </w:pPr>
      <w:r w:rsidRPr="00D57643">
        <w:rPr>
          <w:rFonts w:ascii="仿宋_GB2312" w:eastAsia="仿宋_GB2312" w:hAnsi="Calibri" w:cs="Times New Roman" w:hint="eastAsia"/>
          <w:b/>
          <w:sz w:val="32"/>
          <w:szCs w:val="32"/>
        </w:rPr>
        <w:t>1.按业务类别划分</w:t>
      </w:r>
    </w:p>
    <w:p w:rsidR="00B13BEC" w:rsidRPr="00D57643" w:rsidRDefault="00857F5F" w:rsidP="00B13BEC">
      <w:pPr>
        <w:wordWrap w:val="0"/>
        <w:ind w:firstLineChars="200" w:firstLine="480"/>
        <w:jc w:val="right"/>
        <w:rPr>
          <w:rFonts w:ascii="仿宋_GB2312" w:eastAsia="仿宋_GB2312" w:hAnsi="Calibri" w:cs="Times New Roman"/>
          <w:b/>
          <w:sz w:val="32"/>
          <w:szCs w:val="32"/>
        </w:rPr>
      </w:pPr>
      <w:r w:rsidRPr="00D57643">
        <w:rPr>
          <w:rFonts w:ascii="仿宋_GB2312" w:eastAsia="仿宋_GB2312" w:hAnsi="Calibri" w:cs="Times New Roman" w:hint="eastAsia"/>
          <w:sz w:val="24"/>
          <w:szCs w:val="32"/>
        </w:rPr>
        <w:t>单位：万</w:t>
      </w:r>
      <w:r w:rsidR="00B13BEC" w:rsidRPr="00D57643">
        <w:rPr>
          <w:rFonts w:ascii="仿宋_GB2312" w:eastAsia="仿宋_GB2312" w:hAnsi="Calibri" w:cs="Times New Roman" w:hint="eastAsia"/>
          <w:sz w:val="24"/>
          <w:szCs w:val="32"/>
        </w:rPr>
        <w:t>元</w:t>
      </w:r>
    </w:p>
    <w:tbl>
      <w:tblPr>
        <w:tblStyle w:val="a3"/>
        <w:tblW w:w="9298" w:type="dxa"/>
        <w:jc w:val="center"/>
        <w:tblLayout w:type="fixed"/>
        <w:tblLook w:val="04A0" w:firstRow="1" w:lastRow="0" w:firstColumn="1" w:lastColumn="0" w:noHBand="0" w:noVBand="1"/>
      </w:tblPr>
      <w:tblGrid>
        <w:gridCol w:w="1341"/>
        <w:gridCol w:w="1056"/>
        <w:gridCol w:w="830"/>
        <w:gridCol w:w="2089"/>
        <w:gridCol w:w="1984"/>
        <w:gridCol w:w="1998"/>
      </w:tblGrid>
      <w:tr w:rsidR="002B1799" w:rsidRPr="002E2174" w:rsidTr="00C13DED">
        <w:trPr>
          <w:trHeight w:val="288"/>
          <w:jc w:val="center"/>
        </w:trPr>
        <w:tc>
          <w:tcPr>
            <w:tcW w:w="1341" w:type="dxa"/>
            <w:noWrap/>
            <w:hideMark/>
          </w:tcPr>
          <w:p w:rsidR="002B1799" w:rsidRPr="002E2174" w:rsidRDefault="002B1799" w:rsidP="00401261">
            <w:pPr>
              <w:widowControl/>
              <w:adjustRightInd w:val="0"/>
              <w:snapToGrid w:val="0"/>
              <w:jc w:val="center"/>
              <w:rPr>
                <w:rFonts w:ascii="宋体" w:eastAsia="宋体" w:hAnsi="宋体" w:cs="宋体"/>
                <w:b/>
                <w:color w:val="000000"/>
                <w:kern w:val="0"/>
                <w:sz w:val="28"/>
              </w:rPr>
            </w:pPr>
            <w:r w:rsidRPr="002E2174">
              <w:rPr>
                <w:rFonts w:ascii="宋体" w:eastAsia="宋体" w:hAnsi="宋体" w:cs="宋体" w:hint="eastAsia"/>
                <w:b/>
                <w:color w:val="000000"/>
                <w:kern w:val="0"/>
                <w:sz w:val="28"/>
              </w:rPr>
              <w:t>业务类别</w:t>
            </w:r>
          </w:p>
        </w:tc>
        <w:tc>
          <w:tcPr>
            <w:tcW w:w="1056" w:type="dxa"/>
            <w:noWrap/>
            <w:hideMark/>
          </w:tcPr>
          <w:p w:rsidR="002B1799" w:rsidRPr="002E2174" w:rsidRDefault="002B1799" w:rsidP="00401261">
            <w:pPr>
              <w:widowControl/>
              <w:adjustRightInd w:val="0"/>
              <w:snapToGrid w:val="0"/>
              <w:jc w:val="center"/>
              <w:rPr>
                <w:rFonts w:ascii="宋体" w:eastAsia="宋体" w:hAnsi="宋体" w:cs="宋体"/>
                <w:b/>
                <w:color w:val="000000"/>
                <w:kern w:val="0"/>
                <w:sz w:val="28"/>
              </w:rPr>
            </w:pPr>
            <w:r w:rsidRPr="002E2174">
              <w:rPr>
                <w:rFonts w:ascii="宋体" w:eastAsia="宋体" w:hAnsi="宋体" w:cs="宋体" w:hint="eastAsia"/>
                <w:b/>
                <w:color w:val="000000"/>
                <w:kern w:val="0"/>
                <w:sz w:val="28"/>
              </w:rPr>
              <w:t>方向</w:t>
            </w:r>
          </w:p>
        </w:tc>
        <w:tc>
          <w:tcPr>
            <w:tcW w:w="830" w:type="dxa"/>
            <w:hideMark/>
          </w:tcPr>
          <w:p w:rsidR="002B1799" w:rsidRPr="002E2174" w:rsidRDefault="002B1799" w:rsidP="00401261">
            <w:pPr>
              <w:widowControl/>
              <w:adjustRightInd w:val="0"/>
              <w:snapToGrid w:val="0"/>
              <w:jc w:val="center"/>
              <w:rPr>
                <w:rFonts w:ascii="宋体" w:eastAsia="宋体" w:hAnsi="宋体" w:cs="宋体"/>
                <w:b/>
                <w:color w:val="000000"/>
                <w:kern w:val="0"/>
                <w:sz w:val="28"/>
              </w:rPr>
            </w:pPr>
            <w:r w:rsidRPr="002E2174">
              <w:rPr>
                <w:rFonts w:ascii="宋体" w:eastAsia="宋体" w:hAnsi="宋体" w:cs="宋体" w:hint="eastAsia"/>
                <w:b/>
                <w:color w:val="000000"/>
                <w:kern w:val="0"/>
                <w:sz w:val="28"/>
              </w:rPr>
              <w:t>笔数</w:t>
            </w:r>
          </w:p>
        </w:tc>
        <w:tc>
          <w:tcPr>
            <w:tcW w:w="2089" w:type="dxa"/>
          </w:tcPr>
          <w:p w:rsidR="002B1799" w:rsidRPr="002E2174" w:rsidRDefault="002B1799" w:rsidP="00401261">
            <w:pPr>
              <w:widowControl/>
              <w:adjustRightInd w:val="0"/>
              <w:snapToGrid w:val="0"/>
              <w:jc w:val="center"/>
              <w:rPr>
                <w:rFonts w:ascii="宋体" w:eastAsia="宋体" w:hAnsi="宋体" w:cs="宋体"/>
                <w:b/>
                <w:color w:val="000000"/>
                <w:kern w:val="0"/>
                <w:sz w:val="28"/>
              </w:rPr>
            </w:pPr>
            <w:r w:rsidRPr="002E2174">
              <w:rPr>
                <w:rFonts w:ascii="宋体" w:eastAsia="宋体" w:hAnsi="宋体" w:cs="宋体" w:hint="eastAsia"/>
                <w:b/>
                <w:color w:val="000000"/>
                <w:kern w:val="0"/>
                <w:sz w:val="28"/>
              </w:rPr>
              <w:t>金额</w:t>
            </w:r>
          </w:p>
        </w:tc>
        <w:tc>
          <w:tcPr>
            <w:tcW w:w="1984" w:type="dxa"/>
            <w:hideMark/>
          </w:tcPr>
          <w:p w:rsidR="002B1799" w:rsidRPr="002E2174" w:rsidRDefault="002B1799" w:rsidP="00401261">
            <w:pPr>
              <w:widowControl/>
              <w:adjustRightInd w:val="0"/>
              <w:snapToGrid w:val="0"/>
              <w:jc w:val="center"/>
              <w:rPr>
                <w:rFonts w:ascii="宋体" w:eastAsia="宋体" w:hAnsi="宋体" w:cs="宋体"/>
                <w:b/>
                <w:color w:val="000000"/>
                <w:kern w:val="0"/>
                <w:sz w:val="28"/>
              </w:rPr>
            </w:pPr>
            <w:r w:rsidRPr="002E2174">
              <w:rPr>
                <w:rFonts w:ascii="宋体" w:eastAsia="宋体" w:hAnsi="宋体" w:cs="宋体" w:hint="eastAsia"/>
                <w:b/>
                <w:color w:val="000000"/>
                <w:kern w:val="0"/>
                <w:sz w:val="28"/>
              </w:rPr>
              <w:t>最大单笔金额</w:t>
            </w:r>
          </w:p>
        </w:tc>
        <w:tc>
          <w:tcPr>
            <w:tcW w:w="1998" w:type="dxa"/>
          </w:tcPr>
          <w:p w:rsidR="002B1799" w:rsidRPr="002E2174" w:rsidRDefault="002B1799" w:rsidP="00401261">
            <w:pPr>
              <w:widowControl/>
              <w:adjustRightInd w:val="0"/>
              <w:snapToGrid w:val="0"/>
              <w:jc w:val="center"/>
              <w:rPr>
                <w:rFonts w:ascii="宋体" w:eastAsia="宋体" w:hAnsi="宋体" w:cs="宋体"/>
                <w:b/>
                <w:color w:val="000000"/>
                <w:kern w:val="0"/>
                <w:sz w:val="28"/>
              </w:rPr>
            </w:pPr>
            <w:r w:rsidRPr="002E2174">
              <w:rPr>
                <w:rFonts w:ascii="宋体" w:eastAsia="宋体" w:hAnsi="宋体" w:cs="宋体" w:hint="eastAsia"/>
                <w:b/>
                <w:color w:val="000000"/>
                <w:kern w:val="0"/>
                <w:sz w:val="28"/>
              </w:rPr>
              <w:t>最小单笔金额</w:t>
            </w:r>
          </w:p>
        </w:tc>
      </w:tr>
      <w:tr w:rsidR="002E2174" w:rsidRPr="002E2174" w:rsidTr="00C13DED">
        <w:trPr>
          <w:trHeight w:val="288"/>
          <w:jc w:val="center"/>
        </w:trPr>
        <w:tc>
          <w:tcPr>
            <w:tcW w:w="1341" w:type="dxa"/>
            <w:vMerge w:val="restart"/>
            <w:noWrap/>
            <w:vAlign w:val="center"/>
            <w:hideMark/>
          </w:tcPr>
          <w:p w:rsidR="002E2174" w:rsidRPr="002E2174" w:rsidRDefault="002E2174" w:rsidP="00401261">
            <w:pPr>
              <w:widowControl/>
              <w:adjustRightInd w:val="0"/>
              <w:snapToGrid w:val="0"/>
              <w:jc w:val="center"/>
              <w:rPr>
                <w:rFonts w:ascii="宋体" w:eastAsia="宋体" w:hAnsi="宋体" w:cs="宋体"/>
                <w:color w:val="000000"/>
                <w:kern w:val="0"/>
                <w:sz w:val="28"/>
              </w:rPr>
            </w:pPr>
            <w:r w:rsidRPr="002E2174">
              <w:rPr>
                <w:rFonts w:ascii="宋体" w:eastAsia="宋体" w:hAnsi="宋体" w:cs="宋体" w:hint="eastAsia"/>
                <w:color w:val="000000"/>
                <w:kern w:val="0"/>
                <w:sz w:val="28"/>
              </w:rPr>
              <w:t>回购</w:t>
            </w:r>
          </w:p>
        </w:tc>
        <w:tc>
          <w:tcPr>
            <w:tcW w:w="1056" w:type="dxa"/>
            <w:noWrap/>
            <w:vAlign w:val="center"/>
            <w:hideMark/>
          </w:tcPr>
          <w:p w:rsidR="002E2174" w:rsidRPr="002E2174" w:rsidRDefault="002E2174" w:rsidP="0011006C">
            <w:pPr>
              <w:adjustRightInd w:val="0"/>
              <w:snapToGrid w:val="0"/>
              <w:jc w:val="center"/>
              <w:rPr>
                <w:rFonts w:asciiTheme="minorEastAsia" w:hAnsiTheme="minorEastAsia" w:cs="Times New Roman"/>
                <w:sz w:val="28"/>
                <w:szCs w:val="28"/>
              </w:rPr>
            </w:pPr>
            <w:r w:rsidRPr="002E2174">
              <w:rPr>
                <w:rFonts w:asciiTheme="minorEastAsia" w:hAnsiTheme="minorEastAsia" w:cs="Times New Roman" w:hint="eastAsia"/>
                <w:sz w:val="28"/>
                <w:szCs w:val="28"/>
              </w:rPr>
              <w:t>逆回购</w:t>
            </w:r>
          </w:p>
        </w:tc>
        <w:tc>
          <w:tcPr>
            <w:tcW w:w="830" w:type="dxa"/>
            <w:vAlign w:val="center"/>
            <w:hideMark/>
          </w:tcPr>
          <w:p w:rsidR="002E2174" w:rsidRPr="00AF0C52" w:rsidRDefault="002E2174" w:rsidP="00AF0C52">
            <w:pPr>
              <w:adjustRightInd w:val="0"/>
              <w:snapToGrid w:val="0"/>
              <w:jc w:val="center"/>
              <w:rPr>
                <w:rFonts w:asciiTheme="minorEastAsia" w:hAnsiTheme="minorEastAsia" w:cs="Times New Roman"/>
                <w:sz w:val="28"/>
                <w:szCs w:val="28"/>
              </w:rPr>
            </w:pPr>
            <w:r w:rsidRPr="00AF0C52">
              <w:rPr>
                <w:rFonts w:asciiTheme="minorEastAsia" w:hAnsiTheme="minorEastAsia" w:cs="Times New Roman" w:hint="eastAsia"/>
                <w:sz w:val="28"/>
                <w:szCs w:val="28"/>
              </w:rPr>
              <w:t>22</w:t>
            </w:r>
          </w:p>
        </w:tc>
        <w:tc>
          <w:tcPr>
            <w:tcW w:w="2089" w:type="dxa"/>
            <w:vAlign w:val="center"/>
          </w:tcPr>
          <w:p w:rsidR="002E2174" w:rsidRPr="00AF0C52" w:rsidRDefault="002E2174" w:rsidP="00AF0C52">
            <w:pPr>
              <w:adjustRightInd w:val="0"/>
              <w:snapToGrid w:val="0"/>
              <w:jc w:val="center"/>
              <w:rPr>
                <w:rFonts w:asciiTheme="minorEastAsia" w:hAnsiTheme="minorEastAsia" w:cs="Times New Roman"/>
                <w:sz w:val="28"/>
                <w:szCs w:val="28"/>
              </w:rPr>
            </w:pPr>
            <w:r w:rsidRPr="00AF0C52">
              <w:rPr>
                <w:rFonts w:asciiTheme="minorEastAsia" w:hAnsiTheme="minorEastAsia" w:cs="Times New Roman" w:hint="eastAsia"/>
                <w:sz w:val="28"/>
                <w:szCs w:val="28"/>
              </w:rPr>
              <w:t>562,211.90</w:t>
            </w:r>
          </w:p>
        </w:tc>
        <w:tc>
          <w:tcPr>
            <w:tcW w:w="1984" w:type="dxa"/>
            <w:vAlign w:val="center"/>
          </w:tcPr>
          <w:p w:rsidR="002E2174" w:rsidRPr="00AF0C52" w:rsidRDefault="002E2174" w:rsidP="00AF0C52">
            <w:pPr>
              <w:adjustRightInd w:val="0"/>
              <w:snapToGrid w:val="0"/>
              <w:jc w:val="center"/>
              <w:rPr>
                <w:rFonts w:asciiTheme="minorEastAsia" w:hAnsiTheme="minorEastAsia" w:cs="Times New Roman"/>
                <w:sz w:val="28"/>
                <w:szCs w:val="28"/>
              </w:rPr>
            </w:pPr>
            <w:r w:rsidRPr="00AF0C52">
              <w:rPr>
                <w:rFonts w:asciiTheme="minorEastAsia" w:hAnsiTheme="minorEastAsia" w:cs="Times New Roman" w:hint="eastAsia"/>
                <w:sz w:val="28"/>
                <w:szCs w:val="28"/>
              </w:rPr>
              <w:t>49,992.00</w:t>
            </w:r>
          </w:p>
        </w:tc>
        <w:tc>
          <w:tcPr>
            <w:tcW w:w="1998" w:type="dxa"/>
            <w:vAlign w:val="center"/>
          </w:tcPr>
          <w:p w:rsidR="002E2174" w:rsidRPr="00AF0C52" w:rsidRDefault="002E2174" w:rsidP="00AF0C52">
            <w:pPr>
              <w:adjustRightInd w:val="0"/>
              <w:snapToGrid w:val="0"/>
              <w:jc w:val="center"/>
              <w:rPr>
                <w:rFonts w:asciiTheme="minorEastAsia" w:hAnsiTheme="minorEastAsia" w:cs="Times New Roman"/>
                <w:sz w:val="28"/>
                <w:szCs w:val="28"/>
              </w:rPr>
            </w:pPr>
            <w:r w:rsidRPr="00AF0C52">
              <w:rPr>
                <w:rFonts w:asciiTheme="minorEastAsia" w:hAnsiTheme="minorEastAsia" w:cs="Times New Roman" w:hint="eastAsia"/>
                <w:sz w:val="28"/>
                <w:szCs w:val="28"/>
              </w:rPr>
              <w:t>9,900.00</w:t>
            </w:r>
          </w:p>
        </w:tc>
      </w:tr>
      <w:tr w:rsidR="002E2174" w:rsidRPr="002E2174" w:rsidTr="00C13DED">
        <w:trPr>
          <w:trHeight w:val="288"/>
          <w:jc w:val="center"/>
        </w:trPr>
        <w:tc>
          <w:tcPr>
            <w:tcW w:w="1341" w:type="dxa"/>
            <w:vMerge/>
            <w:noWrap/>
            <w:vAlign w:val="center"/>
          </w:tcPr>
          <w:p w:rsidR="002E2174" w:rsidRPr="002E2174" w:rsidRDefault="002E2174" w:rsidP="00401261">
            <w:pPr>
              <w:widowControl/>
              <w:adjustRightInd w:val="0"/>
              <w:snapToGrid w:val="0"/>
              <w:jc w:val="center"/>
              <w:rPr>
                <w:rFonts w:ascii="宋体" w:eastAsia="宋体" w:hAnsi="宋体" w:cs="宋体"/>
                <w:color w:val="000000"/>
                <w:kern w:val="0"/>
                <w:sz w:val="28"/>
              </w:rPr>
            </w:pPr>
          </w:p>
        </w:tc>
        <w:tc>
          <w:tcPr>
            <w:tcW w:w="1056" w:type="dxa"/>
            <w:noWrap/>
            <w:vAlign w:val="center"/>
          </w:tcPr>
          <w:p w:rsidR="002E2174" w:rsidRPr="002E2174" w:rsidRDefault="002E2174" w:rsidP="00374C02">
            <w:pPr>
              <w:adjustRightInd w:val="0"/>
              <w:snapToGrid w:val="0"/>
              <w:jc w:val="center"/>
              <w:rPr>
                <w:rFonts w:asciiTheme="minorEastAsia" w:hAnsiTheme="minorEastAsia" w:cs="Times New Roman"/>
                <w:sz w:val="28"/>
                <w:szCs w:val="28"/>
              </w:rPr>
            </w:pPr>
            <w:r w:rsidRPr="002E2174">
              <w:rPr>
                <w:rFonts w:asciiTheme="minorEastAsia" w:hAnsiTheme="minorEastAsia" w:cs="Times New Roman" w:hint="eastAsia"/>
                <w:sz w:val="28"/>
                <w:szCs w:val="28"/>
              </w:rPr>
              <w:t>正回购</w:t>
            </w:r>
          </w:p>
        </w:tc>
        <w:tc>
          <w:tcPr>
            <w:tcW w:w="830" w:type="dxa"/>
            <w:vAlign w:val="center"/>
          </w:tcPr>
          <w:p w:rsidR="002E2174" w:rsidRPr="00AF0C52" w:rsidRDefault="002E2174" w:rsidP="00AF0C52">
            <w:pPr>
              <w:adjustRightInd w:val="0"/>
              <w:snapToGrid w:val="0"/>
              <w:jc w:val="center"/>
              <w:rPr>
                <w:rFonts w:asciiTheme="minorEastAsia" w:hAnsiTheme="minorEastAsia" w:cs="Times New Roman"/>
                <w:sz w:val="28"/>
                <w:szCs w:val="28"/>
              </w:rPr>
            </w:pPr>
            <w:r w:rsidRPr="00AF0C52">
              <w:rPr>
                <w:rFonts w:asciiTheme="minorEastAsia" w:hAnsiTheme="minorEastAsia" w:cs="Times New Roman" w:hint="eastAsia"/>
                <w:sz w:val="28"/>
                <w:szCs w:val="28"/>
              </w:rPr>
              <w:t>5</w:t>
            </w:r>
          </w:p>
        </w:tc>
        <w:tc>
          <w:tcPr>
            <w:tcW w:w="2089" w:type="dxa"/>
            <w:vAlign w:val="center"/>
          </w:tcPr>
          <w:p w:rsidR="002E2174" w:rsidRPr="00AF0C52" w:rsidRDefault="002E2174" w:rsidP="00AF0C52">
            <w:pPr>
              <w:adjustRightInd w:val="0"/>
              <w:snapToGrid w:val="0"/>
              <w:jc w:val="center"/>
              <w:rPr>
                <w:rFonts w:asciiTheme="minorEastAsia" w:hAnsiTheme="minorEastAsia" w:cs="Times New Roman"/>
                <w:sz w:val="28"/>
                <w:szCs w:val="28"/>
              </w:rPr>
            </w:pPr>
            <w:r w:rsidRPr="00AF0C52">
              <w:rPr>
                <w:rFonts w:asciiTheme="minorEastAsia" w:hAnsiTheme="minorEastAsia" w:cs="Times New Roman" w:hint="eastAsia"/>
                <w:sz w:val="28"/>
                <w:szCs w:val="28"/>
              </w:rPr>
              <w:t>138,970.00</w:t>
            </w:r>
          </w:p>
        </w:tc>
        <w:tc>
          <w:tcPr>
            <w:tcW w:w="1984" w:type="dxa"/>
            <w:vAlign w:val="center"/>
          </w:tcPr>
          <w:p w:rsidR="002E2174" w:rsidRPr="00AF0C52" w:rsidRDefault="002E2174" w:rsidP="00AF0C52">
            <w:pPr>
              <w:adjustRightInd w:val="0"/>
              <w:snapToGrid w:val="0"/>
              <w:jc w:val="center"/>
              <w:rPr>
                <w:rFonts w:asciiTheme="minorEastAsia" w:hAnsiTheme="minorEastAsia" w:cs="Times New Roman"/>
                <w:sz w:val="28"/>
                <w:szCs w:val="28"/>
              </w:rPr>
            </w:pPr>
            <w:r w:rsidRPr="00AF0C52">
              <w:rPr>
                <w:rFonts w:asciiTheme="minorEastAsia" w:hAnsiTheme="minorEastAsia" w:cs="Times New Roman" w:hint="eastAsia"/>
                <w:sz w:val="28"/>
                <w:szCs w:val="28"/>
              </w:rPr>
              <w:t>49,500.00</w:t>
            </w:r>
          </w:p>
        </w:tc>
        <w:tc>
          <w:tcPr>
            <w:tcW w:w="1998" w:type="dxa"/>
            <w:vAlign w:val="center"/>
          </w:tcPr>
          <w:p w:rsidR="002E2174" w:rsidRPr="00AF0C52" w:rsidRDefault="002E2174" w:rsidP="00AF0C52">
            <w:pPr>
              <w:adjustRightInd w:val="0"/>
              <w:snapToGrid w:val="0"/>
              <w:jc w:val="center"/>
              <w:rPr>
                <w:rFonts w:asciiTheme="minorEastAsia" w:hAnsiTheme="minorEastAsia" w:cs="Times New Roman"/>
                <w:sz w:val="28"/>
                <w:szCs w:val="28"/>
              </w:rPr>
            </w:pPr>
            <w:r w:rsidRPr="00AF0C52">
              <w:rPr>
                <w:rFonts w:asciiTheme="minorEastAsia" w:hAnsiTheme="minorEastAsia" w:cs="Times New Roman" w:hint="eastAsia"/>
                <w:sz w:val="28"/>
                <w:szCs w:val="28"/>
              </w:rPr>
              <w:t>10,000.00</w:t>
            </w:r>
          </w:p>
        </w:tc>
      </w:tr>
      <w:tr w:rsidR="00BF5498" w:rsidRPr="002E2174" w:rsidTr="00C13DED">
        <w:trPr>
          <w:trHeight w:val="288"/>
          <w:jc w:val="center"/>
        </w:trPr>
        <w:tc>
          <w:tcPr>
            <w:tcW w:w="1341" w:type="dxa"/>
            <w:noWrap/>
            <w:vAlign w:val="center"/>
          </w:tcPr>
          <w:p w:rsidR="00BF5498" w:rsidRPr="002E2174" w:rsidRDefault="00BF5498" w:rsidP="00401261">
            <w:pPr>
              <w:widowControl/>
              <w:adjustRightInd w:val="0"/>
              <w:snapToGrid w:val="0"/>
              <w:jc w:val="center"/>
              <w:rPr>
                <w:rFonts w:ascii="宋体" w:eastAsia="宋体" w:hAnsi="宋体" w:cs="宋体"/>
                <w:color w:val="000000"/>
                <w:kern w:val="0"/>
                <w:sz w:val="28"/>
              </w:rPr>
            </w:pPr>
            <w:r w:rsidRPr="002E2174">
              <w:rPr>
                <w:rFonts w:ascii="宋体" w:eastAsia="宋体" w:hAnsi="宋体" w:cs="宋体" w:hint="eastAsia"/>
                <w:color w:val="000000"/>
                <w:kern w:val="0"/>
                <w:sz w:val="28"/>
              </w:rPr>
              <w:t>同业拆借</w:t>
            </w:r>
          </w:p>
        </w:tc>
        <w:tc>
          <w:tcPr>
            <w:tcW w:w="1056" w:type="dxa"/>
            <w:noWrap/>
            <w:vAlign w:val="center"/>
          </w:tcPr>
          <w:p w:rsidR="00BF5498" w:rsidRPr="002E2174" w:rsidRDefault="00BF5498" w:rsidP="00374C02">
            <w:pPr>
              <w:adjustRightInd w:val="0"/>
              <w:snapToGrid w:val="0"/>
              <w:jc w:val="center"/>
              <w:rPr>
                <w:rFonts w:asciiTheme="minorEastAsia" w:hAnsiTheme="minorEastAsia" w:cs="Times New Roman"/>
                <w:sz w:val="28"/>
                <w:szCs w:val="28"/>
              </w:rPr>
            </w:pPr>
            <w:r w:rsidRPr="002E2174">
              <w:rPr>
                <w:rFonts w:asciiTheme="minorEastAsia" w:hAnsiTheme="minorEastAsia" w:cs="Times New Roman" w:hint="eastAsia"/>
                <w:sz w:val="28"/>
                <w:szCs w:val="28"/>
              </w:rPr>
              <w:t>拆出</w:t>
            </w:r>
          </w:p>
        </w:tc>
        <w:tc>
          <w:tcPr>
            <w:tcW w:w="830" w:type="dxa"/>
            <w:vAlign w:val="center"/>
          </w:tcPr>
          <w:p w:rsidR="00BF5498" w:rsidRPr="002E2174" w:rsidRDefault="002E2174" w:rsidP="006470D5">
            <w:pPr>
              <w:adjustRightInd w:val="0"/>
              <w:snapToGrid w:val="0"/>
              <w:jc w:val="center"/>
              <w:rPr>
                <w:rFonts w:asciiTheme="minorEastAsia" w:hAnsiTheme="minorEastAsia" w:cs="Times New Roman"/>
                <w:sz w:val="28"/>
                <w:szCs w:val="28"/>
              </w:rPr>
            </w:pPr>
            <w:r w:rsidRPr="002E2174">
              <w:rPr>
                <w:rFonts w:asciiTheme="minorEastAsia" w:hAnsiTheme="minorEastAsia" w:cs="Times New Roman" w:hint="eastAsia"/>
                <w:sz w:val="28"/>
                <w:szCs w:val="28"/>
              </w:rPr>
              <w:t>4</w:t>
            </w:r>
          </w:p>
        </w:tc>
        <w:tc>
          <w:tcPr>
            <w:tcW w:w="2089" w:type="dxa"/>
            <w:vAlign w:val="center"/>
          </w:tcPr>
          <w:p w:rsidR="00BF5498" w:rsidRPr="002E2174" w:rsidRDefault="002E2174" w:rsidP="006470D5">
            <w:pPr>
              <w:adjustRightInd w:val="0"/>
              <w:snapToGrid w:val="0"/>
              <w:jc w:val="center"/>
              <w:rPr>
                <w:rFonts w:asciiTheme="minorEastAsia" w:hAnsiTheme="minorEastAsia" w:cs="Times New Roman"/>
                <w:sz w:val="28"/>
                <w:szCs w:val="28"/>
              </w:rPr>
            </w:pPr>
            <w:r w:rsidRPr="002E2174">
              <w:rPr>
                <w:rFonts w:asciiTheme="minorEastAsia" w:hAnsiTheme="minorEastAsia" w:cs="Times New Roman" w:hint="eastAsia"/>
                <w:sz w:val="28"/>
                <w:szCs w:val="28"/>
              </w:rPr>
              <w:t>90</w:t>
            </w:r>
            <w:r w:rsidR="00BF5498" w:rsidRPr="002E2174">
              <w:rPr>
                <w:rFonts w:asciiTheme="minorEastAsia" w:hAnsiTheme="minorEastAsia" w:cs="Times New Roman" w:hint="eastAsia"/>
                <w:sz w:val="28"/>
                <w:szCs w:val="28"/>
              </w:rPr>
              <w:t>,000.00</w:t>
            </w:r>
          </w:p>
        </w:tc>
        <w:tc>
          <w:tcPr>
            <w:tcW w:w="1984" w:type="dxa"/>
            <w:vAlign w:val="center"/>
          </w:tcPr>
          <w:p w:rsidR="00BF5498" w:rsidRPr="002E2174" w:rsidRDefault="0011006C" w:rsidP="006470D5">
            <w:pPr>
              <w:adjustRightInd w:val="0"/>
              <w:snapToGrid w:val="0"/>
              <w:jc w:val="center"/>
              <w:rPr>
                <w:rFonts w:asciiTheme="minorEastAsia" w:hAnsiTheme="minorEastAsia" w:cs="Times New Roman"/>
                <w:sz w:val="28"/>
                <w:szCs w:val="28"/>
              </w:rPr>
            </w:pPr>
            <w:r w:rsidRPr="002E2174">
              <w:rPr>
                <w:rFonts w:asciiTheme="minorEastAsia" w:hAnsiTheme="minorEastAsia" w:cs="Times New Roman" w:hint="eastAsia"/>
                <w:sz w:val="28"/>
                <w:szCs w:val="28"/>
              </w:rPr>
              <w:t>4</w:t>
            </w:r>
            <w:r w:rsidR="00BF5498" w:rsidRPr="002E2174">
              <w:rPr>
                <w:rFonts w:asciiTheme="minorEastAsia" w:hAnsiTheme="minorEastAsia" w:cs="Times New Roman" w:hint="eastAsia"/>
                <w:sz w:val="28"/>
                <w:szCs w:val="28"/>
              </w:rPr>
              <w:t>0,000.00</w:t>
            </w:r>
          </w:p>
        </w:tc>
        <w:tc>
          <w:tcPr>
            <w:tcW w:w="1998" w:type="dxa"/>
            <w:vAlign w:val="center"/>
          </w:tcPr>
          <w:p w:rsidR="00BF5498" w:rsidRPr="002E2174" w:rsidRDefault="002E2174" w:rsidP="006470D5">
            <w:pPr>
              <w:adjustRightInd w:val="0"/>
              <w:snapToGrid w:val="0"/>
              <w:jc w:val="center"/>
              <w:rPr>
                <w:rFonts w:asciiTheme="minorEastAsia" w:hAnsiTheme="minorEastAsia" w:cs="Times New Roman"/>
                <w:sz w:val="28"/>
                <w:szCs w:val="28"/>
              </w:rPr>
            </w:pPr>
            <w:r w:rsidRPr="002E2174">
              <w:rPr>
                <w:rFonts w:asciiTheme="minorEastAsia" w:hAnsiTheme="minorEastAsia" w:cs="Times New Roman" w:hint="eastAsia"/>
                <w:sz w:val="28"/>
                <w:szCs w:val="28"/>
              </w:rPr>
              <w:t>10</w:t>
            </w:r>
            <w:r w:rsidR="00BF5498" w:rsidRPr="002E2174">
              <w:rPr>
                <w:rFonts w:asciiTheme="minorEastAsia" w:hAnsiTheme="minorEastAsia" w:cs="Times New Roman" w:hint="eastAsia"/>
                <w:sz w:val="28"/>
                <w:szCs w:val="28"/>
              </w:rPr>
              <w:t>,000.00</w:t>
            </w:r>
          </w:p>
        </w:tc>
      </w:tr>
      <w:tr w:rsidR="00AF0C52" w:rsidRPr="000317CB" w:rsidTr="00C13DED">
        <w:trPr>
          <w:trHeight w:val="288"/>
          <w:jc w:val="center"/>
        </w:trPr>
        <w:tc>
          <w:tcPr>
            <w:tcW w:w="2397" w:type="dxa"/>
            <w:gridSpan w:val="2"/>
            <w:vAlign w:val="center"/>
          </w:tcPr>
          <w:p w:rsidR="00AF0C52" w:rsidRPr="000317CB" w:rsidRDefault="00AF0C52" w:rsidP="00401261">
            <w:pPr>
              <w:widowControl/>
              <w:adjustRightInd w:val="0"/>
              <w:snapToGrid w:val="0"/>
              <w:jc w:val="center"/>
              <w:rPr>
                <w:rFonts w:ascii="宋体" w:eastAsia="宋体" w:hAnsi="宋体" w:cs="宋体"/>
                <w:b/>
                <w:color w:val="000000"/>
                <w:kern w:val="0"/>
                <w:sz w:val="28"/>
              </w:rPr>
            </w:pPr>
            <w:r w:rsidRPr="000317CB">
              <w:rPr>
                <w:rFonts w:ascii="宋体" w:eastAsia="宋体" w:hAnsi="宋体" w:cs="宋体" w:hint="eastAsia"/>
                <w:b/>
                <w:color w:val="000000"/>
                <w:kern w:val="0"/>
                <w:sz w:val="28"/>
              </w:rPr>
              <w:t>合计</w:t>
            </w:r>
          </w:p>
        </w:tc>
        <w:tc>
          <w:tcPr>
            <w:tcW w:w="830" w:type="dxa"/>
            <w:vAlign w:val="center"/>
          </w:tcPr>
          <w:p w:rsidR="00AF0C52" w:rsidRPr="000317CB" w:rsidRDefault="00AF0C52" w:rsidP="00AF0C52">
            <w:pPr>
              <w:adjustRightInd w:val="0"/>
              <w:snapToGrid w:val="0"/>
              <w:jc w:val="center"/>
              <w:rPr>
                <w:rFonts w:asciiTheme="minorEastAsia" w:hAnsiTheme="minorEastAsia" w:cs="Times New Roman"/>
                <w:b/>
                <w:sz w:val="28"/>
                <w:szCs w:val="28"/>
              </w:rPr>
            </w:pPr>
            <w:r w:rsidRPr="000317CB">
              <w:rPr>
                <w:rFonts w:asciiTheme="minorEastAsia" w:hAnsiTheme="minorEastAsia" w:cs="Times New Roman" w:hint="eastAsia"/>
                <w:b/>
                <w:sz w:val="28"/>
                <w:szCs w:val="28"/>
              </w:rPr>
              <w:t>31</w:t>
            </w:r>
          </w:p>
        </w:tc>
        <w:tc>
          <w:tcPr>
            <w:tcW w:w="2089" w:type="dxa"/>
            <w:vAlign w:val="center"/>
          </w:tcPr>
          <w:p w:rsidR="00AF0C52" w:rsidRPr="000317CB" w:rsidRDefault="00AF0C52" w:rsidP="00AF0C52">
            <w:pPr>
              <w:adjustRightInd w:val="0"/>
              <w:snapToGrid w:val="0"/>
              <w:jc w:val="center"/>
              <w:rPr>
                <w:rFonts w:asciiTheme="minorEastAsia" w:hAnsiTheme="minorEastAsia" w:cs="Times New Roman"/>
                <w:b/>
                <w:sz w:val="28"/>
                <w:szCs w:val="28"/>
              </w:rPr>
            </w:pPr>
            <w:r w:rsidRPr="000317CB">
              <w:rPr>
                <w:rFonts w:asciiTheme="minorEastAsia" w:hAnsiTheme="minorEastAsia" w:cs="Times New Roman" w:hint="eastAsia"/>
                <w:b/>
                <w:sz w:val="28"/>
                <w:szCs w:val="28"/>
              </w:rPr>
              <w:t>791,181.90</w:t>
            </w:r>
          </w:p>
        </w:tc>
        <w:tc>
          <w:tcPr>
            <w:tcW w:w="1984" w:type="dxa"/>
            <w:vAlign w:val="center"/>
          </w:tcPr>
          <w:p w:rsidR="00AF0C52" w:rsidRPr="000317CB" w:rsidRDefault="00AF0C52" w:rsidP="00C13DED">
            <w:pPr>
              <w:adjustRightInd w:val="0"/>
              <w:snapToGrid w:val="0"/>
              <w:jc w:val="center"/>
              <w:rPr>
                <w:rFonts w:asciiTheme="minorEastAsia" w:hAnsiTheme="minorEastAsia" w:cs="Times New Roman"/>
                <w:b/>
                <w:sz w:val="28"/>
                <w:szCs w:val="28"/>
              </w:rPr>
            </w:pPr>
            <w:r w:rsidRPr="000317CB">
              <w:rPr>
                <w:rFonts w:asciiTheme="minorEastAsia" w:hAnsiTheme="minorEastAsia" w:cs="Times New Roman"/>
                <w:b/>
                <w:sz w:val="28"/>
                <w:szCs w:val="28"/>
              </w:rPr>
              <w:t>49,992.00</w:t>
            </w:r>
          </w:p>
        </w:tc>
        <w:tc>
          <w:tcPr>
            <w:tcW w:w="1998" w:type="dxa"/>
            <w:vAlign w:val="center"/>
          </w:tcPr>
          <w:p w:rsidR="00AF0C52" w:rsidRPr="000317CB" w:rsidRDefault="00AF0C52" w:rsidP="00C13DED">
            <w:pPr>
              <w:adjustRightInd w:val="0"/>
              <w:snapToGrid w:val="0"/>
              <w:jc w:val="center"/>
              <w:rPr>
                <w:rFonts w:asciiTheme="minorEastAsia" w:hAnsiTheme="minorEastAsia" w:cs="Times New Roman"/>
                <w:b/>
                <w:sz w:val="28"/>
                <w:szCs w:val="28"/>
              </w:rPr>
            </w:pPr>
            <w:r w:rsidRPr="000317CB">
              <w:rPr>
                <w:rFonts w:asciiTheme="minorEastAsia" w:hAnsiTheme="minorEastAsia" w:cs="Times New Roman"/>
                <w:b/>
                <w:sz w:val="28"/>
                <w:szCs w:val="28"/>
              </w:rPr>
              <w:t>9,900.00</w:t>
            </w:r>
          </w:p>
        </w:tc>
      </w:tr>
    </w:tbl>
    <w:p w:rsidR="00B13BEC" w:rsidRPr="000317CB" w:rsidRDefault="00B13BEC" w:rsidP="003D7C56">
      <w:pPr>
        <w:adjustRightInd w:val="0"/>
        <w:snapToGrid w:val="0"/>
        <w:ind w:firstLineChars="250" w:firstLine="600"/>
        <w:rPr>
          <w:rFonts w:ascii="仿宋_GB2312" w:eastAsia="仿宋_GB2312" w:hAnsi="Calibri" w:cs="Times New Roman"/>
          <w:sz w:val="24"/>
          <w:szCs w:val="32"/>
        </w:rPr>
      </w:pPr>
      <w:r w:rsidRPr="000317CB">
        <w:rPr>
          <w:rFonts w:ascii="仿宋_GB2312" w:eastAsia="仿宋_GB2312" w:hAnsi="Calibri" w:cs="Times New Roman" w:hint="eastAsia"/>
          <w:sz w:val="24"/>
          <w:szCs w:val="32"/>
        </w:rPr>
        <w:t>数据来源：COMSTAR系统</w:t>
      </w:r>
    </w:p>
    <w:p w:rsidR="004411DA" w:rsidRPr="000317CB" w:rsidRDefault="004411DA" w:rsidP="00F42EAF">
      <w:pPr>
        <w:spacing w:line="600" w:lineRule="exact"/>
        <w:ind w:firstLineChars="200" w:firstLine="643"/>
        <w:rPr>
          <w:rFonts w:ascii="仿宋_GB2312" w:eastAsia="仿宋_GB2312" w:hAnsi="Calibri" w:cs="Times New Roman"/>
          <w:b/>
          <w:sz w:val="32"/>
          <w:szCs w:val="32"/>
        </w:rPr>
      </w:pPr>
      <w:r w:rsidRPr="000317CB">
        <w:rPr>
          <w:rFonts w:ascii="仿宋_GB2312" w:eastAsia="仿宋_GB2312" w:hAnsi="Calibri" w:cs="Times New Roman" w:hint="eastAsia"/>
          <w:b/>
          <w:sz w:val="32"/>
          <w:szCs w:val="32"/>
        </w:rPr>
        <w:t>2.按</w:t>
      </w:r>
      <w:proofErr w:type="gramStart"/>
      <w:r w:rsidRPr="000317CB">
        <w:rPr>
          <w:rFonts w:ascii="仿宋_GB2312" w:eastAsia="仿宋_GB2312" w:hAnsi="Calibri" w:cs="Times New Roman" w:hint="eastAsia"/>
          <w:b/>
          <w:sz w:val="32"/>
          <w:szCs w:val="32"/>
        </w:rPr>
        <w:t>投组划分</w:t>
      </w:r>
      <w:proofErr w:type="gramEnd"/>
    </w:p>
    <w:p w:rsidR="00B13BEC" w:rsidRPr="000317CB" w:rsidRDefault="009A42D9" w:rsidP="00031324">
      <w:pPr>
        <w:wordWrap w:val="0"/>
        <w:adjustRightInd w:val="0"/>
        <w:snapToGrid w:val="0"/>
        <w:ind w:firstLineChars="200" w:firstLine="480"/>
        <w:jc w:val="right"/>
        <w:rPr>
          <w:rFonts w:ascii="仿宋_GB2312" w:eastAsia="仿宋_GB2312" w:hAnsi="Calibri" w:cs="Times New Roman"/>
          <w:b/>
          <w:sz w:val="32"/>
          <w:szCs w:val="32"/>
        </w:rPr>
      </w:pPr>
      <w:r w:rsidRPr="000317CB">
        <w:rPr>
          <w:rFonts w:ascii="仿宋_GB2312" w:eastAsia="仿宋_GB2312" w:hAnsi="Calibri" w:cs="Times New Roman" w:hint="eastAsia"/>
          <w:sz w:val="24"/>
          <w:szCs w:val="32"/>
        </w:rPr>
        <w:t>单位：万</w:t>
      </w:r>
      <w:r w:rsidR="00B13BEC" w:rsidRPr="000317CB">
        <w:rPr>
          <w:rFonts w:ascii="仿宋_GB2312" w:eastAsia="仿宋_GB2312" w:hAnsi="Calibri" w:cs="Times New Roman" w:hint="eastAsia"/>
          <w:sz w:val="24"/>
          <w:szCs w:val="32"/>
        </w:rPr>
        <w:t>元</w:t>
      </w:r>
    </w:p>
    <w:tbl>
      <w:tblPr>
        <w:tblStyle w:val="a3"/>
        <w:tblW w:w="11623" w:type="dxa"/>
        <w:jc w:val="center"/>
        <w:tblInd w:w="-837" w:type="dxa"/>
        <w:tblLayout w:type="fixed"/>
        <w:tblLook w:val="04A0" w:firstRow="1" w:lastRow="0" w:firstColumn="1" w:lastColumn="0" w:noHBand="0" w:noVBand="1"/>
      </w:tblPr>
      <w:tblGrid>
        <w:gridCol w:w="3067"/>
        <w:gridCol w:w="1374"/>
        <w:gridCol w:w="992"/>
        <w:gridCol w:w="2221"/>
        <w:gridCol w:w="1984"/>
        <w:gridCol w:w="1985"/>
      </w:tblGrid>
      <w:tr w:rsidR="002B1799" w:rsidRPr="000317CB" w:rsidTr="00B714F8">
        <w:trPr>
          <w:trHeight w:val="288"/>
          <w:jc w:val="center"/>
        </w:trPr>
        <w:tc>
          <w:tcPr>
            <w:tcW w:w="3067" w:type="dxa"/>
            <w:noWrap/>
            <w:hideMark/>
          </w:tcPr>
          <w:p w:rsidR="002B1799" w:rsidRPr="000317CB" w:rsidRDefault="002B1799" w:rsidP="00401261">
            <w:pPr>
              <w:widowControl/>
              <w:adjustRightInd w:val="0"/>
              <w:snapToGrid w:val="0"/>
              <w:jc w:val="center"/>
              <w:rPr>
                <w:rFonts w:ascii="宋体" w:eastAsia="宋体" w:hAnsi="宋体" w:cs="宋体"/>
                <w:b/>
                <w:color w:val="000000"/>
                <w:kern w:val="0"/>
                <w:sz w:val="28"/>
              </w:rPr>
            </w:pPr>
            <w:proofErr w:type="gramStart"/>
            <w:r w:rsidRPr="000317CB">
              <w:rPr>
                <w:rFonts w:ascii="宋体" w:eastAsia="宋体" w:hAnsi="宋体" w:cs="宋体" w:hint="eastAsia"/>
                <w:b/>
                <w:color w:val="000000"/>
                <w:kern w:val="0"/>
                <w:sz w:val="28"/>
              </w:rPr>
              <w:t>投组</w:t>
            </w:r>
            <w:proofErr w:type="gramEnd"/>
          </w:p>
        </w:tc>
        <w:tc>
          <w:tcPr>
            <w:tcW w:w="1374" w:type="dxa"/>
            <w:noWrap/>
            <w:hideMark/>
          </w:tcPr>
          <w:p w:rsidR="002B1799" w:rsidRPr="000317CB" w:rsidRDefault="002B1799" w:rsidP="00401261">
            <w:pPr>
              <w:widowControl/>
              <w:adjustRightInd w:val="0"/>
              <w:snapToGrid w:val="0"/>
              <w:jc w:val="center"/>
              <w:rPr>
                <w:rFonts w:ascii="宋体" w:eastAsia="宋体" w:hAnsi="宋体" w:cs="宋体"/>
                <w:b/>
                <w:color w:val="000000"/>
                <w:kern w:val="0"/>
                <w:sz w:val="28"/>
              </w:rPr>
            </w:pPr>
            <w:r w:rsidRPr="000317CB">
              <w:rPr>
                <w:rFonts w:ascii="宋体" w:eastAsia="宋体" w:hAnsi="宋体" w:cs="宋体" w:hint="eastAsia"/>
                <w:b/>
                <w:color w:val="000000"/>
                <w:kern w:val="0"/>
                <w:sz w:val="28"/>
              </w:rPr>
              <w:t>方向</w:t>
            </w:r>
          </w:p>
        </w:tc>
        <w:tc>
          <w:tcPr>
            <w:tcW w:w="992" w:type="dxa"/>
            <w:noWrap/>
            <w:hideMark/>
          </w:tcPr>
          <w:p w:rsidR="002B1799" w:rsidRPr="000317CB" w:rsidRDefault="002B1799" w:rsidP="00401261">
            <w:pPr>
              <w:widowControl/>
              <w:adjustRightInd w:val="0"/>
              <w:snapToGrid w:val="0"/>
              <w:jc w:val="center"/>
              <w:rPr>
                <w:rFonts w:ascii="宋体" w:eastAsia="宋体" w:hAnsi="宋体" w:cs="宋体"/>
                <w:b/>
                <w:color w:val="000000"/>
                <w:kern w:val="0"/>
                <w:sz w:val="28"/>
              </w:rPr>
            </w:pPr>
            <w:r w:rsidRPr="000317CB">
              <w:rPr>
                <w:rFonts w:ascii="宋体" w:eastAsia="宋体" w:hAnsi="宋体" w:cs="宋体" w:hint="eastAsia"/>
                <w:b/>
                <w:color w:val="000000"/>
                <w:kern w:val="0"/>
                <w:sz w:val="28"/>
              </w:rPr>
              <w:t>笔数</w:t>
            </w:r>
          </w:p>
        </w:tc>
        <w:tc>
          <w:tcPr>
            <w:tcW w:w="2221" w:type="dxa"/>
          </w:tcPr>
          <w:p w:rsidR="002B1799" w:rsidRPr="000317CB" w:rsidRDefault="004F0530" w:rsidP="00401261">
            <w:pPr>
              <w:widowControl/>
              <w:adjustRightInd w:val="0"/>
              <w:snapToGrid w:val="0"/>
              <w:jc w:val="center"/>
              <w:rPr>
                <w:rFonts w:ascii="宋体" w:eastAsia="宋体" w:hAnsi="宋体" w:cs="宋体"/>
                <w:b/>
                <w:color w:val="000000"/>
                <w:kern w:val="0"/>
                <w:sz w:val="28"/>
              </w:rPr>
            </w:pPr>
            <w:r w:rsidRPr="000317CB">
              <w:rPr>
                <w:rFonts w:ascii="宋体" w:eastAsia="宋体" w:hAnsi="宋体" w:cs="宋体" w:hint="eastAsia"/>
                <w:b/>
                <w:color w:val="000000"/>
                <w:kern w:val="0"/>
                <w:sz w:val="28"/>
              </w:rPr>
              <w:t>金额</w:t>
            </w:r>
          </w:p>
        </w:tc>
        <w:tc>
          <w:tcPr>
            <w:tcW w:w="1984" w:type="dxa"/>
            <w:noWrap/>
            <w:hideMark/>
          </w:tcPr>
          <w:p w:rsidR="002B1799" w:rsidRPr="000317CB" w:rsidRDefault="002B1799" w:rsidP="00401261">
            <w:pPr>
              <w:widowControl/>
              <w:adjustRightInd w:val="0"/>
              <w:snapToGrid w:val="0"/>
              <w:jc w:val="center"/>
              <w:rPr>
                <w:rFonts w:ascii="宋体" w:eastAsia="宋体" w:hAnsi="宋体" w:cs="宋体"/>
                <w:b/>
                <w:color w:val="000000"/>
                <w:kern w:val="0"/>
                <w:sz w:val="28"/>
              </w:rPr>
            </w:pPr>
            <w:r w:rsidRPr="000317CB">
              <w:rPr>
                <w:rFonts w:ascii="宋体" w:eastAsia="宋体" w:hAnsi="宋体" w:cs="宋体" w:hint="eastAsia"/>
                <w:b/>
                <w:color w:val="000000"/>
                <w:kern w:val="0"/>
                <w:sz w:val="28"/>
              </w:rPr>
              <w:t>最大单笔金额</w:t>
            </w:r>
          </w:p>
        </w:tc>
        <w:tc>
          <w:tcPr>
            <w:tcW w:w="1985" w:type="dxa"/>
            <w:noWrap/>
            <w:hideMark/>
          </w:tcPr>
          <w:p w:rsidR="002B1799" w:rsidRPr="000317CB" w:rsidRDefault="002B1799" w:rsidP="00401261">
            <w:pPr>
              <w:widowControl/>
              <w:adjustRightInd w:val="0"/>
              <w:snapToGrid w:val="0"/>
              <w:jc w:val="center"/>
              <w:rPr>
                <w:rFonts w:ascii="宋体" w:eastAsia="宋体" w:hAnsi="宋体" w:cs="宋体"/>
                <w:b/>
                <w:color w:val="000000"/>
                <w:kern w:val="0"/>
                <w:sz w:val="28"/>
              </w:rPr>
            </w:pPr>
            <w:r w:rsidRPr="000317CB">
              <w:rPr>
                <w:rFonts w:ascii="宋体" w:eastAsia="宋体" w:hAnsi="宋体" w:cs="宋体" w:hint="eastAsia"/>
                <w:b/>
                <w:color w:val="000000"/>
                <w:kern w:val="0"/>
                <w:sz w:val="28"/>
              </w:rPr>
              <w:t>最小单笔金额</w:t>
            </w:r>
          </w:p>
        </w:tc>
      </w:tr>
      <w:tr w:rsidR="000317CB" w:rsidRPr="000317CB" w:rsidTr="00B714F8">
        <w:trPr>
          <w:trHeight w:val="288"/>
          <w:jc w:val="center"/>
        </w:trPr>
        <w:tc>
          <w:tcPr>
            <w:tcW w:w="3067"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自营-资金-质押式回购</w:t>
            </w:r>
          </w:p>
        </w:tc>
        <w:tc>
          <w:tcPr>
            <w:tcW w:w="1374"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质押式逆回购</w:t>
            </w:r>
          </w:p>
        </w:tc>
        <w:tc>
          <w:tcPr>
            <w:tcW w:w="992"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22</w:t>
            </w:r>
          </w:p>
        </w:tc>
        <w:tc>
          <w:tcPr>
            <w:tcW w:w="2221" w:type="dxa"/>
            <w:vAlign w:val="center"/>
          </w:tcPr>
          <w:p w:rsidR="000317CB" w:rsidRPr="000317CB" w:rsidRDefault="000317CB" w:rsidP="000317CB">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562,211.90</w:t>
            </w:r>
          </w:p>
        </w:tc>
        <w:tc>
          <w:tcPr>
            <w:tcW w:w="1984"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49,992.00</w:t>
            </w:r>
          </w:p>
        </w:tc>
        <w:tc>
          <w:tcPr>
            <w:tcW w:w="1985"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9,900.00</w:t>
            </w:r>
          </w:p>
        </w:tc>
      </w:tr>
      <w:tr w:rsidR="000317CB" w:rsidRPr="000317CB" w:rsidTr="00B714F8">
        <w:trPr>
          <w:trHeight w:val="288"/>
          <w:jc w:val="center"/>
        </w:trPr>
        <w:tc>
          <w:tcPr>
            <w:tcW w:w="3067"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自营-资金-质押式回购</w:t>
            </w:r>
          </w:p>
        </w:tc>
        <w:tc>
          <w:tcPr>
            <w:tcW w:w="1374"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proofErr w:type="gramStart"/>
            <w:r w:rsidRPr="000317CB">
              <w:rPr>
                <w:rFonts w:asciiTheme="minorEastAsia" w:hAnsiTheme="minorEastAsia" w:cs="Times New Roman" w:hint="eastAsia"/>
                <w:sz w:val="28"/>
                <w:szCs w:val="28"/>
              </w:rPr>
              <w:t>质押式正回购</w:t>
            </w:r>
            <w:proofErr w:type="gramEnd"/>
          </w:p>
        </w:tc>
        <w:tc>
          <w:tcPr>
            <w:tcW w:w="992"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5</w:t>
            </w:r>
          </w:p>
        </w:tc>
        <w:tc>
          <w:tcPr>
            <w:tcW w:w="2221" w:type="dxa"/>
            <w:vAlign w:val="center"/>
          </w:tcPr>
          <w:p w:rsidR="000317CB" w:rsidRPr="000317CB" w:rsidRDefault="000317CB" w:rsidP="000317CB">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138,970.00</w:t>
            </w:r>
          </w:p>
        </w:tc>
        <w:tc>
          <w:tcPr>
            <w:tcW w:w="1984"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49,500.00</w:t>
            </w:r>
          </w:p>
        </w:tc>
        <w:tc>
          <w:tcPr>
            <w:tcW w:w="1985" w:type="dxa"/>
            <w:noWrap/>
            <w:vAlign w:val="center"/>
          </w:tcPr>
          <w:p w:rsidR="000317CB" w:rsidRPr="000317CB" w:rsidRDefault="000317CB" w:rsidP="000317CB">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10,000.00</w:t>
            </w:r>
          </w:p>
        </w:tc>
      </w:tr>
      <w:tr w:rsidR="000317CB" w:rsidRPr="000317CB" w:rsidTr="00B714F8">
        <w:trPr>
          <w:trHeight w:val="288"/>
          <w:jc w:val="center"/>
        </w:trPr>
        <w:tc>
          <w:tcPr>
            <w:tcW w:w="3067" w:type="dxa"/>
            <w:noWrap/>
            <w:vAlign w:val="center"/>
          </w:tcPr>
          <w:p w:rsidR="000317CB" w:rsidRPr="000317CB" w:rsidRDefault="000317CB" w:rsidP="00BC6EA4">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自营-资金-拆借</w:t>
            </w:r>
          </w:p>
        </w:tc>
        <w:tc>
          <w:tcPr>
            <w:tcW w:w="1374" w:type="dxa"/>
            <w:noWrap/>
            <w:vAlign w:val="center"/>
          </w:tcPr>
          <w:p w:rsidR="000317CB" w:rsidRPr="000317CB" w:rsidRDefault="000317CB" w:rsidP="00BC6EA4">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拆借拆出</w:t>
            </w:r>
          </w:p>
        </w:tc>
        <w:tc>
          <w:tcPr>
            <w:tcW w:w="992" w:type="dxa"/>
            <w:noWrap/>
            <w:vAlign w:val="center"/>
          </w:tcPr>
          <w:p w:rsidR="000317CB" w:rsidRPr="000317CB" w:rsidRDefault="000317CB" w:rsidP="000F3526">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4</w:t>
            </w:r>
          </w:p>
        </w:tc>
        <w:tc>
          <w:tcPr>
            <w:tcW w:w="2221" w:type="dxa"/>
            <w:vAlign w:val="center"/>
          </w:tcPr>
          <w:p w:rsidR="000317CB" w:rsidRPr="000317CB" w:rsidRDefault="000317CB" w:rsidP="000F3526">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90,000.00</w:t>
            </w:r>
          </w:p>
        </w:tc>
        <w:tc>
          <w:tcPr>
            <w:tcW w:w="1984" w:type="dxa"/>
            <w:noWrap/>
            <w:vAlign w:val="center"/>
          </w:tcPr>
          <w:p w:rsidR="000317CB" w:rsidRPr="000317CB" w:rsidRDefault="000317CB" w:rsidP="000F3526">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40,000.00</w:t>
            </w:r>
          </w:p>
        </w:tc>
        <w:tc>
          <w:tcPr>
            <w:tcW w:w="1985" w:type="dxa"/>
            <w:noWrap/>
            <w:vAlign w:val="center"/>
          </w:tcPr>
          <w:p w:rsidR="000317CB" w:rsidRPr="000317CB" w:rsidRDefault="000317CB" w:rsidP="000F3526">
            <w:pPr>
              <w:adjustRightInd w:val="0"/>
              <w:snapToGrid w:val="0"/>
              <w:jc w:val="center"/>
              <w:rPr>
                <w:rFonts w:asciiTheme="minorEastAsia" w:hAnsiTheme="minorEastAsia" w:cs="Times New Roman"/>
                <w:sz w:val="28"/>
                <w:szCs w:val="28"/>
              </w:rPr>
            </w:pPr>
            <w:r w:rsidRPr="000317CB">
              <w:rPr>
                <w:rFonts w:asciiTheme="minorEastAsia" w:hAnsiTheme="minorEastAsia" w:cs="Times New Roman" w:hint="eastAsia"/>
                <w:sz w:val="28"/>
                <w:szCs w:val="28"/>
              </w:rPr>
              <w:t>10,000.00</w:t>
            </w:r>
          </w:p>
        </w:tc>
      </w:tr>
      <w:tr w:rsidR="000317CB" w:rsidRPr="000317CB" w:rsidTr="00B714F8">
        <w:trPr>
          <w:trHeight w:val="288"/>
          <w:jc w:val="center"/>
        </w:trPr>
        <w:tc>
          <w:tcPr>
            <w:tcW w:w="4441" w:type="dxa"/>
            <w:gridSpan w:val="2"/>
            <w:noWrap/>
            <w:vAlign w:val="center"/>
          </w:tcPr>
          <w:p w:rsidR="000317CB" w:rsidRPr="000317CB" w:rsidRDefault="000317CB" w:rsidP="00524658">
            <w:pPr>
              <w:widowControl/>
              <w:adjustRightInd w:val="0"/>
              <w:snapToGrid w:val="0"/>
              <w:jc w:val="center"/>
              <w:rPr>
                <w:rFonts w:asciiTheme="minorEastAsia" w:hAnsiTheme="minorEastAsia" w:cs="宋体"/>
                <w:b/>
                <w:color w:val="000000"/>
                <w:kern w:val="0"/>
                <w:sz w:val="28"/>
                <w:szCs w:val="28"/>
              </w:rPr>
            </w:pPr>
            <w:r w:rsidRPr="000317CB">
              <w:rPr>
                <w:rFonts w:asciiTheme="minorEastAsia" w:hAnsiTheme="minorEastAsia" w:cs="宋体" w:hint="eastAsia"/>
                <w:b/>
                <w:color w:val="000000"/>
                <w:kern w:val="0"/>
                <w:sz w:val="28"/>
                <w:szCs w:val="28"/>
              </w:rPr>
              <w:t>合计</w:t>
            </w:r>
          </w:p>
        </w:tc>
        <w:tc>
          <w:tcPr>
            <w:tcW w:w="992" w:type="dxa"/>
            <w:noWrap/>
            <w:vAlign w:val="center"/>
          </w:tcPr>
          <w:p w:rsidR="000317CB" w:rsidRPr="000317CB" w:rsidRDefault="000317CB" w:rsidP="000F3526">
            <w:pPr>
              <w:adjustRightInd w:val="0"/>
              <w:snapToGrid w:val="0"/>
              <w:jc w:val="center"/>
              <w:rPr>
                <w:rFonts w:asciiTheme="minorEastAsia" w:hAnsiTheme="minorEastAsia" w:cs="Times New Roman"/>
                <w:b/>
                <w:sz w:val="28"/>
                <w:szCs w:val="28"/>
              </w:rPr>
            </w:pPr>
            <w:r w:rsidRPr="000317CB">
              <w:rPr>
                <w:rFonts w:asciiTheme="minorEastAsia" w:hAnsiTheme="minorEastAsia" w:cs="Times New Roman" w:hint="eastAsia"/>
                <w:b/>
                <w:sz w:val="28"/>
                <w:szCs w:val="28"/>
              </w:rPr>
              <w:t>31</w:t>
            </w:r>
          </w:p>
        </w:tc>
        <w:tc>
          <w:tcPr>
            <w:tcW w:w="2221" w:type="dxa"/>
            <w:vAlign w:val="center"/>
          </w:tcPr>
          <w:p w:rsidR="000317CB" w:rsidRPr="000317CB" w:rsidRDefault="000317CB" w:rsidP="000F3526">
            <w:pPr>
              <w:adjustRightInd w:val="0"/>
              <w:snapToGrid w:val="0"/>
              <w:jc w:val="center"/>
              <w:rPr>
                <w:rFonts w:asciiTheme="minorEastAsia" w:hAnsiTheme="minorEastAsia" w:cs="Times New Roman"/>
                <w:b/>
                <w:sz w:val="28"/>
                <w:szCs w:val="28"/>
              </w:rPr>
            </w:pPr>
            <w:r w:rsidRPr="000317CB">
              <w:rPr>
                <w:rFonts w:asciiTheme="minorEastAsia" w:hAnsiTheme="minorEastAsia" w:cs="Times New Roman" w:hint="eastAsia"/>
                <w:b/>
                <w:sz w:val="28"/>
                <w:szCs w:val="28"/>
              </w:rPr>
              <w:t>791,181.90</w:t>
            </w:r>
          </w:p>
        </w:tc>
        <w:tc>
          <w:tcPr>
            <w:tcW w:w="1984" w:type="dxa"/>
            <w:noWrap/>
            <w:vAlign w:val="center"/>
          </w:tcPr>
          <w:p w:rsidR="000317CB" w:rsidRPr="000317CB" w:rsidRDefault="000317CB" w:rsidP="000F3526">
            <w:pPr>
              <w:adjustRightInd w:val="0"/>
              <w:snapToGrid w:val="0"/>
              <w:jc w:val="center"/>
              <w:rPr>
                <w:rFonts w:asciiTheme="minorEastAsia" w:hAnsiTheme="minorEastAsia" w:cs="Times New Roman"/>
                <w:b/>
                <w:sz w:val="28"/>
                <w:szCs w:val="28"/>
              </w:rPr>
            </w:pPr>
            <w:r w:rsidRPr="000317CB">
              <w:rPr>
                <w:rFonts w:asciiTheme="minorEastAsia" w:hAnsiTheme="minorEastAsia" w:cs="Times New Roman"/>
                <w:b/>
                <w:sz w:val="28"/>
                <w:szCs w:val="28"/>
              </w:rPr>
              <w:t>49,992.00</w:t>
            </w:r>
          </w:p>
        </w:tc>
        <w:tc>
          <w:tcPr>
            <w:tcW w:w="1985" w:type="dxa"/>
            <w:noWrap/>
            <w:vAlign w:val="center"/>
          </w:tcPr>
          <w:p w:rsidR="000317CB" w:rsidRPr="000317CB" w:rsidRDefault="000317CB" w:rsidP="000F3526">
            <w:pPr>
              <w:adjustRightInd w:val="0"/>
              <w:snapToGrid w:val="0"/>
              <w:jc w:val="center"/>
              <w:rPr>
                <w:rFonts w:asciiTheme="minorEastAsia" w:hAnsiTheme="minorEastAsia" w:cs="Times New Roman"/>
                <w:b/>
                <w:sz w:val="28"/>
                <w:szCs w:val="28"/>
              </w:rPr>
            </w:pPr>
            <w:r w:rsidRPr="000317CB">
              <w:rPr>
                <w:rFonts w:asciiTheme="minorEastAsia" w:hAnsiTheme="minorEastAsia" w:cs="Times New Roman"/>
                <w:b/>
                <w:sz w:val="28"/>
                <w:szCs w:val="28"/>
              </w:rPr>
              <w:t>9,900.00</w:t>
            </w:r>
          </w:p>
        </w:tc>
      </w:tr>
    </w:tbl>
    <w:p w:rsidR="00B13BEC" w:rsidRPr="000317CB" w:rsidRDefault="00B13BEC" w:rsidP="003D7C56">
      <w:pPr>
        <w:adjustRightInd w:val="0"/>
        <w:snapToGrid w:val="0"/>
        <w:ind w:firstLineChars="200" w:firstLine="480"/>
        <w:rPr>
          <w:rFonts w:ascii="仿宋_GB2312" w:eastAsia="仿宋_GB2312" w:hAnsi="Calibri" w:cs="Times New Roman"/>
          <w:sz w:val="24"/>
          <w:szCs w:val="32"/>
        </w:rPr>
      </w:pPr>
      <w:r w:rsidRPr="000317CB">
        <w:rPr>
          <w:rFonts w:ascii="仿宋_GB2312" w:eastAsia="仿宋_GB2312" w:hAnsi="Calibri" w:cs="Times New Roman" w:hint="eastAsia"/>
          <w:sz w:val="24"/>
          <w:szCs w:val="32"/>
        </w:rPr>
        <w:t>数据来源：COMSTAR系统</w:t>
      </w:r>
    </w:p>
    <w:p w:rsidR="002A5322" w:rsidRPr="000317CB" w:rsidRDefault="002A5322" w:rsidP="002A5322">
      <w:pPr>
        <w:spacing w:line="480" w:lineRule="exact"/>
        <w:ind w:firstLineChars="200" w:firstLine="643"/>
        <w:rPr>
          <w:rFonts w:ascii="仿宋_GB2312" w:eastAsia="仿宋_GB2312" w:hAnsi="Calibri" w:cs="Times New Roman"/>
          <w:b/>
          <w:sz w:val="32"/>
          <w:szCs w:val="32"/>
        </w:rPr>
      </w:pPr>
      <w:r w:rsidRPr="000317CB">
        <w:rPr>
          <w:rFonts w:ascii="仿宋_GB2312" w:eastAsia="仿宋_GB2312" w:hAnsi="Calibri" w:cs="Times New Roman" w:hint="eastAsia"/>
          <w:b/>
          <w:sz w:val="32"/>
          <w:szCs w:val="32"/>
        </w:rPr>
        <w:t>（二）同业线下业务</w:t>
      </w:r>
      <w:r w:rsidR="006A6B81" w:rsidRPr="000317CB">
        <w:rPr>
          <w:rFonts w:ascii="仿宋_GB2312" w:eastAsia="仿宋_GB2312" w:hAnsi="Calibri" w:cs="Times New Roman" w:hint="eastAsia"/>
          <w:b/>
          <w:sz w:val="32"/>
          <w:szCs w:val="32"/>
        </w:rPr>
        <w:t>（</w:t>
      </w:r>
      <w:r w:rsidR="00B403B8" w:rsidRPr="000317CB">
        <w:rPr>
          <w:rFonts w:ascii="仿宋_GB2312" w:eastAsia="仿宋_GB2312" w:hAnsi="Calibri" w:cs="Times New Roman" w:hint="eastAsia"/>
          <w:b/>
          <w:sz w:val="32"/>
          <w:szCs w:val="32"/>
        </w:rPr>
        <w:t>资金业务管理系统</w:t>
      </w:r>
      <w:r w:rsidR="006A6B81" w:rsidRPr="000317CB">
        <w:rPr>
          <w:rFonts w:ascii="仿宋_GB2312" w:eastAsia="仿宋_GB2312" w:hAnsi="Calibri" w:cs="Times New Roman" w:hint="eastAsia"/>
          <w:b/>
          <w:sz w:val="32"/>
          <w:szCs w:val="32"/>
        </w:rPr>
        <w:t>本期无交易）</w:t>
      </w:r>
    </w:p>
    <w:p w:rsidR="002A5322" w:rsidRPr="000317CB" w:rsidRDefault="002A5322" w:rsidP="002A5322">
      <w:pPr>
        <w:spacing w:line="480" w:lineRule="exact"/>
        <w:ind w:firstLineChars="200" w:firstLine="643"/>
        <w:rPr>
          <w:rFonts w:ascii="仿宋_GB2312" w:eastAsia="仿宋_GB2312" w:hAnsi="Calibri" w:cs="Times New Roman"/>
          <w:b/>
          <w:sz w:val="32"/>
          <w:szCs w:val="32"/>
        </w:rPr>
      </w:pPr>
      <w:r w:rsidRPr="000317CB">
        <w:rPr>
          <w:rFonts w:ascii="仿宋_GB2312" w:eastAsia="仿宋_GB2312" w:hAnsi="Calibri" w:cs="Times New Roman" w:hint="eastAsia"/>
          <w:b/>
          <w:sz w:val="32"/>
          <w:szCs w:val="32"/>
        </w:rPr>
        <w:t>（三）理财业务</w:t>
      </w:r>
    </w:p>
    <w:p w:rsidR="00432F41" w:rsidRPr="007C6736" w:rsidRDefault="00432F41" w:rsidP="00432F41">
      <w:pPr>
        <w:spacing w:line="520" w:lineRule="exact"/>
        <w:ind w:firstLineChars="200" w:firstLine="643"/>
        <w:rPr>
          <w:rFonts w:ascii="仿宋_GB2312" w:eastAsia="仿宋_GB2312" w:hAnsi="Calibri" w:cs="Times New Roman"/>
          <w:b/>
          <w:sz w:val="32"/>
          <w:szCs w:val="32"/>
        </w:rPr>
      </w:pPr>
      <w:r w:rsidRPr="007C6736">
        <w:rPr>
          <w:rFonts w:ascii="仿宋_GB2312" w:eastAsia="仿宋_GB2312" w:hAnsi="Calibri" w:cs="Times New Roman" w:hint="eastAsia"/>
          <w:b/>
          <w:sz w:val="32"/>
          <w:szCs w:val="32"/>
        </w:rPr>
        <w:t>1.按业务类别划分</w:t>
      </w:r>
    </w:p>
    <w:p w:rsidR="00432F41" w:rsidRPr="007C6736" w:rsidRDefault="00432F41" w:rsidP="00432F41">
      <w:pPr>
        <w:wordWrap w:val="0"/>
        <w:ind w:firstLineChars="200" w:firstLine="480"/>
        <w:jc w:val="right"/>
        <w:rPr>
          <w:rFonts w:ascii="仿宋_GB2312" w:eastAsia="仿宋_GB2312" w:hAnsi="Calibri" w:cs="Times New Roman"/>
          <w:sz w:val="24"/>
          <w:szCs w:val="32"/>
        </w:rPr>
      </w:pPr>
      <w:r w:rsidRPr="007C6736">
        <w:rPr>
          <w:rFonts w:ascii="仿宋_GB2312" w:eastAsia="仿宋_GB2312" w:hAnsi="Calibri" w:cs="Times New Roman" w:hint="eastAsia"/>
          <w:sz w:val="24"/>
          <w:szCs w:val="32"/>
        </w:rPr>
        <w:t>单位：万元</w:t>
      </w:r>
    </w:p>
    <w:tbl>
      <w:tblPr>
        <w:tblStyle w:val="a3"/>
        <w:tblW w:w="9374" w:type="dxa"/>
        <w:jc w:val="center"/>
        <w:tblInd w:w="35" w:type="dxa"/>
        <w:tblLayout w:type="fixed"/>
        <w:tblLook w:val="04A0" w:firstRow="1" w:lastRow="0" w:firstColumn="1" w:lastColumn="0" w:noHBand="0" w:noVBand="1"/>
      </w:tblPr>
      <w:tblGrid>
        <w:gridCol w:w="1419"/>
        <w:gridCol w:w="1134"/>
        <w:gridCol w:w="850"/>
        <w:gridCol w:w="2002"/>
        <w:gridCol w:w="1984"/>
        <w:gridCol w:w="1985"/>
      </w:tblGrid>
      <w:tr w:rsidR="00432F41" w:rsidRPr="007C6736" w:rsidTr="00BC6EA4">
        <w:trPr>
          <w:trHeight w:val="288"/>
          <w:jc w:val="center"/>
        </w:trPr>
        <w:tc>
          <w:tcPr>
            <w:tcW w:w="1419" w:type="dxa"/>
            <w:noWrap/>
            <w:hideMark/>
          </w:tcPr>
          <w:p w:rsidR="00432F41" w:rsidRPr="007C6736" w:rsidRDefault="00432F41" w:rsidP="001B5773">
            <w:pPr>
              <w:widowControl/>
              <w:adjustRightInd w:val="0"/>
              <w:snapToGrid w:val="0"/>
              <w:jc w:val="center"/>
              <w:rPr>
                <w:rFonts w:ascii="宋体" w:eastAsia="宋体" w:hAnsi="宋体" w:cs="宋体"/>
                <w:b/>
                <w:color w:val="000000"/>
                <w:kern w:val="0"/>
                <w:sz w:val="28"/>
              </w:rPr>
            </w:pPr>
            <w:r w:rsidRPr="007C6736">
              <w:rPr>
                <w:rFonts w:ascii="宋体" w:eastAsia="宋体" w:hAnsi="宋体" w:cs="宋体" w:hint="eastAsia"/>
                <w:b/>
                <w:color w:val="000000"/>
                <w:kern w:val="0"/>
                <w:sz w:val="28"/>
              </w:rPr>
              <w:t>业务类别</w:t>
            </w:r>
          </w:p>
        </w:tc>
        <w:tc>
          <w:tcPr>
            <w:tcW w:w="1134" w:type="dxa"/>
            <w:noWrap/>
            <w:hideMark/>
          </w:tcPr>
          <w:p w:rsidR="00432F41" w:rsidRPr="007C6736" w:rsidRDefault="00432F41" w:rsidP="001B5773">
            <w:pPr>
              <w:widowControl/>
              <w:adjustRightInd w:val="0"/>
              <w:snapToGrid w:val="0"/>
              <w:jc w:val="center"/>
              <w:rPr>
                <w:rFonts w:ascii="宋体" w:eastAsia="宋体" w:hAnsi="宋体" w:cs="宋体"/>
                <w:b/>
                <w:color w:val="000000"/>
                <w:kern w:val="0"/>
                <w:sz w:val="28"/>
              </w:rPr>
            </w:pPr>
            <w:r w:rsidRPr="007C6736">
              <w:rPr>
                <w:rFonts w:ascii="宋体" w:eastAsia="宋体" w:hAnsi="宋体" w:cs="宋体" w:hint="eastAsia"/>
                <w:b/>
                <w:color w:val="000000"/>
                <w:kern w:val="0"/>
                <w:sz w:val="28"/>
              </w:rPr>
              <w:t>方向</w:t>
            </w:r>
          </w:p>
        </w:tc>
        <w:tc>
          <w:tcPr>
            <w:tcW w:w="850" w:type="dxa"/>
            <w:hideMark/>
          </w:tcPr>
          <w:p w:rsidR="00432F41" w:rsidRPr="007C6736" w:rsidRDefault="00432F41" w:rsidP="001B5773">
            <w:pPr>
              <w:widowControl/>
              <w:adjustRightInd w:val="0"/>
              <w:snapToGrid w:val="0"/>
              <w:jc w:val="center"/>
              <w:rPr>
                <w:rFonts w:ascii="宋体" w:eastAsia="宋体" w:hAnsi="宋体" w:cs="宋体"/>
                <w:b/>
                <w:color w:val="000000"/>
                <w:kern w:val="0"/>
                <w:sz w:val="28"/>
              </w:rPr>
            </w:pPr>
            <w:r w:rsidRPr="007C6736">
              <w:rPr>
                <w:rFonts w:ascii="宋体" w:eastAsia="宋体" w:hAnsi="宋体" w:cs="宋体" w:hint="eastAsia"/>
                <w:b/>
                <w:color w:val="000000"/>
                <w:kern w:val="0"/>
                <w:sz w:val="28"/>
              </w:rPr>
              <w:t>笔数</w:t>
            </w:r>
          </w:p>
        </w:tc>
        <w:tc>
          <w:tcPr>
            <w:tcW w:w="2002" w:type="dxa"/>
          </w:tcPr>
          <w:p w:rsidR="00432F41" w:rsidRPr="007C6736" w:rsidRDefault="00432F41" w:rsidP="001B5773">
            <w:pPr>
              <w:widowControl/>
              <w:adjustRightInd w:val="0"/>
              <w:snapToGrid w:val="0"/>
              <w:jc w:val="center"/>
              <w:rPr>
                <w:rFonts w:ascii="宋体" w:eastAsia="宋体" w:hAnsi="宋体" w:cs="宋体"/>
                <w:b/>
                <w:color w:val="000000"/>
                <w:kern w:val="0"/>
                <w:sz w:val="28"/>
              </w:rPr>
            </w:pPr>
            <w:r w:rsidRPr="007C6736">
              <w:rPr>
                <w:rFonts w:ascii="宋体" w:eastAsia="宋体" w:hAnsi="宋体" w:cs="宋体" w:hint="eastAsia"/>
                <w:b/>
                <w:color w:val="000000"/>
                <w:kern w:val="0"/>
                <w:sz w:val="28"/>
              </w:rPr>
              <w:t>金额</w:t>
            </w:r>
          </w:p>
        </w:tc>
        <w:tc>
          <w:tcPr>
            <w:tcW w:w="1984" w:type="dxa"/>
            <w:hideMark/>
          </w:tcPr>
          <w:p w:rsidR="00432F41" w:rsidRPr="007C6736" w:rsidRDefault="00432F41" w:rsidP="001B5773">
            <w:pPr>
              <w:widowControl/>
              <w:adjustRightInd w:val="0"/>
              <w:snapToGrid w:val="0"/>
              <w:jc w:val="center"/>
              <w:rPr>
                <w:rFonts w:ascii="宋体" w:eastAsia="宋体" w:hAnsi="宋体" w:cs="宋体"/>
                <w:b/>
                <w:color w:val="000000"/>
                <w:kern w:val="0"/>
                <w:sz w:val="28"/>
              </w:rPr>
            </w:pPr>
            <w:r w:rsidRPr="007C6736">
              <w:rPr>
                <w:rFonts w:ascii="宋体" w:eastAsia="宋体" w:hAnsi="宋体" w:cs="宋体" w:hint="eastAsia"/>
                <w:b/>
                <w:color w:val="000000"/>
                <w:kern w:val="0"/>
                <w:sz w:val="28"/>
              </w:rPr>
              <w:t>最大单笔金额</w:t>
            </w:r>
          </w:p>
        </w:tc>
        <w:tc>
          <w:tcPr>
            <w:tcW w:w="1985" w:type="dxa"/>
          </w:tcPr>
          <w:p w:rsidR="00432F41" w:rsidRPr="007C6736" w:rsidRDefault="00432F41" w:rsidP="001B5773">
            <w:pPr>
              <w:widowControl/>
              <w:adjustRightInd w:val="0"/>
              <w:snapToGrid w:val="0"/>
              <w:jc w:val="center"/>
              <w:rPr>
                <w:rFonts w:ascii="宋体" w:eastAsia="宋体" w:hAnsi="宋体" w:cs="宋体"/>
                <w:b/>
                <w:color w:val="000000"/>
                <w:kern w:val="0"/>
                <w:sz w:val="28"/>
              </w:rPr>
            </w:pPr>
            <w:r w:rsidRPr="007C6736">
              <w:rPr>
                <w:rFonts w:ascii="宋体" w:eastAsia="宋体" w:hAnsi="宋体" w:cs="宋体" w:hint="eastAsia"/>
                <w:b/>
                <w:color w:val="000000"/>
                <w:kern w:val="0"/>
                <w:sz w:val="28"/>
              </w:rPr>
              <w:t>最小单笔金额</w:t>
            </w:r>
          </w:p>
        </w:tc>
      </w:tr>
      <w:tr w:rsidR="007C6736" w:rsidRPr="007C6736" w:rsidTr="00BC6EA4">
        <w:trPr>
          <w:trHeight w:val="288"/>
          <w:jc w:val="center"/>
        </w:trPr>
        <w:tc>
          <w:tcPr>
            <w:tcW w:w="1419" w:type="dxa"/>
            <w:vMerge w:val="restart"/>
            <w:vAlign w:val="center"/>
          </w:tcPr>
          <w:p w:rsidR="007C6736" w:rsidRPr="007C6736" w:rsidRDefault="007C6736" w:rsidP="001B5773">
            <w:pPr>
              <w:widowControl/>
              <w:adjustRightInd w:val="0"/>
              <w:snapToGrid w:val="0"/>
              <w:jc w:val="center"/>
              <w:rPr>
                <w:rFonts w:ascii="宋体" w:eastAsia="宋体" w:hAnsi="宋体" w:cs="宋体"/>
                <w:color w:val="000000"/>
                <w:kern w:val="0"/>
                <w:sz w:val="28"/>
              </w:rPr>
            </w:pPr>
            <w:r w:rsidRPr="007C6736">
              <w:rPr>
                <w:rFonts w:ascii="宋体" w:eastAsia="宋体" w:hAnsi="宋体" w:cs="宋体"/>
                <w:color w:val="000000"/>
                <w:kern w:val="0"/>
                <w:sz w:val="28"/>
              </w:rPr>
              <w:t>现券</w:t>
            </w:r>
          </w:p>
        </w:tc>
        <w:tc>
          <w:tcPr>
            <w:tcW w:w="1134" w:type="dxa"/>
            <w:noWrap/>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买入</w:t>
            </w:r>
          </w:p>
        </w:tc>
        <w:tc>
          <w:tcPr>
            <w:tcW w:w="850"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9</w:t>
            </w:r>
          </w:p>
        </w:tc>
        <w:tc>
          <w:tcPr>
            <w:tcW w:w="2002"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33,954.84</w:t>
            </w:r>
          </w:p>
        </w:tc>
        <w:tc>
          <w:tcPr>
            <w:tcW w:w="1984"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5,186.40</w:t>
            </w:r>
          </w:p>
        </w:tc>
        <w:tc>
          <w:tcPr>
            <w:tcW w:w="1985"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1,037.28</w:t>
            </w:r>
          </w:p>
        </w:tc>
      </w:tr>
      <w:tr w:rsidR="007C6736" w:rsidRPr="007C6736" w:rsidTr="00BC6EA4">
        <w:trPr>
          <w:trHeight w:val="288"/>
          <w:jc w:val="center"/>
        </w:trPr>
        <w:tc>
          <w:tcPr>
            <w:tcW w:w="1419" w:type="dxa"/>
            <w:vMerge/>
            <w:vAlign w:val="center"/>
          </w:tcPr>
          <w:p w:rsidR="007C6736" w:rsidRPr="007C6736" w:rsidRDefault="007C6736"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7C6736" w:rsidRPr="007C6736" w:rsidRDefault="007C6736" w:rsidP="00BA4191">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卖出</w:t>
            </w:r>
          </w:p>
        </w:tc>
        <w:tc>
          <w:tcPr>
            <w:tcW w:w="850"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3</w:t>
            </w:r>
          </w:p>
        </w:tc>
        <w:tc>
          <w:tcPr>
            <w:tcW w:w="2002"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5,226.53</w:t>
            </w:r>
          </w:p>
        </w:tc>
        <w:tc>
          <w:tcPr>
            <w:tcW w:w="1984"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2,101.56</w:t>
            </w:r>
          </w:p>
        </w:tc>
        <w:tc>
          <w:tcPr>
            <w:tcW w:w="1985"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1,126.99</w:t>
            </w:r>
          </w:p>
        </w:tc>
      </w:tr>
      <w:tr w:rsidR="007C6736" w:rsidRPr="007C6736" w:rsidTr="00BC6EA4">
        <w:trPr>
          <w:trHeight w:val="288"/>
          <w:jc w:val="center"/>
        </w:trPr>
        <w:tc>
          <w:tcPr>
            <w:tcW w:w="1419" w:type="dxa"/>
            <w:vMerge w:val="restart"/>
            <w:vAlign w:val="center"/>
          </w:tcPr>
          <w:p w:rsidR="007C6736" w:rsidRPr="007C6736" w:rsidRDefault="007C6736" w:rsidP="009D2C09">
            <w:pPr>
              <w:widowControl/>
              <w:adjustRightInd w:val="0"/>
              <w:snapToGrid w:val="0"/>
              <w:jc w:val="center"/>
              <w:rPr>
                <w:rFonts w:ascii="宋体" w:eastAsia="宋体" w:hAnsi="宋体" w:cs="宋体"/>
                <w:color w:val="000000"/>
                <w:kern w:val="0"/>
                <w:sz w:val="28"/>
              </w:rPr>
            </w:pPr>
            <w:r w:rsidRPr="007C6736">
              <w:rPr>
                <w:rFonts w:ascii="宋体" w:eastAsia="宋体" w:hAnsi="宋体" w:cs="宋体" w:hint="eastAsia"/>
                <w:color w:val="000000"/>
                <w:kern w:val="0"/>
                <w:sz w:val="28"/>
              </w:rPr>
              <w:t>回购</w:t>
            </w:r>
          </w:p>
        </w:tc>
        <w:tc>
          <w:tcPr>
            <w:tcW w:w="1134" w:type="dxa"/>
            <w:noWrap/>
            <w:vAlign w:val="center"/>
          </w:tcPr>
          <w:p w:rsidR="007C6736" w:rsidRPr="007C6736" w:rsidRDefault="007C6736" w:rsidP="00527EB2">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逆回购</w:t>
            </w:r>
          </w:p>
        </w:tc>
        <w:tc>
          <w:tcPr>
            <w:tcW w:w="850"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14</w:t>
            </w:r>
          </w:p>
        </w:tc>
        <w:tc>
          <w:tcPr>
            <w:tcW w:w="2002"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83,722.00</w:t>
            </w:r>
          </w:p>
        </w:tc>
        <w:tc>
          <w:tcPr>
            <w:tcW w:w="1984"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10,000.00</w:t>
            </w:r>
          </w:p>
        </w:tc>
        <w:tc>
          <w:tcPr>
            <w:tcW w:w="1985"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610.00</w:t>
            </w:r>
          </w:p>
        </w:tc>
      </w:tr>
      <w:tr w:rsidR="007C6736" w:rsidRPr="007C6736" w:rsidTr="00BC6EA4">
        <w:trPr>
          <w:trHeight w:val="288"/>
          <w:jc w:val="center"/>
        </w:trPr>
        <w:tc>
          <w:tcPr>
            <w:tcW w:w="1419" w:type="dxa"/>
            <w:vMerge/>
            <w:vAlign w:val="center"/>
          </w:tcPr>
          <w:p w:rsidR="007C6736" w:rsidRPr="007C6736" w:rsidRDefault="007C6736"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7C6736" w:rsidRPr="007C6736" w:rsidRDefault="007C6736" w:rsidP="00BA4191">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正回购</w:t>
            </w:r>
          </w:p>
        </w:tc>
        <w:tc>
          <w:tcPr>
            <w:tcW w:w="850"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4</w:t>
            </w:r>
          </w:p>
        </w:tc>
        <w:tc>
          <w:tcPr>
            <w:tcW w:w="2002"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14,534.00</w:t>
            </w:r>
          </w:p>
        </w:tc>
        <w:tc>
          <w:tcPr>
            <w:tcW w:w="1984"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5,035.00</w:t>
            </w:r>
          </w:p>
        </w:tc>
        <w:tc>
          <w:tcPr>
            <w:tcW w:w="1985"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1,900.00</w:t>
            </w:r>
          </w:p>
        </w:tc>
      </w:tr>
      <w:tr w:rsidR="007C6736" w:rsidRPr="007C6736" w:rsidTr="00BC6EA4">
        <w:trPr>
          <w:trHeight w:val="288"/>
          <w:jc w:val="center"/>
        </w:trPr>
        <w:tc>
          <w:tcPr>
            <w:tcW w:w="1419" w:type="dxa"/>
            <w:vMerge w:val="restart"/>
            <w:vAlign w:val="center"/>
          </w:tcPr>
          <w:p w:rsidR="007C6736" w:rsidRPr="007C6736" w:rsidRDefault="007C6736" w:rsidP="001B5773">
            <w:pPr>
              <w:widowControl/>
              <w:adjustRightInd w:val="0"/>
              <w:snapToGrid w:val="0"/>
              <w:jc w:val="center"/>
              <w:rPr>
                <w:rFonts w:ascii="宋体" w:eastAsia="宋体" w:hAnsi="宋体" w:cs="宋体"/>
                <w:color w:val="000000"/>
                <w:kern w:val="0"/>
                <w:sz w:val="28"/>
              </w:rPr>
            </w:pPr>
            <w:r w:rsidRPr="007C6736">
              <w:rPr>
                <w:rFonts w:ascii="宋体" w:eastAsia="宋体" w:hAnsi="宋体" w:cs="宋体" w:hint="eastAsia"/>
                <w:color w:val="000000"/>
                <w:kern w:val="0"/>
                <w:sz w:val="28"/>
              </w:rPr>
              <w:t>ETF</w:t>
            </w:r>
          </w:p>
        </w:tc>
        <w:tc>
          <w:tcPr>
            <w:tcW w:w="1134" w:type="dxa"/>
            <w:noWrap/>
            <w:vAlign w:val="center"/>
          </w:tcPr>
          <w:p w:rsidR="007C6736" w:rsidRPr="007C6736" w:rsidRDefault="007C6736" w:rsidP="00BA4191">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买入</w:t>
            </w:r>
          </w:p>
        </w:tc>
        <w:tc>
          <w:tcPr>
            <w:tcW w:w="850" w:type="dxa"/>
            <w:vAlign w:val="center"/>
          </w:tcPr>
          <w:p w:rsidR="007C6736" w:rsidRPr="007C6736" w:rsidRDefault="007C6736" w:rsidP="00F96F1A">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1</w:t>
            </w:r>
          </w:p>
        </w:tc>
        <w:tc>
          <w:tcPr>
            <w:tcW w:w="2002"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5,917.86</w:t>
            </w:r>
          </w:p>
        </w:tc>
        <w:tc>
          <w:tcPr>
            <w:tcW w:w="1984" w:type="dxa"/>
            <w:vAlign w:val="center"/>
          </w:tcPr>
          <w:p w:rsidR="007C6736" w:rsidRPr="007C6736" w:rsidRDefault="007C6736" w:rsidP="00F96F1A">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5,917.86</w:t>
            </w:r>
          </w:p>
        </w:tc>
        <w:tc>
          <w:tcPr>
            <w:tcW w:w="1985" w:type="dxa"/>
            <w:vAlign w:val="center"/>
          </w:tcPr>
          <w:p w:rsidR="007C6736" w:rsidRPr="007C6736" w:rsidRDefault="007C6736" w:rsidP="00F96F1A">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5,917.86</w:t>
            </w:r>
          </w:p>
        </w:tc>
      </w:tr>
      <w:tr w:rsidR="007C6736" w:rsidRPr="00E13056" w:rsidTr="00BC6EA4">
        <w:trPr>
          <w:trHeight w:val="288"/>
          <w:jc w:val="center"/>
        </w:trPr>
        <w:tc>
          <w:tcPr>
            <w:tcW w:w="1419" w:type="dxa"/>
            <w:vMerge/>
            <w:vAlign w:val="center"/>
          </w:tcPr>
          <w:p w:rsidR="007C6736" w:rsidRPr="007C6736" w:rsidRDefault="007C6736" w:rsidP="001B5773">
            <w:pPr>
              <w:widowControl/>
              <w:adjustRightInd w:val="0"/>
              <w:snapToGrid w:val="0"/>
              <w:jc w:val="center"/>
              <w:rPr>
                <w:rFonts w:ascii="宋体" w:eastAsia="宋体" w:hAnsi="宋体" w:cs="宋体"/>
                <w:color w:val="000000"/>
                <w:kern w:val="0"/>
                <w:sz w:val="28"/>
              </w:rPr>
            </w:pPr>
          </w:p>
        </w:tc>
        <w:tc>
          <w:tcPr>
            <w:tcW w:w="1134" w:type="dxa"/>
            <w:noWrap/>
            <w:vAlign w:val="center"/>
          </w:tcPr>
          <w:p w:rsidR="007C6736" w:rsidRPr="007C6736" w:rsidRDefault="007C6736" w:rsidP="00BA4191">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卖出</w:t>
            </w:r>
          </w:p>
        </w:tc>
        <w:tc>
          <w:tcPr>
            <w:tcW w:w="850" w:type="dxa"/>
            <w:vAlign w:val="center"/>
          </w:tcPr>
          <w:p w:rsidR="007C6736" w:rsidRPr="007C6736" w:rsidRDefault="007C6736" w:rsidP="00F96F1A">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5</w:t>
            </w:r>
          </w:p>
        </w:tc>
        <w:tc>
          <w:tcPr>
            <w:tcW w:w="2002" w:type="dxa"/>
            <w:vAlign w:val="center"/>
          </w:tcPr>
          <w:p w:rsidR="007C6736" w:rsidRPr="007C6736" w:rsidRDefault="007C6736" w:rsidP="00F96F1A">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hint="eastAsia"/>
                <w:sz w:val="28"/>
                <w:szCs w:val="28"/>
              </w:rPr>
              <w:t>18,778.46</w:t>
            </w:r>
          </w:p>
        </w:tc>
        <w:tc>
          <w:tcPr>
            <w:tcW w:w="1984"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sz w:val="28"/>
                <w:szCs w:val="28"/>
              </w:rPr>
              <w:t>5,917</w:t>
            </w:r>
            <w:r w:rsidRPr="007C6736">
              <w:rPr>
                <w:rFonts w:asciiTheme="minorEastAsia" w:hAnsiTheme="minorEastAsia" w:cs="Times New Roman" w:hint="eastAsia"/>
                <w:sz w:val="28"/>
                <w:szCs w:val="28"/>
              </w:rPr>
              <w:t>.</w:t>
            </w:r>
            <w:r w:rsidRPr="007C6736">
              <w:rPr>
                <w:rFonts w:asciiTheme="minorEastAsia" w:hAnsiTheme="minorEastAsia" w:cs="Times New Roman"/>
                <w:sz w:val="28"/>
                <w:szCs w:val="28"/>
              </w:rPr>
              <w:t>89</w:t>
            </w:r>
          </w:p>
        </w:tc>
        <w:tc>
          <w:tcPr>
            <w:tcW w:w="1985" w:type="dxa"/>
            <w:vAlign w:val="center"/>
          </w:tcPr>
          <w:p w:rsidR="007C6736" w:rsidRPr="007C6736" w:rsidRDefault="007C6736" w:rsidP="007C6736">
            <w:pPr>
              <w:adjustRightInd w:val="0"/>
              <w:snapToGrid w:val="0"/>
              <w:jc w:val="center"/>
              <w:rPr>
                <w:rFonts w:asciiTheme="minorEastAsia" w:hAnsiTheme="minorEastAsia" w:cs="Times New Roman"/>
                <w:sz w:val="28"/>
                <w:szCs w:val="28"/>
              </w:rPr>
            </w:pPr>
            <w:r w:rsidRPr="007C6736">
              <w:rPr>
                <w:rFonts w:asciiTheme="minorEastAsia" w:hAnsiTheme="minorEastAsia" w:cs="Times New Roman"/>
                <w:sz w:val="28"/>
                <w:szCs w:val="28"/>
              </w:rPr>
              <w:t>2,881</w:t>
            </w:r>
            <w:r w:rsidRPr="007C6736">
              <w:rPr>
                <w:rFonts w:asciiTheme="minorEastAsia" w:hAnsiTheme="minorEastAsia" w:cs="Times New Roman" w:hint="eastAsia"/>
                <w:sz w:val="28"/>
                <w:szCs w:val="28"/>
              </w:rPr>
              <w:t>.</w:t>
            </w:r>
            <w:r w:rsidRPr="007C6736">
              <w:rPr>
                <w:rFonts w:asciiTheme="minorEastAsia" w:hAnsiTheme="minorEastAsia" w:cs="Times New Roman"/>
                <w:sz w:val="28"/>
                <w:szCs w:val="28"/>
              </w:rPr>
              <w:t>89</w:t>
            </w:r>
          </w:p>
        </w:tc>
      </w:tr>
      <w:tr w:rsidR="000F3526" w:rsidRPr="000F3526" w:rsidTr="00BC6EA4">
        <w:trPr>
          <w:trHeight w:val="288"/>
          <w:jc w:val="center"/>
        </w:trPr>
        <w:tc>
          <w:tcPr>
            <w:tcW w:w="2553" w:type="dxa"/>
            <w:gridSpan w:val="2"/>
            <w:vAlign w:val="center"/>
          </w:tcPr>
          <w:p w:rsidR="000F3526" w:rsidRPr="000F3526" w:rsidRDefault="000F3526" w:rsidP="001B5773">
            <w:pPr>
              <w:widowControl/>
              <w:adjustRightInd w:val="0"/>
              <w:snapToGrid w:val="0"/>
              <w:jc w:val="center"/>
              <w:rPr>
                <w:rFonts w:ascii="宋体" w:eastAsia="宋体" w:hAnsi="宋体" w:cs="宋体"/>
                <w:b/>
                <w:color w:val="000000"/>
                <w:kern w:val="0"/>
                <w:sz w:val="28"/>
              </w:rPr>
            </w:pPr>
            <w:r w:rsidRPr="000F3526">
              <w:rPr>
                <w:rFonts w:ascii="宋体" w:eastAsia="宋体" w:hAnsi="宋体" w:cs="宋体" w:hint="eastAsia"/>
                <w:b/>
                <w:color w:val="000000"/>
                <w:kern w:val="0"/>
                <w:sz w:val="28"/>
              </w:rPr>
              <w:t>合计</w:t>
            </w:r>
          </w:p>
        </w:tc>
        <w:tc>
          <w:tcPr>
            <w:tcW w:w="850" w:type="dxa"/>
            <w:vAlign w:val="center"/>
          </w:tcPr>
          <w:p w:rsidR="000F3526" w:rsidRPr="000F3526" w:rsidRDefault="000F3526" w:rsidP="000F3526">
            <w:pPr>
              <w:adjustRightInd w:val="0"/>
              <w:snapToGrid w:val="0"/>
              <w:jc w:val="center"/>
              <w:rPr>
                <w:rFonts w:asciiTheme="minorEastAsia" w:hAnsiTheme="minorEastAsia" w:cs="Times New Roman"/>
                <w:b/>
                <w:sz w:val="28"/>
                <w:szCs w:val="28"/>
              </w:rPr>
            </w:pPr>
            <w:r w:rsidRPr="000F3526">
              <w:rPr>
                <w:rFonts w:asciiTheme="minorEastAsia" w:hAnsiTheme="minorEastAsia" w:cs="Times New Roman" w:hint="eastAsia"/>
                <w:b/>
                <w:sz w:val="28"/>
                <w:szCs w:val="28"/>
              </w:rPr>
              <w:t>36</w:t>
            </w:r>
          </w:p>
        </w:tc>
        <w:tc>
          <w:tcPr>
            <w:tcW w:w="2002" w:type="dxa"/>
            <w:vAlign w:val="center"/>
          </w:tcPr>
          <w:p w:rsidR="000F3526" w:rsidRPr="000F3526" w:rsidRDefault="000F3526" w:rsidP="000F3526">
            <w:pPr>
              <w:adjustRightInd w:val="0"/>
              <w:snapToGrid w:val="0"/>
              <w:jc w:val="center"/>
              <w:rPr>
                <w:rFonts w:asciiTheme="minorEastAsia" w:hAnsiTheme="minorEastAsia" w:cs="Times New Roman"/>
                <w:b/>
                <w:sz w:val="28"/>
                <w:szCs w:val="28"/>
              </w:rPr>
            </w:pPr>
            <w:r w:rsidRPr="000F3526">
              <w:rPr>
                <w:rFonts w:asciiTheme="minorEastAsia" w:hAnsiTheme="minorEastAsia" w:cs="Times New Roman" w:hint="eastAsia"/>
                <w:b/>
                <w:sz w:val="28"/>
                <w:szCs w:val="28"/>
              </w:rPr>
              <w:t>162,133.69</w:t>
            </w:r>
          </w:p>
        </w:tc>
        <w:tc>
          <w:tcPr>
            <w:tcW w:w="1984" w:type="dxa"/>
            <w:vAlign w:val="center"/>
          </w:tcPr>
          <w:p w:rsidR="000F3526" w:rsidRPr="000F3526" w:rsidRDefault="000F3526" w:rsidP="00F96F1A">
            <w:pPr>
              <w:adjustRightInd w:val="0"/>
              <w:snapToGrid w:val="0"/>
              <w:jc w:val="center"/>
              <w:rPr>
                <w:rFonts w:asciiTheme="minorEastAsia" w:hAnsiTheme="minorEastAsia" w:cs="Times New Roman"/>
                <w:b/>
                <w:sz w:val="28"/>
                <w:szCs w:val="28"/>
              </w:rPr>
            </w:pPr>
            <w:r w:rsidRPr="000F3526">
              <w:rPr>
                <w:rFonts w:asciiTheme="minorEastAsia" w:hAnsiTheme="minorEastAsia" w:cs="Times New Roman"/>
                <w:b/>
                <w:sz w:val="28"/>
                <w:szCs w:val="28"/>
              </w:rPr>
              <w:t>10,000.00</w:t>
            </w:r>
          </w:p>
        </w:tc>
        <w:tc>
          <w:tcPr>
            <w:tcW w:w="1985" w:type="dxa"/>
            <w:vAlign w:val="center"/>
          </w:tcPr>
          <w:p w:rsidR="000F3526" w:rsidRPr="000F3526" w:rsidRDefault="000F3526" w:rsidP="00F96F1A">
            <w:pPr>
              <w:adjustRightInd w:val="0"/>
              <w:snapToGrid w:val="0"/>
              <w:jc w:val="center"/>
              <w:rPr>
                <w:rFonts w:asciiTheme="minorEastAsia" w:hAnsiTheme="minorEastAsia" w:cs="Times New Roman"/>
                <w:b/>
                <w:sz w:val="28"/>
                <w:szCs w:val="28"/>
              </w:rPr>
            </w:pPr>
            <w:r w:rsidRPr="000F3526">
              <w:rPr>
                <w:rFonts w:asciiTheme="minorEastAsia" w:hAnsiTheme="minorEastAsia" w:cs="Times New Roman"/>
                <w:b/>
                <w:sz w:val="28"/>
                <w:szCs w:val="28"/>
              </w:rPr>
              <w:t>610.00</w:t>
            </w:r>
          </w:p>
        </w:tc>
      </w:tr>
    </w:tbl>
    <w:p w:rsidR="00432F41" w:rsidRPr="000F3526" w:rsidRDefault="00432F41" w:rsidP="00432F41">
      <w:pPr>
        <w:adjustRightInd w:val="0"/>
        <w:snapToGrid w:val="0"/>
        <w:ind w:firstLineChars="250" w:firstLine="600"/>
        <w:rPr>
          <w:rFonts w:ascii="仿宋_GB2312" w:eastAsia="仿宋_GB2312" w:hAnsi="Calibri" w:cs="Times New Roman"/>
          <w:sz w:val="24"/>
          <w:szCs w:val="32"/>
        </w:rPr>
      </w:pPr>
      <w:r w:rsidRPr="000F3526">
        <w:rPr>
          <w:rFonts w:ascii="仿宋_GB2312" w:eastAsia="仿宋_GB2312" w:hAnsi="Calibri" w:cs="Times New Roman" w:hint="eastAsia"/>
          <w:sz w:val="24"/>
          <w:szCs w:val="32"/>
        </w:rPr>
        <w:t>数据来源：理财资产管理系统</w:t>
      </w:r>
      <w:r w:rsidR="001A717C" w:rsidRPr="000F3526">
        <w:rPr>
          <w:rFonts w:ascii="仿宋" w:eastAsia="仿宋" w:hAnsi="仿宋" w:cs="宋体" w:hint="eastAsia"/>
          <w:color w:val="000000"/>
          <w:kern w:val="0"/>
          <w:sz w:val="24"/>
          <w:szCs w:val="24"/>
        </w:rPr>
        <w:t>、兆</w:t>
      </w:r>
      <w:proofErr w:type="gramStart"/>
      <w:r w:rsidR="001A717C" w:rsidRPr="000F3526">
        <w:rPr>
          <w:rFonts w:ascii="仿宋" w:eastAsia="仿宋" w:hAnsi="仿宋" w:cs="宋体" w:hint="eastAsia"/>
          <w:color w:val="000000"/>
          <w:kern w:val="0"/>
          <w:sz w:val="24"/>
          <w:szCs w:val="24"/>
        </w:rPr>
        <w:t>尹</w:t>
      </w:r>
      <w:proofErr w:type="gramEnd"/>
      <w:r w:rsidR="001A717C" w:rsidRPr="000F3526">
        <w:rPr>
          <w:rFonts w:ascii="仿宋" w:eastAsia="仿宋" w:hAnsi="仿宋" w:cs="宋体" w:hint="eastAsia"/>
          <w:color w:val="000000"/>
          <w:kern w:val="0"/>
          <w:sz w:val="24"/>
          <w:szCs w:val="24"/>
        </w:rPr>
        <w:t>系统</w:t>
      </w:r>
    </w:p>
    <w:p w:rsidR="000F3526" w:rsidRDefault="000F3526" w:rsidP="00432F41">
      <w:pPr>
        <w:spacing w:line="520" w:lineRule="exact"/>
        <w:ind w:firstLineChars="200" w:firstLine="643"/>
        <w:rPr>
          <w:rFonts w:ascii="仿宋_GB2312" w:eastAsia="仿宋_GB2312" w:hAnsi="Calibri" w:cs="Times New Roman"/>
          <w:b/>
          <w:sz w:val="32"/>
          <w:szCs w:val="32"/>
        </w:rPr>
      </w:pPr>
    </w:p>
    <w:p w:rsidR="00432F41" w:rsidRPr="00F410A8" w:rsidRDefault="00432F41" w:rsidP="00432F41">
      <w:pPr>
        <w:spacing w:line="520" w:lineRule="exact"/>
        <w:ind w:firstLineChars="200" w:firstLine="643"/>
        <w:rPr>
          <w:rFonts w:ascii="仿宋_GB2312" w:eastAsia="仿宋_GB2312" w:hAnsi="Calibri" w:cs="Times New Roman"/>
          <w:b/>
          <w:sz w:val="32"/>
          <w:szCs w:val="32"/>
        </w:rPr>
      </w:pPr>
      <w:r w:rsidRPr="00F410A8">
        <w:rPr>
          <w:rFonts w:ascii="仿宋_GB2312" w:eastAsia="仿宋_GB2312" w:hAnsi="Calibri" w:cs="Times New Roman" w:hint="eastAsia"/>
          <w:b/>
          <w:sz w:val="32"/>
          <w:szCs w:val="32"/>
        </w:rPr>
        <w:t>2.按</w:t>
      </w:r>
      <w:proofErr w:type="gramStart"/>
      <w:r w:rsidRPr="00F410A8">
        <w:rPr>
          <w:rFonts w:ascii="仿宋_GB2312" w:eastAsia="仿宋_GB2312" w:hAnsi="Calibri" w:cs="Times New Roman" w:hint="eastAsia"/>
          <w:b/>
          <w:sz w:val="32"/>
          <w:szCs w:val="32"/>
        </w:rPr>
        <w:t>投组划分</w:t>
      </w:r>
      <w:proofErr w:type="gramEnd"/>
    </w:p>
    <w:tbl>
      <w:tblPr>
        <w:tblStyle w:val="a3"/>
        <w:tblW w:w="10857" w:type="dxa"/>
        <w:jc w:val="center"/>
        <w:tblInd w:w="-366" w:type="dxa"/>
        <w:tblLayout w:type="fixed"/>
        <w:tblLook w:val="04A0" w:firstRow="1" w:lastRow="0" w:firstColumn="1" w:lastColumn="0" w:noHBand="0" w:noVBand="1"/>
      </w:tblPr>
      <w:tblGrid>
        <w:gridCol w:w="1985"/>
        <w:gridCol w:w="1985"/>
        <w:gridCol w:w="992"/>
        <w:gridCol w:w="1926"/>
        <w:gridCol w:w="1985"/>
        <w:gridCol w:w="1984"/>
      </w:tblGrid>
      <w:tr w:rsidR="00432F41" w:rsidRPr="00F410A8" w:rsidTr="001B5773">
        <w:trPr>
          <w:trHeight w:val="288"/>
          <w:jc w:val="center"/>
        </w:trPr>
        <w:tc>
          <w:tcPr>
            <w:tcW w:w="1985" w:type="dxa"/>
            <w:tcBorders>
              <w:top w:val="nil"/>
              <w:left w:val="nil"/>
              <w:right w:val="nil"/>
            </w:tcBorders>
            <w:noWrap/>
          </w:tcPr>
          <w:p w:rsidR="00432F41" w:rsidRPr="00F410A8" w:rsidRDefault="00432F41" w:rsidP="001B5773">
            <w:pPr>
              <w:widowControl/>
              <w:adjustRightInd w:val="0"/>
              <w:snapToGrid w:val="0"/>
              <w:jc w:val="center"/>
              <w:rPr>
                <w:rFonts w:ascii="宋体" w:eastAsia="宋体" w:hAnsi="宋体" w:cs="宋体"/>
                <w:b/>
                <w:color w:val="000000"/>
                <w:kern w:val="0"/>
                <w:sz w:val="28"/>
              </w:rPr>
            </w:pPr>
          </w:p>
        </w:tc>
        <w:tc>
          <w:tcPr>
            <w:tcW w:w="1985" w:type="dxa"/>
            <w:tcBorders>
              <w:top w:val="nil"/>
              <w:left w:val="nil"/>
              <w:right w:val="nil"/>
            </w:tcBorders>
            <w:noWrap/>
          </w:tcPr>
          <w:p w:rsidR="00432F41" w:rsidRPr="00F410A8" w:rsidRDefault="00432F41" w:rsidP="001B5773">
            <w:pPr>
              <w:widowControl/>
              <w:adjustRightInd w:val="0"/>
              <w:snapToGrid w:val="0"/>
              <w:jc w:val="center"/>
              <w:rPr>
                <w:rFonts w:ascii="宋体" w:eastAsia="宋体" w:hAnsi="宋体" w:cs="宋体"/>
                <w:b/>
                <w:color w:val="000000"/>
                <w:kern w:val="0"/>
                <w:sz w:val="28"/>
              </w:rPr>
            </w:pPr>
          </w:p>
        </w:tc>
        <w:tc>
          <w:tcPr>
            <w:tcW w:w="992" w:type="dxa"/>
            <w:tcBorders>
              <w:top w:val="nil"/>
              <w:left w:val="nil"/>
              <w:right w:val="nil"/>
            </w:tcBorders>
            <w:noWrap/>
          </w:tcPr>
          <w:p w:rsidR="00432F41" w:rsidRPr="00F410A8" w:rsidRDefault="00432F41" w:rsidP="001B5773">
            <w:pPr>
              <w:widowControl/>
              <w:adjustRightInd w:val="0"/>
              <w:snapToGrid w:val="0"/>
              <w:jc w:val="center"/>
              <w:rPr>
                <w:rFonts w:ascii="宋体" w:eastAsia="宋体" w:hAnsi="宋体" w:cs="宋体"/>
                <w:b/>
                <w:color w:val="000000"/>
                <w:kern w:val="0"/>
                <w:sz w:val="28"/>
              </w:rPr>
            </w:pPr>
          </w:p>
        </w:tc>
        <w:tc>
          <w:tcPr>
            <w:tcW w:w="1926" w:type="dxa"/>
            <w:tcBorders>
              <w:top w:val="nil"/>
              <w:left w:val="nil"/>
              <w:right w:val="nil"/>
            </w:tcBorders>
          </w:tcPr>
          <w:p w:rsidR="00432F41" w:rsidRPr="00F410A8" w:rsidRDefault="00432F41" w:rsidP="001B5773">
            <w:pPr>
              <w:widowControl/>
              <w:adjustRightInd w:val="0"/>
              <w:snapToGrid w:val="0"/>
              <w:jc w:val="center"/>
              <w:rPr>
                <w:rFonts w:ascii="宋体" w:eastAsia="宋体" w:hAnsi="宋体" w:cs="宋体"/>
                <w:b/>
                <w:color w:val="000000"/>
                <w:kern w:val="0"/>
                <w:sz w:val="28"/>
              </w:rPr>
            </w:pPr>
          </w:p>
        </w:tc>
        <w:tc>
          <w:tcPr>
            <w:tcW w:w="1985" w:type="dxa"/>
            <w:tcBorders>
              <w:top w:val="nil"/>
              <w:left w:val="nil"/>
              <w:right w:val="nil"/>
            </w:tcBorders>
            <w:noWrap/>
          </w:tcPr>
          <w:p w:rsidR="00432F41" w:rsidRPr="00F410A8" w:rsidRDefault="00432F41" w:rsidP="001B5773">
            <w:pPr>
              <w:widowControl/>
              <w:adjustRightInd w:val="0"/>
              <w:snapToGrid w:val="0"/>
              <w:jc w:val="center"/>
              <w:rPr>
                <w:rFonts w:ascii="宋体" w:eastAsia="宋体" w:hAnsi="宋体" w:cs="宋体"/>
                <w:b/>
                <w:color w:val="000000"/>
                <w:kern w:val="0"/>
                <w:sz w:val="28"/>
              </w:rPr>
            </w:pPr>
          </w:p>
        </w:tc>
        <w:tc>
          <w:tcPr>
            <w:tcW w:w="1984" w:type="dxa"/>
            <w:tcBorders>
              <w:top w:val="nil"/>
              <w:left w:val="nil"/>
              <w:right w:val="nil"/>
            </w:tcBorders>
            <w:noWrap/>
          </w:tcPr>
          <w:p w:rsidR="00432F41" w:rsidRPr="00F410A8" w:rsidRDefault="00432F41" w:rsidP="001B5773">
            <w:pPr>
              <w:widowControl/>
              <w:adjustRightInd w:val="0"/>
              <w:snapToGrid w:val="0"/>
              <w:jc w:val="center"/>
              <w:rPr>
                <w:rFonts w:ascii="宋体" w:eastAsia="宋体" w:hAnsi="宋体" w:cs="宋体"/>
                <w:b/>
                <w:color w:val="000000"/>
                <w:kern w:val="0"/>
                <w:sz w:val="28"/>
              </w:rPr>
            </w:pPr>
            <w:r w:rsidRPr="00F410A8">
              <w:rPr>
                <w:rFonts w:ascii="仿宋_GB2312" w:eastAsia="仿宋_GB2312" w:hAnsi="Calibri" w:cs="Times New Roman" w:hint="eastAsia"/>
                <w:sz w:val="24"/>
                <w:szCs w:val="32"/>
              </w:rPr>
              <w:t>单位：万元</w:t>
            </w:r>
          </w:p>
        </w:tc>
      </w:tr>
      <w:tr w:rsidR="00432F41" w:rsidRPr="00F410A8" w:rsidTr="001B5773">
        <w:trPr>
          <w:trHeight w:val="288"/>
          <w:jc w:val="center"/>
        </w:trPr>
        <w:tc>
          <w:tcPr>
            <w:tcW w:w="1985" w:type="dxa"/>
            <w:noWrap/>
            <w:hideMark/>
          </w:tcPr>
          <w:p w:rsidR="00432F41" w:rsidRPr="00F410A8" w:rsidRDefault="00432F41" w:rsidP="001B5773">
            <w:pPr>
              <w:widowControl/>
              <w:adjustRightInd w:val="0"/>
              <w:snapToGrid w:val="0"/>
              <w:jc w:val="center"/>
              <w:rPr>
                <w:rFonts w:ascii="宋体" w:eastAsia="宋体" w:hAnsi="宋体" w:cs="宋体"/>
                <w:b/>
                <w:color w:val="000000"/>
                <w:kern w:val="0"/>
                <w:sz w:val="28"/>
              </w:rPr>
            </w:pPr>
            <w:proofErr w:type="gramStart"/>
            <w:r w:rsidRPr="00F410A8">
              <w:rPr>
                <w:rFonts w:ascii="宋体" w:eastAsia="宋体" w:hAnsi="宋体" w:cs="宋体" w:hint="eastAsia"/>
                <w:b/>
                <w:color w:val="000000"/>
                <w:kern w:val="0"/>
                <w:sz w:val="28"/>
              </w:rPr>
              <w:t>投组</w:t>
            </w:r>
            <w:proofErr w:type="gramEnd"/>
          </w:p>
        </w:tc>
        <w:tc>
          <w:tcPr>
            <w:tcW w:w="1985" w:type="dxa"/>
            <w:noWrap/>
            <w:hideMark/>
          </w:tcPr>
          <w:p w:rsidR="00432F41" w:rsidRPr="00F410A8" w:rsidRDefault="00432F41" w:rsidP="001B5773">
            <w:pPr>
              <w:widowControl/>
              <w:adjustRightInd w:val="0"/>
              <w:snapToGrid w:val="0"/>
              <w:jc w:val="center"/>
              <w:rPr>
                <w:rFonts w:ascii="宋体" w:eastAsia="宋体" w:hAnsi="宋体" w:cs="宋体"/>
                <w:b/>
                <w:color w:val="000000"/>
                <w:kern w:val="0"/>
                <w:sz w:val="28"/>
              </w:rPr>
            </w:pPr>
            <w:r w:rsidRPr="00F410A8">
              <w:rPr>
                <w:rFonts w:ascii="宋体" w:eastAsia="宋体" w:hAnsi="宋体" w:cs="宋体" w:hint="eastAsia"/>
                <w:b/>
                <w:color w:val="000000"/>
                <w:kern w:val="0"/>
                <w:sz w:val="28"/>
              </w:rPr>
              <w:t>方向</w:t>
            </w:r>
          </w:p>
        </w:tc>
        <w:tc>
          <w:tcPr>
            <w:tcW w:w="992" w:type="dxa"/>
            <w:noWrap/>
            <w:hideMark/>
          </w:tcPr>
          <w:p w:rsidR="00432F41" w:rsidRPr="00F410A8" w:rsidRDefault="00432F41" w:rsidP="001B5773">
            <w:pPr>
              <w:widowControl/>
              <w:adjustRightInd w:val="0"/>
              <w:snapToGrid w:val="0"/>
              <w:jc w:val="center"/>
              <w:rPr>
                <w:rFonts w:ascii="宋体" w:eastAsia="宋体" w:hAnsi="宋体" w:cs="宋体"/>
                <w:b/>
                <w:color w:val="000000"/>
                <w:kern w:val="0"/>
                <w:sz w:val="28"/>
              </w:rPr>
            </w:pPr>
            <w:r w:rsidRPr="00F410A8">
              <w:rPr>
                <w:rFonts w:ascii="宋体" w:eastAsia="宋体" w:hAnsi="宋体" w:cs="宋体" w:hint="eastAsia"/>
                <w:b/>
                <w:color w:val="000000"/>
                <w:kern w:val="0"/>
                <w:sz w:val="28"/>
              </w:rPr>
              <w:t>笔数</w:t>
            </w:r>
          </w:p>
        </w:tc>
        <w:tc>
          <w:tcPr>
            <w:tcW w:w="1926" w:type="dxa"/>
          </w:tcPr>
          <w:p w:rsidR="00432F41" w:rsidRPr="00F410A8" w:rsidRDefault="00432F41" w:rsidP="001B5773">
            <w:pPr>
              <w:widowControl/>
              <w:adjustRightInd w:val="0"/>
              <w:snapToGrid w:val="0"/>
              <w:jc w:val="center"/>
              <w:rPr>
                <w:rFonts w:ascii="宋体" w:eastAsia="宋体" w:hAnsi="宋体" w:cs="宋体"/>
                <w:b/>
                <w:color w:val="000000"/>
                <w:kern w:val="0"/>
                <w:sz w:val="28"/>
              </w:rPr>
            </w:pPr>
            <w:r w:rsidRPr="00F410A8">
              <w:rPr>
                <w:rFonts w:ascii="宋体" w:eastAsia="宋体" w:hAnsi="宋体" w:cs="宋体" w:hint="eastAsia"/>
                <w:b/>
                <w:color w:val="000000"/>
                <w:kern w:val="0"/>
                <w:sz w:val="28"/>
              </w:rPr>
              <w:t>金额</w:t>
            </w:r>
          </w:p>
        </w:tc>
        <w:tc>
          <w:tcPr>
            <w:tcW w:w="1985" w:type="dxa"/>
            <w:noWrap/>
            <w:hideMark/>
          </w:tcPr>
          <w:p w:rsidR="00432F41" w:rsidRPr="00F410A8" w:rsidRDefault="00432F41" w:rsidP="001B5773">
            <w:pPr>
              <w:widowControl/>
              <w:adjustRightInd w:val="0"/>
              <w:snapToGrid w:val="0"/>
              <w:jc w:val="center"/>
              <w:rPr>
                <w:rFonts w:ascii="宋体" w:eastAsia="宋体" w:hAnsi="宋体" w:cs="宋体"/>
                <w:b/>
                <w:color w:val="000000"/>
                <w:kern w:val="0"/>
                <w:sz w:val="28"/>
              </w:rPr>
            </w:pPr>
            <w:r w:rsidRPr="00F410A8">
              <w:rPr>
                <w:rFonts w:ascii="宋体" w:eastAsia="宋体" w:hAnsi="宋体" w:cs="宋体" w:hint="eastAsia"/>
                <w:b/>
                <w:color w:val="000000"/>
                <w:kern w:val="0"/>
                <w:sz w:val="28"/>
              </w:rPr>
              <w:t>最大单笔金额</w:t>
            </w:r>
          </w:p>
        </w:tc>
        <w:tc>
          <w:tcPr>
            <w:tcW w:w="1984" w:type="dxa"/>
            <w:noWrap/>
            <w:hideMark/>
          </w:tcPr>
          <w:p w:rsidR="00432F41" w:rsidRPr="00F410A8" w:rsidRDefault="00432F41" w:rsidP="001B5773">
            <w:pPr>
              <w:widowControl/>
              <w:adjustRightInd w:val="0"/>
              <w:snapToGrid w:val="0"/>
              <w:jc w:val="center"/>
              <w:rPr>
                <w:rFonts w:ascii="宋体" w:eastAsia="宋体" w:hAnsi="宋体" w:cs="宋体"/>
                <w:b/>
                <w:color w:val="000000"/>
                <w:kern w:val="0"/>
                <w:sz w:val="28"/>
              </w:rPr>
            </w:pPr>
            <w:r w:rsidRPr="00F410A8">
              <w:rPr>
                <w:rFonts w:ascii="宋体" w:eastAsia="宋体" w:hAnsi="宋体" w:cs="宋体" w:hint="eastAsia"/>
                <w:b/>
                <w:color w:val="000000"/>
                <w:kern w:val="0"/>
                <w:sz w:val="28"/>
              </w:rPr>
              <w:t>最小单笔金额</w:t>
            </w: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丰登周周发180天理财计划</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roofErr w:type="gramStart"/>
            <w:r w:rsidRPr="00F410A8">
              <w:rPr>
                <w:rFonts w:asciiTheme="minorEastAsia" w:hAnsiTheme="minorEastAsia" w:cs="Times New Roman" w:hint="eastAsia"/>
                <w:sz w:val="28"/>
                <w:szCs w:val="28"/>
              </w:rPr>
              <w:t>质押式正回购</w:t>
            </w:r>
            <w:proofErr w:type="gramEnd"/>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1,900.00</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1,900.00</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1,900.00</w:t>
            </w: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丰登周周发180天理财计划</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现券买入</w:t>
            </w: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5,106.39</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5,106.39</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5,106.39</w:t>
            </w: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丰登周周发90天理财计划</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现券卖出</w:t>
            </w: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1,997.98</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1,997.98</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1,997.98</w:t>
            </w: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丰登周周发90天理财计划</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roofErr w:type="gramStart"/>
            <w:r w:rsidRPr="00F410A8">
              <w:rPr>
                <w:rFonts w:asciiTheme="minorEastAsia" w:hAnsiTheme="minorEastAsia" w:cs="Times New Roman" w:hint="eastAsia"/>
                <w:sz w:val="28"/>
                <w:szCs w:val="28"/>
              </w:rPr>
              <w:t>质押式正回购</w:t>
            </w:r>
            <w:proofErr w:type="gramEnd"/>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2</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8,075.00</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5,035.00</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3,040.00</w:t>
            </w: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丰登周周发90天理财计划</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现券买入</w:t>
            </w: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2</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10,097.64</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5,106.39</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4,991.25</w:t>
            </w: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丰沃12号一年定开债券投资理财计划</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现券买入</w:t>
            </w: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2</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3,228.55</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2,101.56</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1,126.99</w:t>
            </w: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丰沃12号一年定开债券投资理财计划</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质押式逆回购</w:t>
            </w: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3</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14,350.00</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8,200.00</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1,650.00</w:t>
            </w: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丰沃8号一年定开债券投资理财计划</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质押式逆回购</w:t>
            </w: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610.00</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610.00</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610.00</w:t>
            </w: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丰沃9号一年定开债券投资理财计划</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质押式逆回购</w:t>
            </w: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2</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6,200.00</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3,100.00</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3,100.00</w:t>
            </w: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丰沃三年15号A2-按季分红</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现券买入</w:t>
            </w: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1,037.28</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1,037.28</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1,037.28</w:t>
            </w:r>
          </w:p>
        </w:tc>
      </w:tr>
      <w:tr w:rsidR="000F3526" w:rsidRPr="00F410A8" w:rsidTr="001B5773">
        <w:trPr>
          <w:trHeight w:val="288"/>
          <w:jc w:val="center"/>
        </w:trPr>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lastRenderedPageBreak/>
              <w:t>丰盈专属</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现券卖出</w:t>
            </w: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2</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3,228.55</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2,101.56</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1,126.99</w:t>
            </w:r>
          </w:p>
        </w:tc>
      </w:tr>
      <w:tr w:rsidR="000F3526" w:rsidRPr="00F410A8" w:rsidTr="001B5773">
        <w:trPr>
          <w:trHeight w:val="288"/>
          <w:jc w:val="center"/>
        </w:trPr>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丰盈专属</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质押式逆回购</w:t>
            </w: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5</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33,382.00</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10,000.00</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3,136.00</w:t>
            </w:r>
          </w:p>
        </w:tc>
      </w:tr>
      <w:tr w:rsidR="000F3526" w:rsidRPr="00F410A8" w:rsidTr="001B5773">
        <w:trPr>
          <w:trHeight w:val="288"/>
          <w:jc w:val="center"/>
        </w:trPr>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丰裕</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现券买入</w:t>
            </w: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3</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14,484.98</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5,186.40</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4,149.12</w:t>
            </w:r>
          </w:p>
        </w:tc>
      </w:tr>
      <w:tr w:rsidR="000F3526" w:rsidRPr="00F410A8" w:rsidTr="001B5773">
        <w:trPr>
          <w:trHeight w:val="288"/>
          <w:jc w:val="center"/>
        </w:trPr>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丰裕</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质押式逆回购</w:t>
            </w: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9,180.00</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9,180.00</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9,180.00</w:t>
            </w: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厦门农商银行-丰登债券投资理财计划</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proofErr w:type="gramStart"/>
            <w:r w:rsidRPr="00F410A8">
              <w:rPr>
                <w:rFonts w:asciiTheme="minorEastAsia" w:hAnsiTheme="minorEastAsia" w:cs="Times New Roman" w:hint="eastAsia"/>
                <w:sz w:val="28"/>
                <w:szCs w:val="28"/>
              </w:rPr>
              <w:t>质押式正回购</w:t>
            </w:r>
            <w:proofErr w:type="gramEnd"/>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4,559.00</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4,559.00</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4,559.00</w:t>
            </w:r>
          </w:p>
        </w:tc>
      </w:tr>
      <w:tr w:rsidR="000F3526" w:rsidRPr="00F410A8" w:rsidTr="001B5773">
        <w:trPr>
          <w:trHeight w:val="288"/>
          <w:jc w:val="center"/>
        </w:trPr>
        <w:tc>
          <w:tcPr>
            <w:tcW w:w="1985" w:type="dxa"/>
            <w:noWrap/>
            <w:vAlign w:val="center"/>
          </w:tcPr>
          <w:p w:rsidR="000F3526" w:rsidRPr="00F410A8" w:rsidRDefault="000F3526" w:rsidP="00725154">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厦门农商银行-丰登债券投资理财计划</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质押式逆回购</w:t>
            </w:r>
          </w:p>
        </w:tc>
        <w:tc>
          <w:tcPr>
            <w:tcW w:w="992"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2</w:t>
            </w:r>
          </w:p>
        </w:tc>
        <w:tc>
          <w:tcPr>
            <w:tcW w:w="1926" w:type="dxa"/>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20,000.00</w:t>
            </w:r>
          </w:p>
        </w:tc>
        <w:tc>
          <w:tcPr>
            <w:tcW w:w="1985"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10,000.00</w:t>
            </w:r>
          </w:p>
        </w:tc>
        <w:tc>
          <w:tcPr>
            <w:tcW w:w="1984" w:type="dxa"/>
            <w:noWrap/>
            <w:vAlign w:val="center"/>
          </w:tcPr>
          <w:p w:rsidR="000F3526" w:rsidRPr="00F410A8" w:rsidRDefault="000F3526" w:rsidP="00F410A8">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10,000.00</w:t>
            </w:r>
          </w:p>
        </w:tc>
      </w:tr>
      <w:tr w:rsidR="000F3526" w:rsidRPr="00F410A8" w:rsidTr="001B5773">
        <w:trPr>
          <w:trHeight w:val="288"/>
          <w:jc w:val="center"/>
        </w:trPr>
        <w:tc>
          <w:tcPr>
            <w:tcW w:w="1985" w:type="dxa"/>
            <w:noWrap/>
            <w:vAlign w:val="center"/>
          </w:tcPr>
          <w:p w:rsidR="000F3526" w:rsidRPr="00F410A8" w:rsidRDefault="000F3526" w:rsidP="00670C22">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丰裕</w:t>
            </w:r>
          </w:p>
        </w:tc>
        <w:tc>
          <w:tcPr>
            <w:tcW w:w="1985" w:type="dxa"/>
            <w:noWrap/>
            <w:vAlign w:val="center"/>
          </w:tcPr>
          <w:p w:rsidR="000F3526" w:rsidRPr="00F410A8" w:rsidRDefault="000F3526" w:rsidP="000F3526">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ETF买入</w:t>
            </w:r>
          </w:p>
        </w:tc>
        <w:tc>
          <w:tcPr>
            <w:tcW w:w="992" w:type="dxa"/>
            <w:noWrap/>
            <w:vAlign w:val="center"/>
          </w:tcPr>
          <w:p w:rsidR="000F3526" w:rsidRPr="00F410A8" w:rsidRDefault="000F3526" w:rsidP="000F3526">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w:t>
            </w:r>
          </w:p>
        </w:tc>
        <w:tc>
          <w:tcPr>
            <w:tcW w:w="1926" w:type="dxa"/>
            <w:vAlign w:val="center"/>
          </w:tcPr>
          <w:p w:rsidR="000F3526" w:rsidRPr="00F410A8" w:rsidRDefault="000F3526" w:rsidP="000F3526">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5,917.86</w:t>
            </w:r>
          </w:p>
        </w:tc>
        <w:tc>
          <w:tcPr>
            <w:tcW w:w="1985" w:type="dxa"/>
            <w:noWrap/>
            <w:vAlign w:val="center"/>
          </w:tcPr>
          <w:p w:rsidR="000F3526" w:rsidRPr="00F410A8" w:rsidRDefault="000F3526" w:rsidP="000F3526">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5,917.86</w:t>
            </w:r>
          </w:p>
        </w:tc>
        <w:tc>
          <w:tcPr>
            <w:tcW w:w="1984" w:type="dxa"/>
            <w:noWrap/>
            <w:vAlign w:val="center"/>
          </w:tcPr>
          <w:p w:rsidR="000F3526" w:rsidRPr="00F410A8" w:rsidRDefault="000F3526" w:rsidP="000F3526">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5,917.86</w:t>
            </w:r>
          </w:p>
        </w:tc>
      </w:tr>
      <w:tr w:rsidR="000F3526" w:rsidRPr="00F410A8" w:rsidTr="001B5773">
        <w:trPr>
          <w:trHeight w:val="288"/>
          <w:jc w:val="center"/>
        </w:trPr>
        <w:tc>
          <w:tcPr>
            <w:tcW w:w="1985" w:type="dxa"/>
            <w:noWrap/>
            <w:vAlign w:val="center"/>
          </w:tcPr>
          <w:p w:rsidR="000F3526" w:rsidRPr="00F410A8" w:rsidRDefault="000F3526" w:rsidP="00670C22">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丰裕</w:t>
            </w:r>
          </w:p>
        </w:tc>
        <w:tc>
          <w:tcPr>
            <w:tcW w:w="1985" w:type="dxa"/>
            <w:noWrap/>
            <w:vAlign w:val="center"/>
          </w:tcPr>
          <w:p w:rsidR="000F3526" w:rsidRPr="00F410A8" w:rsidRDefault="000F3526" w:rsidP="000F3526">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ETF卖出</w:t>
            </w:r>
          </w:p>
        </w:tc>
        <w:tc>
          <w:tcPr>
            <w:tcW w:w="992" w:type="dxa"/>
            <w:noWrap/>
            <w:vAlign w:val="center"/>
          </w:tcPr>
          <w:p w:rsidR="000F3526" w:rsidRPr="00F410A8" w:rsidRDefault="000F3526" w:rsidP="000F3526">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5</w:t>
            </w:r>
          </w:p>
        </w:tc>
        <w:tc>
          <w:tcPr>
            <w:tcW w:w="1926" w:type="dxa"/>
            <w:vAlign w:val="center"/>
          </w:tcPr>
          <w:p w:rsidR="000F3526" w:rsidRPr="00F410A8" w:rsidRDefault="000F3526" w:rsidP="000F3526">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hint="eastAsia"/>
                <w:sz w:val="28"/>
                <w:szCs w:val="28"/>
              </w:rPr>
              <w:t>18,778.46</w:t>
            </w:r>
          </w:p>
        </w:tc>
        <w:tc>
          <w:tcPr>
            <w:tcW w:w="1985" w:type="dxa"/>
            <w:noWrap/>
            <w:vAlign w:val="center"/>
          </w:tcPr>
          <w:p w:rsidR="000F3526" w:rsidRPr="00F410A8" w:rsidRDefault="000F3526" w:rsidP="000F3526">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sz w:val="28"/>
                <w:szCs w:val="28"/>
              </w:rPr>
              <w:t>5,917</w:t>
            </w:r>
            <w:r w:rsidRPr="00F410A8">
              <w:rPr>
                <w:rFonts w:asciiTheme="minorEastAsia" w:hAnsiTheme="minorEastAsia" w:cs="Times New Roman" w:hint="eastAsia"/>
                <w:sz w:val="28"/>
                <w:szCs w:val="28"/>
              </w:rPr>
              <w:t>.</w:t>
            </w:r>
            <w:r w:rsidRPr="00F410A8">
              <w:rPr>
                <w:rFonts w:asciiTheme="minorEastAsia" w:hAnsiTheme="minorEastAsia" w:cs="Times New Roman"/>
                <w:sz w:val="28"/>
                <w:szCs w:val="28"/>
              </w:rPr>
              <w:t>89</w:t>
            </w:r>
          </w:p>
        </w:tc>
        <w:tc>
          <w:tcPr>
            <w:tcW w:w="1984" w:type="dxa"/>
            <w:noWrap/>
            <w:vAlign w:val="center"/>
          </w:tcPr>
          <w:p w:rsidR="000F3526" w:rsidRPr="00F410A8" w:rsidRDefault="000F3526" w:rsidP="000F3526">
            <w:pPr>
              <w:adjustRightInd w:val="0"/>
              <w:snapToGrid w:val="0"/>
              <w:jc w:val="center"/>
              <w:rPr>
                <w:rFonts w:asciiTheme="minorEastAsia" w:hAnsiTheme="minorEastAsia" w:cs="Times New Roman"/>
                <w:sz w:val="28"/>
                <w:szCs w:val="28"/>
              </w:rPr>
            </w:pPr>
            <w:r w:rsidRPr="00F410A8">
              <w:rPr>
                <w:rFonts w:asciiTheme="minorEastAsia" w:hAnsiTheme="minorEastAsia" w:cs="Times New Roman"/>
                <w:sz w:val="28"/>
                <w:szCs w:val="28"/>
              </w:rPr>
              <w:t>2,881</w:t>
            </w:r>
            <w:r w:rsidRPr="00F410A8">
              <w:rPr>
                <w:rFonts w:asciiTheme="minorEastAsia" w:hAnsiTheme="minorEastAsia" w:cs="Times New Roman" w:hint="eastAsia"/>
                <w:sz w:val="28"/>
                <w:szCs w:val="28"/>
              </w:rPr>
              <w:t>.</w:t>
            </w:r>
            <w:r w:rsidRPr="00F410A8">
              <w:rPr>
                <w:rFonts w:asciiTheme="minorEastAsia" w:hAnsiTheme="minorEastAsia" w:cs="Times New Roman"/>
                <w:sz w:val="28"/>
                <w:szCs w:val="28"/>
              </w:rPr>
              <w:t>89</w:t>
            </w:r>
          </w:p>
        </w:tc>
      </w:tr>
      <w:tr w:rsidR="000F3526" w:rsidRPr="00F410A8" w:rsidTr="009F2B69">
        <w:trPr>
          <w:trHeight w:val="288"/>
          <w:jc w:val="center"/>
        </w:trPr>
        <w:tc>
          <w:tcPr>
            <w:tcW w:w="3970" w:type="dxa"/>
            <w:gridSpan w:val="2"/>
            <w:noWrap/>
            <w:vAlign w:val="center"/>
          </w:tcPr>
          <w:p w:rsidR="000F3526" w:rsidRPr="00F410A8" w:rsidRDefault="000F3526" w:rsidP="00374C02">
            <w:pPr>
              <w:adjustRightInd w:val="0"/>
              <w:snapToGrid w:val="0"/>
              <w:jc w:val="center"/>
              <w:rPr>
                <w:rFonts w:asciiTheme="minorEastAsia" w:hAnsiTheme="minorEastAsia" w:cs="Times New Roman"/>
                <w:b/>
                <w:sz w:val="28"/>
                <w:szCs w:val="28"/>
              </w:rPr>
            </w:pPr>
            <w:r w:rsidRPr="00F410A8">
              <w:rPr>
                <w:rFonts w:asciiTheme="minorEastAsia" w:hAnsiTheme="minorEastAsia" w:cs="Times New Roman" w:hint="eastAsia"/>
                <w:b/>
                <w:sz w:val="28"/>
                <w:szCs w:val="28"/>
              </w:rPr>
              <w:t>合计</w:t>
            </w:r>
          </w:p>
        </w:tc>
        <w:tc>
          <w:tcPr>
            <w:tcW w:w="992" w:type="dxa"/>
            <w:noWrap/>
            <w:vAlign w:val="center"/>
          </w:tcPr>
          <w:p w:rsidR="000F3526" w:rsidRPr="00F410A8" w:rsidRDefault="000F3526" w:rsidP="000F3526">
            <w:pPr>
              <w:adjustRightInd w:val="0"/>
              <w:snapToGrid w:val="0"/>
              <w:jc w:val="center"/>
              <w:rPr>
                <w:rFonts w:asciiTheme="minorEastAsia" w:hAnsiTheme="minorEastAsia" w:cs="Times New Roman"/>
                <w:b/>
                <w:sz w:val="28"/>
                <w:szCs w:val="28"/>
              </w:rPr>
            </w:pPr>
            <w:r w:rsidRPr="00F410A8">
              <w:rPr>
                <w:rFonts w:asciiTheme="minorEastAsia" w:hAnsiTheme="minorEastAsia" w:cs="Times New Roman" w:hint="eastAsia"/>
                <w:b/>
                <w:sz w:val="28"/>
                <w:szCs w:val="28"/>
              </w:rPr>
              <w:t>36</w:t>
            </w:r>
          </w:p>
        </w:tc>
        <w:tc>
          <w:tcPr>
            <w:tcW w:w="1926" w:type="dxa"/>
            <w:vAlign w:val="center"/>
          </w:tcPr>
          <w:p w:rsidR="000F3526" w:rsidRPr="00F410A8" w:rsidRDefault="000F3526" w:rsidP="000F3526">
            <w:pPr>
              <w:adjustRightInd w:val="0"/>
              <w:snapToGrid w:val="0"/>
              <w:jc w:val="center"/>
              <w:rPr>
                <w:rFonts w:asciiTheme="minorEastAsia" w:hAnsiTheme="minorEastAsia" w:cs="Times New Roman"/>
                <w:b/>
                <w:sz w:val="28"/>
                <w:szCs w:val="28"/>
              </w:rPr>
            </w:pPr>
            <w:r w:rsidRPr="00F410A8">
              <w:rPr>
                <w:rFonts w:asciiTheme="minorEastAsia" w:hAnsiTheme="minorEastAsia" w:cs="Times New Roman" w:hint="eastAsia"/>
                <w:b/>
                <w:sz w:val="28"/>
                <w:szCs w:val="28"/>
              </w:rPr>
              <w:t>162,133.69</w:t>
            </w:r>
          </w:p>
        </w:tc>
        <w:tc>
          <w:tcPr>
            <w:tcW w:w="1985" w:type="dxa"/>
            <w:noWrap/>
            <w:vAlign w:val="center"/>
          </w:tcPr>
          <w:p w:rsidR="000F3526" w:rsidRPr="00F410A8" w:rsidRDefault="000F3526" w:rsidP="000F3526">
            <w:pPr>
              <w:adjustRightInd w:val="0"/>
              <w:snapToGrid w:val="0"/>
              <w:jc w:val="center"/>
              <w:rPr>
                <w:rFonts w:asciiTheme="minorEastAsia" w:hAnsiTheme="minorEastAsia" w:cs="Times New Roman"/>
                <w:b/>
                <w:sz w:val="28"/>
                <w:szCs w:val="28"/>
              </w:rPr>
            </w:pPr>
            <w:r w:rsidRPr="00F410A8">
              <w:rPr>
                <w:rFonts w:asciiTheme="minorEastAsia" w:hAnsiTheme="minorEastAsia" w:cs="Times New Roman"/>
                <w:b/>
                <w:sz w:val="28"/>
                <w:szCs w:val="28"/>
              </w:rPr>
              <w:t>10,000.00</w:t>
            </w:r>
          </w:p>
        </w:tc>
        <w:tc>
          <w:tcPr>
            <w:tcW w:w="1984" w:type="dxa"/>
            <w:noWrap/>
            <w:vAlign w:val="center"/>
          </w:tcPr>
          <w:p w:rsidR="000F3526" w:rsidRPr="00F410A8" w:rsidRDefault="000F3526" w:rsidP="000F3526">
            <w:pPr>
              <w:adjustRightInd w:val="0"/>
              <w:snapToGrid w:val="0"/>
              <w:jc w:val="center"/>
              <w:rPr>
                <w:rFonts w:asciiTheme="minorEastAsia" w:hAnsiTheme="minorEastAsia" w:cs="Times New Roman"/>
                <w:b/>
                <w:sz w:val="28"/>
                <w:szCs w:val="28"/>
              </w:rPr>
            </w:pPr>
            <w:r w:rsidRPr="00F410A8">
              <w:rPr>
                <w:rFonts w:asciiTheme="minorEastAsia" w:hAnsiTheme="minorEastAsia" w:cs="Times New Roman"/>
                <w:b/>
                <w:sz w:val="28"/>
                <w:szCs w:val="28"/>
              </w:rPr>
              <w:t>610.00</w:t>
            </w:r>
          </w:p>
        </w:tc>
      </w:tr>
    </w:tbl>
    <w:p w:rsidR="00432F41" w:rsidRPr="00F410A8" w:rsidRDefault="00432F41" w:rsidP="00432F41">
      <w:pPr>
        <w:adjustRightInd w:val="0"/>
        <w:snapToGrid w:val="0"/>
        <w:ind w:firstLineChars="250" w:firstLine="600"/>
        <w:rPr>
          <w:rFonts w:ascii="仿宋_GB2312" w:eastAsia="仿宋_GB2312" w:hAnsi="Calibri" w:cs="Times New Roman"/>
          <w:sz w:val="24"/>
          <w:szCs w:val="32"/>
        </w:rPr>
      </w:pPr>
      <w:r w:rsidRPr="00F410A8">
        <w:rPr>
          <w:rFonts w:ascii="仿宋_GB2312" w:eastAsia="仿宋_GB2312" w:hAnsi="Calibri" w:cs="Times New Roman" w:hint="eastAsia"/>
          <w:sz w:val="24"/>
          <w:szCs w:val="32"/>
        </w:rPr>
        <w:t>数据来源：理财资产管理系统</w:t>
      </w:r>
      <w:r w:rsidR="001A717C" w:rsidRPr="00F410A8">
        <w:rPr>
          <w:rFonts w:ascii="仿宋" w:eastAsia="仿宋" w:hAnsi="仿宋" w:cs="宋体" w:hint="eastAsia"/>
          <w:color w:val="000000"/>
          <w:kern w:val="0"/>
          <w:sz w:val="24"/>
          <w:szCs w:val="24"/>
        </w:rPr>
        <w:t>、兆</w:t>
      </w:r>
      <w:proofErr w:type="gramStart"/>
      <w:r w:rsidR="001A717C" w:rsidRPr="00F410A8">
        <w:rPr>
          <w:rFonts w:ascii="仿宋" w:eastAsia="仿宋" w:hAnsi="仿宋" w:cs="宋体" w:hint="eastAsia"/>
          <w:color w:val="000000"/>
          <w:kern w:val="0"/>
          <w:sz w:val="24"/>
          <w:szCs w:val="24"/>
        </w:rPr>
        <w:t>尹</w:t>
      </w:r>
      <w:proofErr w:type="gramEnd"/>
      <w:r w:rsidR="001A717C" w:rsidRPr="00F410A8">
        <w:rPr>
          <w:rFonts w:ascii="仿宋" w:eastAsia="仿宋" w:hAnsi="仿宋" w:cs="宋体" w:hint="eastAsia"/>
          <w:color w:val="000000"/>
          <w:kern w:val="0"/>
          <w:sz w:val="24"/>
          <w:szCs w:val="24"/>
        </w:rPr>
        <w:t>系统</w:t>
      </w:r>
    </w:p>
    <w:p w:rsidR="00EE2B2D" w:rsidRPr="00542893" w:rsidRDefault="002E58C4" w:rsidP="00F42EAF">
      <w:pPr>
        <w:spacing w:line="600" w:lineRule="exact"/>
        <w:ind w:firstLineChars="200" w:firstLine="643"/>
        <w:rPr>
          <w:rFonts w:ascii="仿宋_GB2312" w:eastAsia="仿宋_GB2312" w:hAnsi="Calibri" w:cs="Times New Roman"/>
          <w:b/>
          <w:sz w:val="32"/>
          <w:szCs w:val="32"/>
        </w:rPr>
      </w:pPr>
      <w:r w:rsidRPr="00542893">
        <w:rPr>
          <w:rFonts w:ascii="仿宋_GB2312" w:eastAsia="仿宋_GB2312" w:hAnsi="Calibri" w:cs="Times New Roman" w:hint="eastAsia"/>
          <w:b/>
          <w:sz w:val="32"/>
          <w:szCs w:val="32"/>
        </w:rPr>
        <w:t>（四）</w:t>
      </w:r>
      <w:r w:rsidR="00EE2B2D" w:rsidRPr="00542893">
        <w:rPr>
          <w:rFonts w:ascii="仿宋_GB2312" w:eastAsia="仿宋_GB2312" w:hAnsi="Calibri" w:cs="Times New Roman" w:hint="eastAsia"/>
          <w:b/>
          <w:sz w:val="32"/>
          <w:szCs w:val="32"/>
        </w:rPr>
        <w:t>交易对手</w:t>
      </w:r>
    </w:p>
    <w:tbl>
      <w:tblPr>
        <w:tblStyle w:val="a3"/>
        <w:tblW w:w="11157" w:type="dxa"/>
        <w:jc w:val="center"/>
        <w:tblInd w:w="-61" w:type="dxa"/>
        <w:tblLayout w:type="fixed"/>
        <w:tblLook w:val="04A0" w:firstRow="1" w:lastRow="0" w:firstColumn="1" w:lastColumn="0" w:noHBand="0" w:noVBand="1"/>
      </w:tblPr>
      <w:tblGrid>
        <w:gridCol w:w="1673"/>
        <w:gridCol w:w="851"/>
        <w:gridCol w:w="850"/>
        <w:gridCol w:w="906"/>
        <w:gridCol w:w="498"/>
        <w:gridCol w:w="851"/>
        <w:gridCol w:w="850"/>
        <w:gridCol w:w="851"/>
        <w:gridCol w:w="850"/>
        <w:gridCol w:w="851"/>
        <w:gridCol w:w="425"/>
        <w:gridCol w:w="851"/>
        <w:gridCol w:w="850"/>
      </w:tblGrid>
      <w:tr w:rsidR="009C1DC5" w:rsidRPr="00542893" w:rsidTr="00BA4191">
        <w:trPr>
          <w:trHeight w:val="270"/>
          <w:jc w:val="center"/>
        </w:trPr>
        <w:tc>
          <w:tcPr>
            <w:tcW w:w="1673" w:type="dxa"/>
            <w:tcBorders>
              <w:top w:val="nil"/>
              <w:left w:val="nil"/>
              <w:right w:val="nil"/>
            </w:tcBorders>
            <w:noWrap/>
          </w:tcPr>
          <w:p w:rsidR="009C1DC5" w:rsidRPr="00542893" w:rsidRDefault="009C1DC5" w:rsidP="00EE52A0">
            <w:pPr>
              <w:widowControl/>
              <w:jc w:val="left"/>
              <w:rPr>
                <w:rFonts w:ascii="宋体" w:eastAsia="宋体" w:hAnsi="宋体" w:cs="宋体"/>
                <w:color w:val="000000"/>
                <w:kern w:val="0"/>
                <w:sz w:val="22"/>
              </w:rPr>
            </w:pPr>
          </w:p>
        </w:tc>
        <w:tc>
          <w:tcPr>
            <w:tcW w:w="851" w:type="dxa"/>
            <w:tcBorders>
              <w:top w:val="nil"/>
              <w:left w:val="nil"/>
              <w:right w:val="nil"/>
            </w:tcBorders>
            <w:noWrap/>
          </w:tcPr>
          <w:p w:rsidR="009C1DC5" w:rsidRPr="00542893" w:rsidRDefault="009C1DC5" w:rsidP="00EE52A0">
            <w:pPr>
              <w:widowControl/>
              <w:jc w:val="left"/>
              <w:rPr>
                <w:rFonts w:ascii="宋体" w:eastAsia="宋体" w:hAnsi="宋体" w:cs="宋体"/>
                <w:color w:val="000000"/>
                <w:kern w:val="0"/>
                <w:sz w:val="22"/>
              </w:rPr>
            </w:pPr>
          </w:p>
        </w:tc>
        <w:tc>
          <w:tcPr>
            <w:tcW w:w="850" w:type="dxa"/>
            <w:tcBorders>
              <w:top w:val="nil"/>
              <w:left w:val="nil"/>
              <w:right w:val="nil"/>
            </w:tcBorders>
            <w:noWrap/>
          </w:tcPr>
          <w:p w:rsidR="009C1DC5" w:rsidRPr="00542893" w:rsidRDefault="009C1DC5" w:rsidP="00EE52A0">
            <w:pPr>
              <w:widowControl/>
              <w:jc w:val="left"/>
              <w:rPr>
                <w:rFonts w:ascii="宋体" w:eastAsia="宋体" w:hAnsi="宋体" w:cs="宋体"/>
                <w:color w:val="000000"/>
                <w:kern w:val="0"/>
                <w:sz w:val="22"/>
              </w:rPr>
            </w:pPr>
          </w:p>
        </w:tc>
        <w:tc>
          <w:tcPr>
            <w:tcW w:w="906" w:type="dxa"/>
            <w:tcBorders>
              <w:top w:val="nil"/>
              <w:left w:val="nil"/>
              <w:right w:val="nil"/>
            </w:tcBorders>
            <w:noWrap/>
          </w:tcPr>
          <w:p w:rsidR="009C1DC5" w:rsidRPr="00542893" w:rsidRDefault="009C1DC5" w:rsidP="00EE52A0">
            <w:pPr>
              <w:widowControl/>
              <w:jc w:val="right"/>
              <w:rPr>
                <w:rFonts w:ascii="宋体" w:eastAsia="宋体" w:hAnsi="宋体" w:cs="宋体"/>
                <w:color w:val="000000"/>
                <w:kern w:val="0"/>
                <w:sz w:val="22"/>
              </w:rPr>
            </w:pPr>
          </w:p>
        </w:tc>
        <w:tc>
          <w:tcPr>
            <w:tcW w:w="6877" w:type="dxa"/>
            <w:gridSpan w:val="9"/>
            <w:tcBorders>
              <w:top w:val="nil"/>
              <w:left w:val="nil"/>
              <w:right w:val="nil"/>
            </w:tcBorders>
            <w:noWrap/>
          </w:tcPr>
          <w:p w:rsidR="009C1DC5" w:rsidRPr="00542893" w:rsidRDefault="009C1DC5" w:rsidP="00EE52A0">
            <w:pPr>
              <w:widowControl/>
              <w:jc w:val="right"/>
              <w:rPr>
                <w:rFonts w:ascii="仿宋" w:eastAsia="仿宋" w:hAnsi="仿宋" w:cs="宋体"/>
                <w:color w:val="000000"/>
                <w:kern w:val="0"/>
                <w:sz w:val="24"/>
                <w:szCs w:val="24"/>
              </w:rPr>
            </w:pPr>
            <w:r w:rsidRPr="00542893">
              <w:rPr>
                <w:rFonts w:ascii="仿宋" w:eastAsia="仿宋" w:hAnsi="仿宋" w:cs="宋体" w:hint="eastAsia"/>
                <w:color w:val="000000"/>
                <w:kern w:val="0"/>
                <w:sz w:val="24"/>
                <w:szCs w:val="24"/>
              </w:rPr>
              <w:t>单位：亿元</w:t>
            </w:r>
          </w:p>
        </w:tc>
      </w:tr>
      <w:tr w:rsidR="00524327" w:rsidRPr="00E13056" w:rsidTr="00BA4191">
        <w:trPr>
          <w:trHeight w:val="270"/>
          <w:jc w:val="center"/>
        </w:trPr>
        <w:tc>
          <w:tcPr>
            <w:tcW w:w="1673" w:type="dxa"/>
            <w:noWrap/>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交易对手</w:t>
            </w:r>
          </w:p>
        </w:tc>
        <w:tc>
          <w:tcPr>
            <w:tcW w:w="851" w:type="dxa"/>
            <w:noWrap/>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方向</w:t>
            </w:r>
          </w:p>
        </w:tc>
        <w:tc>
          <w:tcPr>
            <w:tcW w:w="850" w:type="dxa"/>
            <w:noWrap/>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部门</w:t>
            </w:r>
          </w:p>
        </w:tc>
        <w:tc>
          <w:tcPr>
            <w:tcW w:w="906" w:type="dxa"/>
            <w:noWrap/>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金额</w:t>
            </w:r>
          </w:p>
        </w:tc>
        <w:tc>
          <w:tcPr>
            <w:tcW w:w="498" w:type="dxa"/>
            <w:noWrap/>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笔数</w:t>
            </w:r>
          </w:p>
        </w:tc>
        <w:tc>
          <w:tcPr>
            <w:tcW w:w="851" w:type="dxa"/>
            <w:noWrap/>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最大单笔</w:t>
            </w:r>
          </w:p>
        </w:tc>
        <w:tc>
          <w:tcPr>
            <w:tcW w:w="850" w:type="dxa"/>
            <w:noWrap/>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最小单笔</w:t>
            </w:r>
          </w:p>
        </w:tc>
        <w:tc>
          <w:tcPr>
            <w:tcW w:w="851" w:type="dxa"/>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方向</w:t>
            </w:r>
          </w:p>
        </w:tc>
        <w:tc>
          <w:tcPr>
            <w:tcW w:w="850" w:type="dxa"/>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部门</w:t>
            </w:r>
          </w:p>
        </w:tc>
        <w:tc>
          <w:tcPr>
            <w:tcW w:w="851" w:type="dxa"/>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金额</w:t>
            </w:r>
          </w:p>
        </w:tc>
        <w:tc>
          <w:tcPr>
            <w:tcW w:w="425" w:type="dxa"/>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笔数</w:t>
            </w:r>
          </w:p>
        </w:tc>
        <w:tc>
          <w:tcPr>
            <w:tcW w:w="851" w:type="dxa"/>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最大单笔</w:t>
            </w:r>
          </w:p>
        </w:tc>
        <w:tc>
          <w:tcPr>
            <w:tcW w:w="850" w:type="dxa"/>
            <w:vAlign w:val="center"/>
          </w:tcPr>
          <w:p w:rsidR="009C1DC5" w:rsidRPr="00542893" w:rsidRDefault="009C1DC5" w:rsidP="00524327">
            <w:pPr>
              <w:widowControl/>
              <w:adjustRightInd w:val="0"/>
              <w:snapToGrid w:val="0"/>
              <w:jc w:val="center"/>
              <w:rPr>
                <w:rFonts w:asciiTheme="minorEastAsia" w:hAnsiTheme="minorEastAsia" w:cs="宋体"/>
                <w:b/>
                <w:color w:val="000000"/>
                <w:kern w:val="0"/>
                <w:sz w:val="28"/>
                <w:szCs w:val="28"/>
              </w:rPr>
            </w:pPr>
            <w:r w:rsidRPr="00542893">
              <w:rPr>
                <w:rFonts w:asciiTheme="minorEastAsia" w:hAnsiTheme="minorEastAsia" w:cs="宋体" w:hint="eastAsia"/>
                <w:b/>
                <w:color w:val="000000"/>
                <w:kern w:val="0"/>
                <w:sz w:val="28"/>
                <w:szCs w:val="28"/>
              </w:rPr>
              <w:t>最小单笔</w:t>
            </w: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roofErr w:type="gramStart"/>
            <w:r w:rsidRPr="00542893">
              <w:rPr>
                <w:rFonts w:asciiTheme="minorEastAsia" w:hAnsiTheme="minorEastAsia" w:cs="Times New Roman" w:hint="eastAsia"/>
                <w:sz w:val="28"/>
                <w:szCs w:val="28"/>
              </w:rPr>
              <w:t>创金合信鼎泰</w:t>
            </w:r>
            <w:proofErr w:type="gramEnd"/>
            <w:r w:rsidRPr="00542893">
              <w:rPr>
                <w:rFonts w:asciiTheme="minorEastAsia" w:hAnsiTheme="minorEastAsia" w:cs="Times New Roman" w:hint="eastAsia"/>
                <w:sz w:val="28"/>
                <w:szCs w:val="28"/>
              </w:rPr>
              <w:t>65号集合资产管理计划</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正回购</w:t>
            </w: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理财业务</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0.30</w:t>
            </w: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0.30</w:t>
            </w: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0.30</w:t>
            </w: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第一创业证券</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逆回购</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同业线上</w:t>
            </w: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3.92</w:t>
            </w: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1.96</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1.96</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集友银行福州</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逆回购</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同业线上</w:t>
            </w: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2.00</w:t>
            </w: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2.00</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2.00</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绵阳市商业银行</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逆回购</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理财业务</w:t>
            </w: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0.63</w:t>
            </w: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0.31</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0.31</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正回购</w:t>
            </w: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理财业务</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0.46</w:t>
            </w: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0.46</w:t>
            </w: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0.46</w:t>
            </w: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roofErr w:type="gramStart"/>
            <w:r w:rsidRPr="00542893">
              <w:rPr>
                <w:rFonts w:asciiTheme="minorEastAsia" w:hAnsiTheme="minorEastAsia" w:cs="Times New Roman" w:hint="eastAsia"/>
                <w:sz w:val="28"/>
                <w:szCs w:val="28"/>
              </w:rPr>
              <w:t>瓯</w:t>
            </w:r>
            <w:proofErr w:type="gramEnd"/>
            <w:r w:rsidRPr="00542893">
              <w:rPr>
                <w:rFonts w:asciiTheme="minorEastAsia" w:hAnsiTheme="minorEastAsia" w:cs="Times New Roman" w:hint="eastAsia"/>
                <w:sz w:val="28"/>
                <w:szCs w:val="28"/>
              </w:rPr>
              <w:t>海农商行</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逆回购</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同业线上</w:t>
            </w: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1.90</w:t>
            </w: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1.90</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1.90</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融通</w:t>
            </w:r>
            <w:proofErr w:type="gramStart"/>
            <w:r w:rsidRPr="00542893">
              <w:rPr>
                <w:rFonts w:asciiTheme="minorEastAsia" w:hAnsiTheme="minorEastAsia" w:cs="Times New Roman" w:hint="eastAsia"/>
                <w:sz w:val="28"/>
                <w:szCs w:val="28"/>
              </w:rPr>
              <w:t>易支付</w:t>
            </w:r>
            <w:proofErr w:type="gramEnd"/>
            <w:r w:rsidRPr="00542893">
              <w:rPr>
                <w:rFonts w:asciiTheme="minorEastAsia" w:hAnsiTheme="minorEastAsia" w:cs="Times New Roman" w:hint="eastAsia"/>
                <w:sz w:val="28"/>
                <w:szCs w:val="28"/>
              </w:rPr>
              <w:t>货币市场证券投资基金</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正回购</w:t>
            </w: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理财业务</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0.69</w:t>
            </w: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0.50</w:t>
            </w: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0.19</w:t>
            </w: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瑞丰银行</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正回购</w:t>
            </w: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同业线上</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3.00</w:t>
            </w: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2.00</w:t>
            </w: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1.00</w:t>
            </w: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山西榆次农商行</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正回购</w:t>
            </w: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同业线上</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1.00</w:t>
            </w: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1.00</w:t>
            </w: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1.00</w:t>
            </w: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lastRenderedPageBreak/>
              <w:t>山西证券股份有限公</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现券买入</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理财业务</w:t>
            </w: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0.10</w:t>
            </w: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0.10</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0.10</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上海证券</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逆回购</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同业线上</w:t>
            </w: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2.00</w:t>
            </w: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2.00</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2.00</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萧山农商银行</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逆回购</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同业线上</w:t>
            </w: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2.95</w:t>
            </w: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2.95</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2.95</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r>
      <w:tr w:rsidR="00542893" w:rsidRPr="00E13056" w:rsidTr="00BA4191">
        <w:trPr>
          <w:trHeight w:val="270"/>
          <w:jc w:val="center"/>
        </w:trPr>
        <w:tc>
          <w:tcPr>
            <w:tcW w:w="1673"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银河证券</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逆回购</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同业线上</w:t>
            </w:r>
          </w:p>
        </w:tc>
        <w:tc>
          <w:tcPr>
            <w:tcW w:w="906"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19.98</w:t>
            </w:r>
          </w:p>
        </w:tc>
        <w:tc>
          <w:tcPr>
            <w:tcW w:w="498"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4</w:t>
            </w:r>
          </w:p>
        </w:tc>
        <w:tc>
          <w:tcPr>
            <w:tcW w:w="851"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5.00</w:t>
            </w:r>
          </w:p>
        </w:tc>
        <w:tc>
          <w:tcPr>
            <w:tcW w:w="850" w:type="dxa"/>
            <w:noWrap/>
            <w:vAlign w:val="center"/>
          </w:tcPr>
          <w:p w:rsidR="00542893" w:rsidRPr="00542893" w:rsidRDefault="00542893" w:rsidP="00542893">
            <w:pPr>
              <w:adjustRightInd w:val="0"/>
              <w:snapToGrid w:val="0"/>
              <w:jc w:val="center"/>
              <w:rPr>
                <w:rFonts w:asciiTheme="minorEastAsia" w:hAnsiTheme="minorEastAsia" w:cs="Times New Roman"/>
                <w:sz w:val="28"/>
                <w:szCs w:val="28"/>
              </w:rPr>
            </w:pPr>
            <w:r w:rsidRPr="00542893">
              <w:rPr>
                <w:rFonts w:asciiTheme="minorEastAsia" w:hAnsiTheme="minorEastAsia" w:cs="Times New Roman" w:hint="eastAsia"/>
                <w:sz w:val="28"/>
                <w:szCs w:val="28"/>
              </w:rPr>
              <w:t>4.99</w:t>
            </w: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425"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1"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c>
          <w:tcPr>
            <w:tcW w:w="850" w:type="dxa"/>
            <w:vAlign w:val="center"/>
          </w:tcPr>
          <w:p w:rsidR="00542893" w:rsidRPr="00542893" w:rsidRDefault="00542893" w:rsidP="00542893">
            <w:pPr>
              <w:adjustRightInd w:val="0"/>
              <w:snapToGrid w:val="0"/>
              <w:jc w:val="center"/>
              <w:rPr>
                <w:rFonts w:asciiTheme="minorEastAsia" w:hAnsiTheme="minorEastAsia" w:cs="Times New Roman"/>
                <w:sz w:val="28"/>
                <w:szCs w:val="28"/>
              </w:rPr>
            </w:pPr>
          </w:p>
        </w:tc>
      </w:tr>
      <w:tr w:rsidR="00542893" w:rsidRPr="00E13056" w:rsidTr="00BA4191">
        <w:trPr>
          <w:trHeight w:val="270"/>
          <w:jc w:val="center"/>
        </w:trPr>
        <w:tc>
          <w:tcPr>
            <w:tcW w:w="11157" w:type="dxa"/>
            <w:gridSpan w:val="13"/>
            <w:tcBorders>
              <w:left w:val="nil"/>
              <w:bottom w:val="nil"/>
              <w:right w:val="nil"/>
            </w:tcBorders>
            <w:noWrap/>
            <w:vAlign w:val="center"/>
          </w:tcPr>
          <w:p w:rsidR="00542893" w:rsidRPr="00542893" w:rsidRDefault="00542893" w:rsidP="00524327">
            <w:pPr>
              <w:widowControl/>
              <w:rPr>
                <w:rFonts w:ascii="宋体" w:eastAsia="宋体" w:hAnsi="宋体" w:cs="宋体"/>
                <w:color w:val="000000"/>
                <w:kern w:val="0"/>
                <w:sz w:val="22"/>
              </w:rPr>
            </w:pPr>
            <w:r w:rsidRPr="00542893">
              <w:rPr>
                <w:rFonts w:ascii="仿宋" w:eastAsia="仿宋" w:hAnsi="仿宋" w:cs="宋体" w:hint="eastAsia"/>
                <w:color w:val="000000"/>
                <w:kern w:val="0"/>
                <w:sz w:val="24"/>
                <w:szCs w:val="24"/>
              </w:rPr>
              <w:t>数据来源：COMSTAR系统、资金业务管理系统、理财资产管理系统、兆</w:t>
            </w:r>
            <w:proofErr w:type="gramStart"/>
            <w:r w:rsidRPr="00542893">
              <w:rPr>
                <w:rFonts w:ascii="仿宋" w:eastAsia="仿宋" w:hAnsi="仿宋" w:cs="宋体" w:hint="eastAsia"/>
                <w:color w:val="000000"/>
                <w:kern w:val="0"/>
                <w:sz w:val="24"/>
                <w:szCs w:val="24"/>
              </w:rPr>
              <w:t>尹</w:t>
            </w:r>
            <w:proofErr w:type="gramEnd"/>
            <w:r w:rsidRPr="00542893">
              <w:rPr>
                <w:rFonts w:ascii="仿宋" w:eastAsia="仿宋" w:hAnsi="仿宋" w:cs="宋体" w:hint="eastAsia"/>
                <w:color w:val="000000"/>
                <w:kern w:val="0"/>
                <w:sz w:val="24"/>
                <w:szCs w:val="24"/>
              </w:rPr>
              <w:t>系统</w:t>
            </w:r>
          </w:p>
        </w:tc>
      </w:tr>
      <w:tr w:rsidR="00542893" w:rsidRPr="00E13056" w:rsidTr="00BA4191">
        <w:trPr>
          <w:trHeight w:val="270"/>
          <w:jc w:val="center"/>
        </w:trPr>
        <w:tc>
          <w:tcPr>
            <w:tcW w:w="11157" w:type="dxa"/>
            <w:gridSpan w:val="13"/>
            <w:tcBorders>
              <w:top w:val="nil"/>
              <w:left w:val="nil"/>
              <w:bottom w:val="nil"/>
              <w:right w:val="nil"/>
            </w:tcBorders>
            <w:noWrap/>
            <w:vAlign w:val="center"/>
          </w:tcPr>
          <w:p w:rsidR="00542893" w:rsidRPr="00542893" w:rsidRDefault="00542893" w:rsidP="00DD4F94">
            <w:pPr>
              <w:widowControl/>
              <w:rPr>
                <w:rFonts w:ascii="仿宋" w:eastAsia="仿宋" w:hAnsi="仿宋" w:cs="宋体"/>
                <w:color w:val="000000"/>
                <w:kern w:val="0"/>
                <w:sz w:val="24"/>
                <w:szCs w:val="24"/>
              </w:rPr>
            </w:pPr>
            <w:r w:rsidRPr="00542893">
              <w:rPr>
                <w:rFonts w:ascii="仿宋" w:eastAsia="仿宋" w:hAnsi="仿宋" w:cs="宋体" w:hint="eastAsia"/>
                <w:color w:val="000000"/>
                <w:kern w:val="0"/>
                <w:sz w:val="24"/>
                <w:szCs w:val="24"/>
              </w:rPr>
              <w:t>备注：针对主体评级AAA以下、注册资本100亿元以下的交易对手分析</w:t>
            </w:r>
          </w:p>
        </w:tc>
      </w:tr>
    </w:tbl>
    <w:p w:rsidR="002E58C4" w:rsidRPr="005F475E" w:rsidRDefault="00EE2B2D" w:rsidP="00031324">
      <w:pPr>
        <w:spacing w:line="520" w:lineRule="exact"/>
        <w:ind w:firstLineChars="200" w:firstLine="643"/>
        <w:rPr>
          <w:rFonts w:ascii="仿宋_GB2312" w:eastAsia="仿宋_GB2312" w:hAnsi="Calibri" w:cs="Times New Roman"/>
          <w:b/>
          <w:sz w:val="32"/>
          <w:szCs w:val="32"/>
        </w:rPr>
      </w:pPr>
      <w:r w:rsidRPr="005F475E">
        <w:rPr>
          <w:rFonts w:ascii="仿宋_GB2312" w:eastAsia="仿宋_GB2312" w:hAnsi="Calibri" w:cs="Times New Roman" w:hint="eastAsia"/>
          <w:b/>
          <w:sz w:val="32"/>
          <w:szCs w:val="32"/>
        </w:rPr>
        <w:t>（五）</w:t>
      </w:r>
      <w:r w:rsidR="002E58C4" w:rsidRPr="005F475E">
        <w:rPr>
          <w:rFonts w:ascii="仿宋_GB2312" w:eastAsia="仿宋_GB2312" w:hAnsi="Calibri" w:cs="Times New Roman" w:hint="eastAsia"/>
          <w:b/>
          <w:sz w:val="32"/>
          <w:szCs w:val="32"/>
        </w:rPr>
        <w:t>预警债券名单</w:t>
      </w:r>
    </w:p>
    <w:p w:rsidR="002E58C4" w:rsidRPr="005F475E" w:rsidRDefault="002E58C4" w:rsidP="002E58C4">
      <w:pPr>
        <w:wordWrap w:val="0"/>
        <w:ind w:firstLineChars="200" w:firstLine="480"/>
        <w:jc w:val="right"/>
        <w:rPr>
          <w:rFonts w:ascii="仿宋_GB2312" w:eastAsia="仿宋_GB2312" w:hAnsi="Calibri" w:cs="Times New Roman"/>
          <w:b/>
          <w:sz w:val="32"/>
          <w:szCs w:val="32"/>
        </w:rPr>
      </w:pPr>
      <w:r w:rsidRPr="005F475E">
        <w:rPr>
          <w:rFonts w:ascii="仿宋_GB2312" w:eastAsia="仿宋_GB2312" w:hAnsi="Calibri" w:cs="Times New Roman" w:hint="eastAsia"/>
          <w:sz w:val="24"/>
          <w:szCs w:val="32"/>
        </w:rPr>
        <w:t>单位：亿元</w:t>
      </w:r>
    </w:p>
    <w:tbl>
      <w:tblPr>
        <w:tblStyle w:val="a3"/>
        <w:tblW w:w="9357" w:type="dxa"/>
        <w:tblInd w:w="-318" w:type="dxa"/>
        <w:tblLayout w:type="fixed"/>
        <w:tblLook w:val="04A0" w:firstRow="1" w:lastRow="0" w:firstColumn="1" w:lastColumn="0" w:noHBand="0" w:noVBand="1"/>
      </w:tblPr>
      <w:tblGrid>
        <w:gridCol w:w="2553"/>
        <w:gridCol w:w="4536"/>
        <w:gridCol w:w="850"/>
        <w:gridCol w:w="1418"/>
      </w:tblGrid>
      <w:tr w:rsidR="002E58C4" w:rsidRPr="005F475E" w:rsidTr="0059208E">
        <w:tc>
          <w:tcPr>
            <w:tcW w:w="2553" w:type="dxa"/>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债券名称</w:t>
            </w:r>
          </w:p>
        </w:tc>
        <w:tc>
          <w:tcPr>
            <w:tcW w:w="4536" w:type="dxa"/>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发行主体</w:t>
            </w:r>
          </w:p>
        </w:tc>
        <w:tc>
          <w:tcPr>
            <w:tcW w:w="850" w:type="dxa"/>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余额</w:t>
            </w:r>
          </w:p>
        </w:tc>
        <w:tc>
          <w:tcPr>
            <w:tcW w:w="1418" w:type="dxa"/>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分类</w:t>
            </w:r>
          </w:p>
        </w:tc>
      </w:tr>
      <w:tr w:rsidR="002E58C4" w:rsidRPr="005F475E" w:rsidTr="0059208E">
        <w:tc>
          <w:tcPr>
            <w:tcW w:w="2553"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16</w:t>
            </w:r>
            <w:proofErr w:type="gramStart"/>
            <w:r w:rsidRPr="005F475E">
              <w:rPr>
                <w:rFonts w:asciiTheme="minorEastAsia" w:hAnsiTheme="minorEastAsia" w:cs="Times New Roman" w:hint="eastAsia"/>
                <w:sz w:val="28"/>
                <w:szCs w:val="28"/>
              </w:rPr>
              <w:t>青国投</w:t>
            </w:r>
            <w:proofErr w:type="gramEnd"/>
            <w:r w:rsidRPr="005F475E">
              <w:rPr>
                <w:rFonts w:asciiTheme="minorEastAsia" w:hAnsiTheme="minorEastAsia" w:cs="Times New Roman" w:hint="eastAsia"/>
                <w:sz w:val="28"/>
                <w:szCs w:val="28"/>
              </w:rPr>
              <w:t>MTN001</w:t>
            </w:r>
          </w:p>
        </w:tc>
        <w:tc>
          <w:tcPr>
            <w:tcW w:w="4536"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青海省国有资产投资管理有限公司</w:t>
            </w:r>
          </w:p>
        </w:tc>
        <w:tc>
          <w:tcPr>
            <w:tcW w:w="850"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0.50</w:t>
            </w:r>
          </w:p>
        </w:tc>
        <w:tc>
          <w:tcPr>
            <w:tcW w:w="1418"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永续预警</w:t>
            </w:r>
          </w:p>
        </w:tc>
      </w:tr>
      <w:tr w:rsidR="002E58C4" w:rsidRPr="005F475E" w:rsidTr="0059208E">
        <w:tc>
          <w:tcPr>
            <w:tcW w:w="2553"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17</w:t>
            </w:r>
            <w:proofErr w:type="gramStart"/>
            <w:r w:rsidRPr="005F475E">
              <w:rPr>
                <w:rFonts w:asciiTheme="minorEastAsia" w:hAnsiTheme="minorEastAsia" w:cs="Times New Roman" w:hint="eastAsia"/>
                <w:sz w:val="28"/>
                <w:szCs w:val="28"/>
              </w:rPr>
              <w:t>开元专项</w:t>
            </w:r>
            <w:proofErr w:type="gramEnd"/>
            <w:r w:rsidRPr="005F475E">
              <w:rPr>
                <w:rFonts w:asciiTheme="minorEastAsia" w:hAnsiTheme="minorEastAsia" w:cs="Times New Roman" w:hint="eastAsia"/>
                <w:sz w:val="28"/>
                <w:szCs w:val="28"/>
              </w:rPr>
              <w:t>债01</w:t>
            </w:r>
          </w:p>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16道桥01</w:t>
            </w:r>
          </w:p>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16</w:t>
            </w:r>
            <w:proofErr w:type="gramStart"/>
            <w:r w:rsidRPr="005F475E">
              <w:rPr>
                <w:rFonts w:asciiTheme="minorEastAsia" w:hAnsiTheme="minorEastAsia" w:cs="Times New Roman" w:hint="eastAsia"/>
                <w:sz w:val="28"/>
                <w:szCs w:val="28"/>
              </w:rPr>
              <w:t>遵</w:t>
            </w:r>
            <w:proofErr w:type="gramEnd"/>
            <w:r w:rsidRPr="005F475E">
              <w:rPr>
                <w:rFonts w:asciiTheme="minorEastAsia" w:hAnsiTheme="minorEastAsia" w:cs="Times New Roman" w:hint="eastAsia"/>
                <w:sz w:val="28"/>
                <w:szCs w:val="28"/>
              </w:rPr>
              <w:t>桥01</w:t>
            </w:r>
          </w:p>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15遵义道桥债</w:t>
            </w:r>
          </w:p>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17红果专项债01</w:t>
            </w:r>
          </w:p>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18红果专项债</w:t>
            </w:r>
          </w:p>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16</w:t>
            </w:r>
            <w:proofErr w:type="gramStart"/>
            <w:r w:rsidRPr="005F475E">
              <w:rPr>
                <w:rFonts w:asciiTheme="minorEastAsia" w:hAnsiTheme="minorEastAsia" w:cs="Times New Roman" w:hint="eastAsia"/>
                <w:sz w:val="28"/>
                <w:szCs w:val="28"/>
              </w:rPr>
              <w:t>遵</w:t>
            </w:r>
            <w:proofErr w:type="gramEnd"/>
            <w:r w:rsidRPr="005F475E">
              <w:rPr>
                <w:rFonts w:asciiTheme="minorEastAsia" w:hAnsiTheme="minorEastAsia" w:cs="Times New Roman" w:hint="eastAsia"/>
                <w:sz w:val="28"/>
                <w:szCs w:val="28"/>
              </w:rPr>
              <w:t>停车债</w:t>
            </w:r>
          </w:p>
          <w:p w:rsidR="00766C40" w:rsidRPr="005F475E" w:rsidRDefault="00766C40"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17遵义</w:t>
            </w:r>
            <w:proofErr w:type="gramStart"/>
            <w:r w:rsidRPr="005F475E">
              <w:rPr>
                <w:rFonts w:asciiTheme="minorEastAsia" w:hAnsiTheme="minorEastAsia" w:cs="Times New Roman" w:hint="eastAsia"/>
                <w:sz w:val="28"/>
                <w:szCs w:val="28"/>
              </w:rPr>
              <w:t>播投债</w:t>
            </w:r>
            <w:proofErr w:type="gramEnd"/>
            <w:r w:rsidRPr="005F475E">
              <w:rPr>
                <w:rFonts w:asciiTheme="minorEastAsia" w:hAnsiTheme="minorEastAsia" w:cs="Times New Roman" w:hint="eastAsia"/>
                <w:sz w:val="28"/>
                <w:szCs w:val="28"/>
              </w:rPr>
              <w:t>02</w:t>
            </w:r>
          </w:p>
        </w:tc>
        <w:tc>
          <w:tcPr>
            <w:tcW w:w="4536" w:type="dxa"/>
            <w:tcBorders>
              <w:bottom w:val="single" w:sz="4" w:space="0" w:color="auto"/>
            </w:tcBorders>
            <w:vAlign w:val="center"/>
          </w:tcPr>
          <w:p w:rsidR="002E58C4" w:rsidRPr="005F475E" w:rsidRDefault="002E58C4" w:rsidP="0059208E">
            <w:pPr>
              <w:adjustRightInd w:val="0"/>
              <w:snapToGrid w:val="0"/>
              <w:jc w:val="left"/>
              <w:rPr>
                <w:rFonts w:asciiTheme="minorEastAsia" w:hAnsiTheme="minorEastAsia" w:cs="Times New Roman"/>
                <w:sz w:val="28"/>
                <w:szCs w:val="28"/>
              </w:rPr>
            </w:pPr>
            <w:r w:rsidRPr="005F475E">
              <w:rPr>
                <w:rFonts w:asciiTheme="minorEastAsia" w:hAnsiTheme="minorEastAsia" w:cs="Times New Roman" w:hint="eastAsia"/>
                <w:sz w:val="28"/>
                <w:szCs w:val="28"/>
              </w:rPr>
              <w:t>贵州凯里开元城市投资开发有限责任公司；遵义道桥建设（集团）有限公司；贵州省红果经济技术开发区开发有限责任公司；遵义市新区开发投资有限责任公司</w:t>
            </w:r>
            <w:r w:rsidR="00766C40" w:rsidRPr="005F475E">
              <w:rPr>
                <w:rFonts w:asciiTheme="minorEastAsia" w:hAnsiTheme="minorEastAsia" w:cs="Times New Roman" w:hint="eastAsia"/>
                <w:sz w:val="28"/>
                <w:szCs w:val="28"/>
              </w:rPr>
              <w:t>；遵义市播州区城市建设投资经营(集团)有限公司</w:t>
            </w:r>
          </w:p>
        </w:tc>
        <w:tc>
          <w:tcPr>
            <w:tcW w:w="850" w:type="dxa"/>
            <w:vAlign w:val="center"/>
          </w:tcPr>
          <w:p w:rsidR="002E58C4" w:rsidRPr="005F475E" w:rsidRDefault="00766C40"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5</w:t>
            </w:r>
            <w:r w:rsidR="002E58C4" w:rsidRPr="005F475E">
              <w:rPr>
                <w:rFonts w:asciiTheme="minorEastAsia" w:hAnsiTheme="minorEastAsia" w:cs="Times New Roman" w:hint="eastAsia"/>
                <w:sz w:val="28"/>
                <w:szCs w:val="28"/>
              </w:rPr>
              <w:t>.75</w:t>
            </w:r>
          </w:p>
        </w:tc>
        <w:tc>
          <w:tcPr>
            <w:tcW w:w="1418" w:type="dxa"/>
            <w:tcBorders>
              <w:bottom w:val="single" w:sz="4" w:space="0" w:color="auto"/>
            </w:tcBorders>
            <w:vAlign w:val="center"/>
          </w:tcPr>
          <w:p w:rsidR="002E58C4" w:rsidRPr="005F475E" w:rsidRDefault="002F61FA" w:rsidP="002F61FA">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区域</w:t>
            </w:r>
            <w:r w:rsidR="002E58C4" w:rsidRPr="005F475E">
              <w:rPr>
                <w:rFonts w:asciiTheme="minorEastAsia" w:hAnsiTheme="minorEastAsia" w:cs="Times New Roman"/>
                <w:sz w:val="28"/>
                <w:szCs w:val="28"/>
              </w:rPr>
              <w:t>风险</w:t>
            </w:r>
          </w:p>
        </w:tc>
      </w:tr>
      <w:tr w:rsidR="005D3352" w:rsidRPr="005F475E" w:rsidTr="0059208E">
        <w:tc>
          <w:tcPr>
            <w:tcW w:w="2553" w:type="dxa"/>
            <w:vAlign w:val="center"/>
          </w:tcPr>
          <w:p w:rsidR="005D3352" w:rsidRPr="005F475E" w:rsidRDefault="005D3352"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15营口沿海债</w:t>
            </w:r>
          </w:p>
        </w:tc>
        <w:tc>
          <w:tcPr>
            <w:tcW w:w="4536" w:type="dxa"/>
            <w:tcBorders>
              <w:bottom w:val="single" w:sz="4" w:space="0" w:color="auto"/>
            </w:tcBorders>
            <w:vAlign w:val="center"/>
          </w:tcPr>
          <w:p w:rsidR="005D3352" w:rsidRPr="005F475E" w:rsidRDefault="005D3352" w:rsidP="0059208E">
            <w:pPr>
              <w:adjustRightInd w:val="0"/>
              <w:snapToGrid w:val="0"/>
              <w:jc w:val="left"/>
              <w:rPr>
                <w:rFonts w:asciiTheme="minorEastAsia" w:hAnsiTheme="minorEastAsia" w:cs="Times New Roman"/>
                <w:sz w:val="28"/>
                <w:szCs w:val="28"/>
              </w:rPr>
            </w:pPr>
            <w:r w:rsidRPr="005F475E">
              <w:rPr>
                <w:rFonts w:asciiTheme="minorEastAsia" w:hAnsiTheme="minorEastAsia" w:cs="Times New Roman" w:hint="eastAsia"/>
                <w:sz w:val="28"/>
                <w:szCs w:val="28"/>
              </w:rPr>
              <w:t>营口沿海开发建设集团有限公司</w:t>
            </w:r>
          </w:p>
        </w:tc>
        <w:tc>
          <w:tcPr>
            <w:tcW w:w="850" w:type="dxa"/>
            <w:vAlign w:val="center"/>
          </w:tcPr>
          <w:p w:rsidR="005D3352" w:rsidRPr="005F475E" w:rsidRDefault="005D3352"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w:t>
            </w:r>
            <w:r w:rsidR="00083425" w:rsidRPr="005F475E">
              <w:rPr>
                <w:rFonts w:asciiTheme="minorEastAsia" w:hAnsiTheme="minorEastAsia" w:cs="Times New Roman" w:hint="eastAsia"/>
                <w:sz w:val="28"/>
                <w:szCs w:val="28"/>
              </w:rPr>
              <w:t>0</w:t>
            </w:r>
            <w:r w:rsidRPr="005F475E">
              <w:rPr>
                <w:rFonts w:asciiTheme="minorEastAsia" w:hAnsiTheme="minorEastAsia" w:cs="Times New Roman" w:hint="eastAsia"/>
                <w:sz w:val="28"/>
                <w:szCs w:val="28"/>
              </w:rPr>
              <w:t>0</w:t>
            </w:r>
          </w:p>
        </w:tc>
        <w:tc>
          <w:tcPr>
            <w:tcW w:w="1418" w:type="dxa"/>
            <w:tcBorders>
              <w:bottom w:val="single" w:sz="4" w:space="0" w:color="auto"/>
            </w:tcBorders>
            <w:vAlign w:val="center"/>
          </w:tcPr>
          <w:p w:rsidR="005D3352" w:rsidRPr="005F475E" w:rsidRDefault="005D3352"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评级观察</w:t>
            </w:r>
          </w:p>
        </w:tc>
      </w:tr>
      <w:tr w:rsidR="00083425" w:rsidRPr="005F475E" w:rsidTr="0059208E">
        <w:tc>
          <w:tcPr>
            <w:tcW w:w="2553" w:type="dxa"/>
            <w:vAlign w:val="center"/>
          </w:tcPr>
          <w:p w:rsidR="00083425" w:rsidRPr="005F475E" w:rsidRDefault="00083425"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19</w:t>
            </w:r>
            <w:proofErr w:type="gramStart"/>
            <w:r w:rsidRPr="005F475E">
              <w:rPr>
                <w:rFonts w:asciiTheme="minorEastAsia" w:hAnsiTheme="minorEastAsia" w:cs="Times New Roman" w:hint="eastAsia"/>
                <w:sz w:val="28"/>
                <w:szCs w:val="28"/>
              </w:rPr>
              <w:t>迈科</w:t>
            </w:r>
            <w:proofErr w:type="gramEnd"/>
            <w:r w:rsidRPr="005F475E">
              <w:rPr>
                <w:rFonts w:asciiTheme="minorEastAsia" w:hAnsiTheme="minorEastAsia" w:cs="Times New Roman" w:hint="eastAsia"/>
                <w:sz w:val="28"/>
                <w:szCs w:val="28"/>
              </w:rPr>
              <w:t>A</w:t>
            </w:r>
          </w:p>
        </w:tc>
        <w:tc>
          <w:tcPr>
            <w:tcW w:w="4536" w:type="dxa"/>
            <w:tcBorders>
              <w:bottom w:val="single" w:sz="4" w:space="0" w:color="auto"/>
            </w:tcBorders>
            <w:vAlign w:val="center"/>
          </w:tcPr>
          <w:p w:rsidR="00083425" w:rsidRPr="005F475E" w:rsidRDefault="00083425" w:rsidP="0059208E">
            <w:pPr>
              <w:adjustRightInd w:val="0"/>
              <w:snapToGrid w:val="0"/>
              <w:jc w:val="left"/>
              <w:rPr>
                <w:rFonts w:asciiTheme="minorEastAsia" w:hAnsiTheme="minorEastAsia" w:cs="Times New Roman"/>
                <w:sz w:val="28"/>
                <w:szCs w:val="28"/>
              </w:rPr>
            </w:pPr>
            <w:r w:rsidRPr="005F475E">
              <w:rPr>
                <w:rFonts w:asciiTheme="minorEastAsia" w:hAnsiTheme="minorEastAsia" w:cs="Times New Roman" w:hint="eastAsia"/>
                <w:sz w:val="28"/>
                <w:szCs w:val="28"/>
              </w:rPr>
              <w:t>西安迈科金属国际集团有限公司</w:t>
            </w:r>
          </w:p>
        </w:tc>
        <w:tc>
          <w:tcPr>
            <w:tcW w:w="850" w:type="dxa"/>
            <w:vAlign w:val="center"/>
          </w:tcPr>
          <w:p w:rsidR="00083425" w:rsidRPr="005F475E" w:rsidRDefault="00083425"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1.49</w:t>
            </w:r>
          </w:p>
        </w:tc>
        <w:tc>
          <w:tcPr>
            <w:tcW w:w="1418" w:type="dxa"/>
            <w:tcBorders>
              <w:bottom w:val="single" w:sz="4" w:space="0" w:color="auto"/>
            </w:tcBorders>
            <w:vAlign w:val="center"/>
          </w:tcPr>
          <w:p w:rsidR="00083425" w:rsidRPr="005F475E" w:rsidRDefault="00C0233D" w:rsidP="002F61FA">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弱资质</w:t>
            </w:r>
          </w:p>
        </w:tc>
      </w:tr>
      <w:tr w:rsidR="002E58C4" w:rsidRPr="005F475E" w:rsidTr="0059208E">
        <w:tc>
          <w:tcPr>
            <w:tcW w:w="2553" w:type="dxa"/>
            <w:tcBorders>
              <w:right w:val="nil"/>
            </w:tcBorders>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hint="eastAsia"/>
                <w:b/>
                <w:sz w:val="28"/>
                <w:szCs w:val="28"/>
              </w:rPr>
              <w:t>合计</w:t>
            </w:r>
          </w:p>
        </w:tc>
        <w:tc>
          <w:tcPr>
            <w:tcW w:w="4536" w:type="dxa"/>
            <w:tcBorders>
              <w:left w:val="nil"/>
              <w:right w:val="nil"/>
            </w:tcBorders>
            <w:vAlign w:val="center"/>
          </w:tcPr>
          <w:p w:rsidR="002E58C4" w:rsidRPr="005F475E" w:rsidRDefault="002E58C4" w:rsidP="0059208E">
            <w:pPr>
              <w:adjustRightInd w:val="0"/>
              <w:snapToGrid w:val="0"/>
              <w:jc w:val="left"/>
              <w:rPr>
                <w:rFonts w:asciiTheme="minorEastAsia" w:hAnsiTheme="minorEastAsia" w:cs="Times New Roman"/>
                <w:b/>
                <w:sz w:val="28"/>
                <w:szCs w:val="28"/>
              </w:rPr>
            </w:pPr>
          </w:p>
        </w:tc>
        <w:tc>
          <w:tcPr>
            <w:tcW w:w="850" w:type="dxa"/>
            <w:tcBorders>
              <w:left w:val="nil"/>
              <w:right w:val="nil"/>
            </w:tcBorders>
            <w:vAlign w:val="center"/>
          </w:tcPr>
          <w:p w:rsidR="002E58C4" w:rsidRPr="005F475E" w:rsidRDefault="00B36D4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hint="eastAsia"/>
                <w:b/>
                <w:sz w:val="28"/>
                <w:szCs w:val="28"/>
              </w:rPr>
              <w:t>8.74</w:t>
            </w:r>
          </w:p>
        </w:tc>
        <w:tc>
          <w:tcPr>
            <w:tcW w:w="1418" w:type="dxa"/>
            <w:tcBorders>
              <w:left w:val="nil"/>
            </w:tcBorders>
            <w:vAlign w:val="center"/>
          </w:tcPr>
          <w:p w:rsidR="002E58C4" w:rsidRPr="005F475E" w:rsidRDefault="002E58C4" w:rsidP="0059208E">
            <w:pPr>
              <w:adjustRightInd w:val="0"/>
              <w:snapToGrid w:val="0"/>
              <w:jc w:val="center"/>
              <w:rPr>
                <w:rFonts w:asciiTheme="minorEastAsia" w:hAnsiTheme="minorEastAsia" w:cs="Times New Roman"/>
                <w:b/>
                <w:sz w:val="28"/>
                <w:szCs w:val="28"/>
              </w:rPr>
            </w:pPr>
          </w:p>
        </w:tc>
      </w:tr>
    </w:tbl>
    <w:p w:rsidR="002E58C4" w:rsidRPr="005F475E" w:rsidRDefault="00EE2B2D" w:rsidP="002E58C4">
      <w:pPr>
        <w:spacing w:line="560" w:lineRule="exact"/>
        <w:ind w:firstLineChars="200" w:firstLine="643"/>
        <w:rPr>
          <w:rFonts w:ascii="仿宋_GB2312" w:eastAsia="仿宋_GB2312" w:hAnsi="Calibri" w:cs="Times New Roman"/>
          <w:b/>
          <w:sz w:val="32"/>
          <w:szCs w:val="32"/>
        </w:rPr>
      </w:pPr>
      <w:r w:rsidRPr="005F475E">
        <w:rPr>
          <w:rFonts w:ascii="仿宋_GB2312" w:eastAsia="仿宋_GB2312" w:hAnsi="Calibri" w:cs="Times New Roman" w:hint="eastAsia"/>
          <w:b/>
          <w:sz w:val="32"/>
          <w:szCs w:val="32"/>
        </w:rPr>
        <w:t>（六</w:t>
      </w:r>
      <w:r w:rsidR="002E58C4" w:rsidRPr="005F475E">
        <w:rPr>
          <w:rFonts w:ascii="仿宋_GB2312" w:eastAsia="仿宋_GB2312" w:hAnsi="Calibri" w:cs="Times New Roman" w:hint="eastAsia"/>
          <w:b/>
          <w:sz w:val="32"/>
          <w:szCs w:val="32"/>
        </w:rPr>
        <w:t>）违约/欠息债券</w:t>
      </w:r>
    </w:p>
    <w:p w:rsidR="002E58C4" w:rsidRPr="005F475E" w:rsidRDefault="002E58C4" w:rsidP="002E58C4">
      <w:pPr>
        <w:wordWrap w:val="0"/>
        <w:ind w:firstLineChars="200" w:firstLine="480"/>
        <w:jc w:val="right"/>
        <w:rPr>
          <w:rFonts w:ascii="仿宋_GB2312" w:eastAsia="仿宋_GB2312" w:hAnsi="Calibri" w:cs="Times New Roman"/>
          <w:b/>
          <w:sz w:val="32"/>
          <w:szCs w:val="32"/>
        </w:rPr>
      </w:pPr>
      <w:r w:rsidRPr="005F475E">
        <w:rPr>
          <w:rFonts w:ascii="仿宋_GB2312" w:eastAsia="仿宋_GB2312" w:hAnsi="Calibri" w:cs="Times New Roman" w:hint="eastAsia"/>
          <w:sz w:val="24"/>
          <w:szCs w:val="32"/>
        </w:rPr>
        <w:t>单位：亿元</w:t>
      </w:r>
    </w:p>
    <w:tbl>
      <w:tblPr>
        <w:tblStyle w:val="a3"/>
        <w:tblW w:w="8931" w:type="dxa"/>
        <w:jc w:val="center"/>
        <w:tblInd w:w="-459" w:type="dxa"/>
        <w:tblLayout w:type="fixed"/>
        <w:tblLook w:val="04A0" w:firstRow="1" w:lastRow="0" w:firstColumn="1" w:lastColumn="0" w:noHBand="0" w:noVBand="1"/>
      </w:tblPr>
      <w:tblGrid>
        <w:gridCol w:w="3002"/>
        <w:gridCol w:w="4228"/>
        <w:gridCol w:w="850"/>
        <w:gridCol w:w="851"/>
      </w:tblGrid>
      <w:tr w:rsidR="002E58C4" w:rsidRPr="005F475E" w:rsidTr="0059208E">
        <w:trPr>
          <w:jc w:val="center"/>
        </w:trPr>
        <w:tc>
          <w:tcPr>
            <w:tcW w:w="3002" w:type="dxa"/>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债券名称</w:t>
            </w:r>
          </w:p>
        </w:tc>
        <w:tc>
          <w:tcPr>
            <w:tcW w:w="4228" w:type="dxa"/>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发行主体</w:t>
            </w:r>
          </w:p>
        </w:tc>
        <w:tc>
          <w:tcPr>
            <w:tcW w:w="850" w:type="dxa"/>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余额</w:t>
            </w:r>
          </w:p>
        </w:tc>
        <w:tc>
          <w:tcPr>
            <w:tcW w:w="851" w:type="dxa"/>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分类</w:t>
            </w:r>
          </w:p>
        </w:tc>
      </w:tr>
      <w:tr w:rsidR="002E58C4" w:rsidRPr="005F475E" w:rsidTr="0059208E">
        <w:trPr>
          <w:jc w:val="center"/>
        </w:trPr>
        <w:tc>
          <w:tcPr>
            <w:tcW w:w="3002"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18永泰集团SCP001</w:t>
            </w:r>
          </w:p>
        </w:tc>
        <w:tc>
          <w:tcPr>
            <w:tcW w:w="4228"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永泰集团有限公司</w:t>
            </w:r>
          </w:p>
        </w:tc>
        <w:tc>
          <w:tcPr>
            <w:tcW w:w="850"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1.00</w:t>
            </w:r>
          </w:p>
        </w:tc>
        <w:tc>
          <w:tcPr>
            <w:tcW w:w="851"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违约</w:t>
            </w:r>
          </w:p>
        </w:tc>
      </w:tr>
      <w:tr w:rsidR="002E58C4" w:rsidRPr="005F475E" w:rsidTr="0059208E">
        <w:trPr>
          <w:jc w:val="center"/>
        </w:trPr>
        <w:tc>
          <w:tcPr>
            <w:tcW w:w="3002"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17华阳04</w:t>
            </w:r>
          </w:p>
        </w:tc>
        <w:tc>
          <w:tcPr>
            <w:tcW w:w="4228"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中国</w:t>
            </w:r>
            <w:proofErr w:type="gramStart"/>
            <w:r w:rsidRPr="005F475E">
              <w:rPr>
                <w:rFonts w:asciiTheme="minorEastAsia" w:hAnsiTheme="minorEastAsia" w:cs="Times New Roman" w:hint="eastAsia"/>
                <w:sz w:val="28"/>
                <w:szCs w:val="28"/>
              </w:rPr>
              <w:t>华阳经贸</w:t>
            </w:r>
            <w:proofErr w:type="gramEnd"/>
            <w:r w:rsidRPr="005F475E">
              <w:rPr>
                <w:rFonts w:asciiTheme="minorEastAsia" w:hAnsiTheme="minorEastAsia" w:cs="Times New Roman" w:hint="eastAsia"/>
                <w:sz w:val="28"/>
                <w:szCs w:val="28"/>
              </w:rPr>
              <w:t>集团有限公司</w:t>
            </w:r>
          </w:p>
        </w:tc>
        <w:tc>
          <w:tcPr>
            <w:tcW w:w="850"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0.40</w:t>
            </w:r>
          </w:p>
        </w:tc>
        <w:tc>
          <w:tcPr>
            <w:tcW w:w="851"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违约</w:t>
            </w:r>
          </w:p>
        </w:tc>
      </w:tr>
      <w:tr w:rsidR="002E58C4" w:rsidRPr="005F475E" w:rsidTr="0059208E">
        <w:trPr>
          <w:jc w:val="center"/>
        </w:trPr>
        <w:tc>
          <w:tcPr>
            <w:tcW w:w="3002"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16美兰01、16美兰02</w:t>
            </w:r>
          </w:p>
        </w:tc>
        <w:tc>
          <w:tcPr>
            <w:tcW w:w="4228"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海口美兰国际机场有限责任公司</w:t>
            </w:r>
          </w:p>
        </w:tc>
        <w:tc>
          <w:tcPr>
            <w:tcW w:w="850"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0.80</w:t>
            </w:r>
          </w:p>
        </w:tc>
        <w:tc>
          <w:tcPr>
            <w:tcW w:w="851"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违约</w:t>
            </w:r>
          </w:p>
        </w:tc>
      </w:tr>
      <w:tr w:rsidR="00811505" w:rsidRPr="005F475E" w:rsidTr="0059208E">
        <w:trPr>
          <w:jc w:val="center"/>
        </w:trPr>
        <w:tc>
          <w:tcPr>
            <w:tcW w:w="3002" w:type="dxa"/>
            <w:vAlign w:val="center"/>
          </w:tcPr>
          <w:p w:rsidR="00811505" w:rsidRPr="005F475E" w:rsidRDefault="00811505"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海航203</w:t>
            </w:r>
          </w:p>
        </w:tc>
        <w:tc>
          <w:tcPr>
            <w:tcW w:w="4228" w:type="dxa"/>
            <w:vAlign w:val="center"/>
          </w:tcPr>
          <w:p w:rsidR="00811505" w:rsidRPr="005F475E" w:rsidRDefault="00811505"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海南航空控股股份有限公司</w:t>
            </w:r>
          </w:p>
        </w:tc>
        <w:tc>
          <w:tcPr>
            <w:tcW w:w="850" w:type="dxa"/>
            <w:vAlign w:val="center"/>
          </w:tcPr>
          <w:p w:rsidR="00811505" w:rsidRPr="005F475E" w:rsidRDefault="00811505"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0.49</w:t>
            </w:r>
          </w:p>
        </w:tc>
        <w:tc>
          <w:tcPr>
            <w:tcW w:w="851" w:type="dxa"/>
            <w:vAlign w:val="center"/>
          </w:tcPr>
          <w:p w:rsidR="00811505" w:rsidRPr="005F475E" w:rsidRDefault="00811505"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违约</w:t>
            </w:r>
          </w:p>
        </w:tc>
      </w:tr>
      <w:tr w:rsidR="002E58C4" w:rsidRPr="005F475E" w:rsidTr="0059208E">
        <w:trPr>
          <w:jc w:val="center"/>
        </w:trPr>
        <w:tc>
          <w:tcPr>
            <w:tcW w:w="3002"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15中信国安MTN001</w:t>
            </w:r>
          </w:p>
        </w:tc>
        <w:tc>
          <w:tcPr>
            <w:tcW w:w="4228"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中信国安集团股份有限公司</w:t>
            </w:r>
          </w:p>
        </w:tc>
        <w:tc>
          <w:tcPr>
            <w:tcW w:w="850"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0.30</w:t>
            </w:r>
          </w:p>
        </w:tc>
        <w:tc>
          <w:tcPr>
            <w:tcW w:w="851"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违约</w:t>
            </w:r>
          </w:p>
        </w:tc>
      </w:tr>
      <w:tr w:rsidR="002E58C4" w:rsidRPr="005F475E" w:rsidTr="0059208E">
        <w:trPr>
          <w:jc w:val="center"/>
        </w:trPr>
        <w:tc>
          <w:tcPr>
            <w:tcW w:w="3002"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15包商银行二级</w:t>
            </w:r>
          </w:p>
        </w:tc>
        <w:tc>
          <w:tcPr>
            <w:tcW w:w="4228" w:type="dxa"/>
            <w:tcBorders>
              <w:bottom w:val="single" w:sz="4" w:space="0" w:color="auto"/>
            </w:tcBorders>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包商银行股份有限公司</w:t>
            </w:r>
          </w:p>
        </w:tc>
        <w:tc>
          <w:tcPr>
            <w:tcW w:w="850" w:type="dxa"/>
            <w:vAlign w:val="center"/>
          </w:tcPr>
          <w:p w:rsidR="002E58C4" w:rsidRPr="005F475E" w:rsidRDefault="002E58C4" w:rsidP="0059208E">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1.00</w:t>
            </w:r>
          </w:p>
        </w:tc>
        <w:tc>
          <w:tcPr>
            <w:tcW w:w="851" w:type="dxa"/>
            <w:tcBorders>
              <w:bottom w:val="single" w:sz="4" w:space="0" w:color="auto"/>
            </w:tcBorders>
            <w:vAlign w:val="center"/>
          </w:tcPr>
          <w:p w:rsidR="002E58C4" w:rsidRPr="005F475E" w:rsidRDefault="00AF4612" w:rsidP="0059208E">
            <w:pPr>
              <w:adjustRightInd w:val="0"/>
              <w:snapToGrid w:val="0"/>
              <w:jc w:val="center"/>
              <w:rPr>
                <w:rFonts w:asciiTheme="minorEastAsia" w:hAnsiTheme="minorEastAsia" w:cs="Times New Roman"/>
                <w:sz w:val="28"/>
                <w:szCs w:val="28"/>
              </w:rPr>
            </w:pPr>
            <w:proofErr w:type="gramStart"/>
            <w:r w:rsidRPr="005F475E">
              <w:rPr>
                <w:rFonts w:asciiTheme="minorEastAsia" w:hAnsiTheme="minorEastAsia" w:cs="Times New Roman" w:hint="eastAsia"/>
                <w:sz w:val="28"/>
                <w:szCs w:val="28"/>
              </w:rPr>
              <w:t>减记</w:t>
            </w:r>
            <w:proofErr w:type="gramEnd"/>
          </w:p>
        </w:tc>
      </w:tr>
      <w:tr w:rsidR="002E58C4" w:rsidRPr="005F475E" w:rsidTr="0059208E">
        <w:trPr>
          <w:jc w:val="center"/>
        </w:trPr>
        <w:tc>
          <w:tcPr>
            <w:tcW w:w="3002" w:type="dxa"/>
            <w:tcBorders>
              <w:right w:val="nil"/>
            </w:tcBorders>
            <w:vAlign w:val="center"/>
          </w:tcPr>
          <w:p w:rsidR="002E58C4" w:rsidRPr="005F475E" w:rsidRDefault="002E58C4"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hint="eastAsia"/>
                <w:b/>
                <w:sz w:val="28"/>
                <w:szCs w:val="28"/>
              </w:rPr>
              <w:t>合计</w:t>
            </w:r>
          </w:p>
        </w:tc>
        <w:tc>
          <w:tcPr>
            <w:tcW w:w="4228" w:type="dxa"/>
            <w:tcBorders>
              <w:left w:val="nil"/>
              <w:right w:val="nil"/>
            </w:tcBorders>
            <w:vAlign w:val="center"/>
          </w:tcPr>
          <w:p w:rsidR="002E58C4" w:rsidRPr="005F475E" w:rsidRDefault="002E58C4" w:rsidP="0059208E">
            <w:pPr>
              <w:adjustRightInd w:val="0"/>
              <w:snapToGrid w:val="0"/>
              <w:jc w:val="center"/>
              <w:rPr>
                <w:rFonts w:asciiTheme="minorEastAsia" w:hAnsiTheme="minorEastAsia" w:cs="Times New Roman"/>
                <w:b/>
                <w:sz w:val="28"/>
                <w:szCs w:val="28"/>
              </w:rPr>
            </w:pPr>
          </w:p>
        </w:tc>
        <w:tc>
          <w:tcPr>
            <w:tcW w:w="850" w:type="dxa"/>
            <w:tcBorders>
              <w:left w:val="nil"/>
              <w:right w:val="nil"/>
            </w:tcBorders>
            <w:vAlign w:val="center"/>
          </w:tcPr>
          <w:p w:rsidR="002E58C4" w:rsidRPr="005F475E" w:rsidRDefault="00811505" w:rsidP="0059208E">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hint="eastAsia"/>
                <w:b/>
                <w:sz w:val="28"/>
                <w:szCs w:val="28"/>
              </w:rPr>
              <w:t>3.99</w:t>
            </w:r>
          </w:p>
        </w:tc>
        <w:tc>
          <w:tcPr>
            <w:tcW w:w="851" w:type="dxa"/>
            <w:tcBorders>
              <w:left w:val="nil"/>
            </w:tcBorders>
            <w:vAlign w:val="center"/>
          </w:tcPr>
          <w:p w:rsidR="002E58C4" w:rsidRPr="005F475E" w:rsidRDefault="002E58C4" w:rsidP="0059208E">
            <w:pPr>
              <w:adjustRightInd w:val="0"/>
              <w:snapToGrid w:val="0"/>
              <w:jc w:val="center"/>
              <w:rPr>
                <w:rFonts w:asciiTheme="minorEastAsia" w:hAnsiTheme="minorEastAsia" w:cs="Times New Roman"/>
                <w:b/>
                <w:sz w:val="28"/>
                <w:szCs w:val="28"/>
              </w:rPr>
            </w:pPr>
          </w:p>
        </w:tc>
      </w:tr>
    </w:tbl>
    <w:p w:rsidR="004411DA" w:rsidRPr="007672DA" w:rsidRDefault="004B5445" w:rsidP="007753CC">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三、</w:t>
      </w:r>
      <w:r w:rsidR="004411DA" w:rsidRPr="007672DA">
        <w:rPr>
          <w:rFonts w:ascii="仿宋_GB2312" w:eastAsia="仿宋_GB2312" w:hAnsi="Calibri" w:cs="Times New Roman" w:hint="eastAsia"/>
          <w:b/>
          <w:sz w:val="32"/>
          <w:szCs w:val="32"/>
        </w:rPr>
        <w:t>风险监测</w:t>
      </w:r>
    </w:p>
    <w:p w:rsidR="009E2131" w:rsidRPr="007672DA" w:rsidRDefault="009E2131" w:rsidP="009E2131">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lastRenderedPageBreak/>
        <w:t>（一）监测指标</w:t>
      </w:r>
    </w:p>
    <w:p w:rsidR="009E2131" w:rsidRPr="007672DA" w:rsidRDefault="009E2131" w:rsidP="009E2131">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1.</w:t>
      </w:r>
      <w:r w:rsidR="00E6221A" w:rsidRPr="007672DA">
        <w:rPr>
          <w:rFonts w:ascii="仿宋_GB2312" w:eastAsia="仿宋_GB2312" w:hAnsi="Calibri" w:cs="Times New Roman" w:hint="eastAsia"/>
          <w:b/>
          <w:sz w:val="32"/>
          <w:szCs w:val="32"/>
        </w:rPr>
        <w:t>非金融企业债券</w:t>
      </w:r>
      <w:r w:rsidRPr="007672DA">
        <w:rPr>
          <w:rFonts w:ascii="仿宋_GB2312" w:eastAsia="仿宋_GB2312" w:hAnsi="Calibri" w:cs="Times New Roman" w:hint="eastAsia"/>
          <w:b/>
          <w:sz w:val="32"/>
          <w:szCs w:val="32"/>
        </w:rPr>
        <w:t>主体集中度</w:t>
      </w:r>
    </w:p>
    <w:p w:rsidR="009E2131" w:rsidRPr="007672DA" w:rsidRDefault="009E2131" w:rsidP="009E2131">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（1）同业业务中心</w:t>
      </w:r>
    </w:p>
    <w:tbl>
      <w:tblPr>
        <w:tblStyle w:val="a3"/>
        <w:tblW w:w="8472" w:type="dxa"/>
        <w:jc w:val="center"/>
        <w:tblLayout w:type="fixed"/>
        <w:tblLook w:val="04A0" w:firstRow="1" w:lastRow="0" w:firstColumn="1" w:lastColumn="0" w:noHBand="0" w:noVBand="1"/>
      </w:tblPr>
      <w:tblGrid>
        <w:gridCol w:w="2660"/>
        <w:gridCol w:w="1417"/>
        <w:gridCol w:w="1418"/>
        <w:gridCol w:w="1701"/>
        <w:gridCol w:w="1276"/>
      </w:tblGrid>
      <w:tr w:rsidR="00BC6F6D" w:rsidRPr="007672DA" w:rsidTr="009822EF">
        <w:trPr>
          <w:trHeight w:val="270"/>
          <w:jc w:val="center"/>
        </w:trPr>
        <w:tc>
          <w:tcPr>
            <w:tcW w:w="4077" w:type="dxa"/>
            <w:gridSpan w:val="2"/>
            <w:tcBorders>
              <w:top w:val="nil"/>
              <w:left w:val="nil"/>
              <w:right w:val="nil"/>
            </w:tcBorders>
            <w:noWrap/>
            <w:hideMark/>
          </w:tcPr>
          <w:p w:rsidR="00BC6F6D" w:rsidRPr="007672DA" w:rsidRDefault="00BC6F6D" w:rsidP="00E97610">
            <w:pPr>
              <w:widowControl/>
              <w:jc w:val="left"/>
              <w:rPr>
                <w:rFonts w:ascii="仿宋" w:eastAsia="仿宋" w:hAnsi="仿宋" w:cs="宋体"/>
                <w:color w:val="000000"/>
                <w:kern w:val="0"/>
                <w:sz w:val="24"/>
                <w:szCs w:val="24"/>
              </w:rPr>
            </w:pPr>
            <w:r w:rsidRPr="007672DA">
              <w:rPr>
                <w:rFonts w:ascii="仿宋" w:eastAsia="仿宋" w:hAnsi="仿宋" w:cs="宋体" w:hint="eastAsia"/>
                <w:color w:val="000000"/>
                <w:kern w:val="0"/>
                <w:sz w:val="24"/>
                <w:szCs w:val="24"/>
              </w:rPr>
              <w:t>部门:同业业务中心</w:t>
            </w:r>
          </w:p>
        </w:tc>
        <w:tc>
          <w:tcPr>
            <w:tcW w:w="1418" w:type="dxa"/>
            <w:tcBorders>
              <w:top w:val="nil"/>
              <w:left w:val="nil"/>
              <w:right w:val="nil"/>
            </w:tcBorders>
            <w:noWrap/>
            <w:hideMark/>
          </w:tcPr>
          <w:p w:rsidR="00BC6F6D" w:rsidRPr="007672DA" w:rsidRDefault="00BC6F6D" w:rsidP="00E97610">
            <w:pPr>
              <w:widowControl/>
              <w:jc w:val="left"/>
              <w:rPr>
                <w:rFonts w:ascii="仿宋" w:eastAsia="仿宋" w:hAnsi="仿宋" w:cs="宋体"/>
                <w:color w:val="000000"/>
                <w:kern w:val="0"/>
                <w:sz w:val="24"/>
                <w:szCs w:val="24"/>
              </w:rPr>
            </w:pPr>
          </w:p>
        </w:tc>
        <w:tc>
          <w:tcPr>
            <w:tcW w:w="2977" w:type="dxa"/>
            <w:gridSpan w:val="2"/>
            <w:tcBorders>
              <w:top w:val="nil"/>
              <w:left w:val="nil"/>
              <w:right w:val="nil"/>
            </w:tcBorders>
            <w:noWrap/>
            <w:vAlign w:val="center"/>
            <w:hideMark/>
          </w:tcPr>
          <w:p w:rsidR="00BC6F6D" w:rsidRPr="007672DA" w:rsidRDefault="00BC6F6D" w:rsidP="00BC6F6D">
            <w:pPr>
              <w:widowControl/>
              <w:jc w:val="right"/>
              <w:rPr>
                <w:rFonts w:ascii="仿宋" w:eastAsia="仿宋" w:hAnsi="仿宋" w:cs="宋体"/>
                <w:color w:val="000000"/>
                <w:kern w:val="0"/>
                <w:sz w:val="24"/>
                <w:szCs w:val="24"/>
              </w:rPr>
            </w:pPr>
            <w:r w:rsidRPr="007672DA">
              <w:rPr>
                <w:rFonts w:ascii="仿宋" w:eastAsia="仿宋" w:hAnsi="仿宋" w:cs="宋体" w:hint="eastAsia"/>
                <w:color w:val="000000"/>
                <w:kern w:val="0"/>
                <w:sz w:val="24"/>
                <w:szCs w:val="24"/>
              </w:rPr>
              <w:t>单位：万元、笔</w:t>
            </w:r>
          </w:p>
        </w:tc>
      </w:tr>
      <w:tr w:rsidR="00BC6F6D" w:rsidRPr="007672DA" w:rsidTr="009822EF">
        <w:trPr>
          <w:trHeight w:val="270"/>
          <w:jc w:val="center"/>
        </w:trPr>
        <w:tc>
          <w:tcPr>
            <w:tcW w:w="2660" w:type="dxa"/>
            <w:noWrap/>
            <w:hideMark/>
          </w:tcPr>
          <w:p w:rsidR="00BC6F6D" w:rsidRPr="007672DA" w:rsidRDefault="00BC6F6D" w:rsidP="00E97610">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主体持仓金额区间</w:t>
            </w:r>
          </w:p>
        </w:tc>
        <w:tc>
          <w:tcPr>
            <w:tcW w:w="1417" w:type="dxa"/>
            <w:noWrap/>
            <w:hideMark/>
          </w:tcPr>
          <w:p w:rsidR="00BC6F6D" w:rsidRPr="007672DA" w:rsidRDefault="00BC6F6D" w:rsidP="00E97610">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主体数量</w:t>
            </w:r>
          </w:p>
        </w:tc>
        <w:tc>
          <w:tcPr>
            <w:tcW w:w="1418" w:type="dxa"/>
            <w:noWrap/>
            <w:hideMark/>
          </w:tcPr>
          <w:p w:rsidR="00BC6F6D" w:rsidRPr="007672DA" w:rsidRDefault="00BC6F6D" w:rsidP="00BC6F6D">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业务笔数</w:t>
            </w:r>
          </w:p>
        </w:tc>
        <w:tc>
          <w:tcPr>
            <w:tcW w:w="1701" w:type="dxa"/>
            <w:noWrap/>
            <w:hideMark/>
          </w:tcPr>
          <w:p w:rsidR="00BC6F6D" w:rsidRPr="007672DA" w:rsidRDefault="00BC6F6D" w:rsidP="00E97610">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业务余额</w:t>
            </w:r>
          </w:p>
        </w:tc>
        <w:tc>
          <w:tcPr>
            <w:tcW w:w="1276" w:type="dxa"/>
          </w:tcPr>
          <w:p w:rsidR="00BC6F6D" w:rsidRPr="007672DA" w:rsidRDefault="00BC6F6D" w:rsidP="00E97610">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占比</w:t>
            </w:r>
          </w:p>
        </w:tc>
      </w:tr>
      <w:tr w:rsidR="005F475E" w:rsidRPr="007672DA" w:rsidTr="001B5773">
        <w:trPr>
          <w:trHeight w:val="270"/>
          <w:jc w:val="center"/>
        </w:trPr>
        <w:tc>
          <w:tcPr>
            <w:tcW w:w="2660" w:type="dxa"/>
            <w:noWrap/>
            <w:hideMark/>
          </w:tcPr>
          <w:p w:rsidR="005F475E" w:rsidRPr="007672DA" w:rsidRDefault="005F475E" w:rsidP="00532F96">
            <w:pPr>
              <w:widowControl/>
              <w:adjustRightInd w:val="0"/>
              <w:snapToGrid w:val="0"/>
              <w:jc w:val="center"/>
              <w:rPr>
                <w:rFonts w:ascii="宋体" w:eastAsia="宋体" w:hAnsi="宋体" w:cs="宋体"/>
                <w:color w:val="000000"/>
                <w:kern w:val="0"/>
                <w:sz w:val="28"/>
                <w:szCs w:val="28"/>
              </w:rPr>
            </w:pPr>
            <w:r w:rsidRPr="007672DA">
              <w:rPr>
                <w:rFonts w:ascii="宋体" w:eastAsia="宋体" w:hAnsi="宋体" w:cs="宋体" w:hint="eastAsia"/>
                <w:color w:val="000000"/>
                <w:kern w:val="0"/>
                <w:sz w:val="28"/>
                <w:szCs w:val="28"/>
              </w:rPr>
              <w:t>低于5</w:t>
            </w:r>
            <w:proofErr w:type="gramStart"/>
            <w:r w:rsidRPr="007672DA">
              <w:rPr>
                <w:rFonts w:ascii="宋体" w:eastAsia="宋体" w:hAnsi="宋体" w:cs="宋体" w:hint="eastAsia"/>
                <w:color w:val="000000"/>
                <w:kern w:val="0"/>
                <w:sz w:val="28"/>
                <w:szCs w:val="28"/>
              </w:rPr>
              <w:t>千万</w:t>
            </w:r>
            <w:proofErr w:type="gramEnd"/>
            <w:r w:rsidRPr="007672DA">
              <w:rPr>
                <w:rFonts w:ascii="宋体" w:eastAsia="宋体" w:hAnsi="宋体" w:cs="宋体" w:hint="eastAsia"/>
                <w:color w:val="000000"/>
                <w:kern w:val="0"/>
                <w:sz w:val="28"/>
                <w:szCs w:val="28"/>
              </w:rPr>
              <w:t>（含）</w:t>
            </w:r>
          </w:p>
        </w:tc>
        <w:tc>
          <w:tcPr>
            <w:tcW w:w="1417"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71</w:t>
            </w:r>
          </w:p>
        </w:tc>
        <w:tc>
          <w:tcPr>
            <w:tcW w:w="1418"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72</w:t>
            </w:r>
          </w:p>
        </w:tc>
        <w:tc>
          <w:tcPr>
            <w:tcW w:w="1701"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255,927.04</w:t>
            </w:r>
          </w:p>
        </w:tc>
        <w:tc>
          <w:tcPr>
            <w:tcW w:w="1276" w:type="dxa"/>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30.36%</w:t>
            </w:r>
          </w:p>
        </w:tc>
      </w:tr>
      <w:tr w:rsidR="005F475E" w:rsidRPr="007672DA" w:rsidTr="001B5773">
        <w:trPr>
          <w:trHeight w:val="270"/>
          <w:jc w:val="center"/>
        </w:trPr>
        <w:tc>
          <w:tcPr>
            <w:tcW w:w="2660" w:type="dxa"/>
            <w:noWrap/>
            <w:hideMark/>
          </w:tcPr>
          <w:p w:rsidR="005F475E" w:rsidRPr="007672DA" w:rsidRDefault="005F475E" w:rsidP="00532F96">
            <w:pPr>
              <w:widowControl/>
              <w:adjustRightInd w:val="0"/>
              <w:snapToGrid w:val="0"/>
              <w:jc w:val="center"/>
              <w:rPr>
                <w:rFonts w:ascii="宋体" w:eastAsia="宋体" w:hAnsi="宋体" w:cs="宋体"/>
                <w:color w:val="000000"/>
                <w:kern w:val="0"/>
                <w:sz w:val="28"/>
                <w:szCs w:val="28"/>
              </w:rPr>
            </w:pPr>
            <w:r w:rsidRPr="007672DA">
              <w:rPr>
                <w:rFonts w:ascii="宋体" w:eastAsia="宋体" w:hAnsi="宋体" w:cs="宋体" w:hint="eastAsia"/>
                <w:color w:val="000000"/>
                <w:kern w:val="0"/>
                <w:sz w:val="28"/>
                <w:szCs w:val="28"/>
              </w:rPr>
              <w:t>5</w:t>
            </w:r>
            <w:proofErr w:type="gramStart"/>
            <w:r w:rsidRPr="007672DA">
              <w:rPr>
                <w:rFonts w:ascii="宋体" w:eastAsia="宋体" w:hAnsi="宋体" w:cs="宋体" w:hint="eastAsia"/>
                <w:color w:val="000000"/>
                <w:kern w:val="0"/>
                <w:sz w:val="28"/>
                <w:szCs w:val="28"/>
              </w:rPr>
              <w:t>千万</w:t>
            </w:r>
            <w:proofErr w:type="gramEnd"/>
            <w:r w:rsidRPr="007672DA">
              <w:rPr>
                <w:rFonts w:ascii="宋体" w:eastAsia="宋体" w:hAnsi="宋体" w:cs="宋体" w:hint="eastAsia"/>
                <w:color w:val="000000"/>
                <w:kern w:val="0"/>
                <w:sz w:val="28"/>
                <w:szCs w:val="28"/>
              </w:rPr>
              <w:t>至1亿（含）</w:t>
            </w:r>
          </w:p>
        </w:tc>
        <w:tc>
          <w:tcPr>
            <w:tcW w:w="1417"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49</w:t>
            </w:r>
          </w:p>
        </w:tc>
        <w:tc>
          <w:tcPr>
            <w:tcW w:w="1418"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57</w:t>
            </w:r>
          </w:p>
        </w:tc>
        <w:tc>
          <w:tcPr>
            <w:tcW w:w="1701"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353,340.13</w:t>
            </w:r>
          </w:p>
        </w:tc>
        <w:tc>
          <w:tcPr>
            <w:tcW w:w="1276" w:type="dxa"/>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41.91%</w:t>
            </w:r>
          </w:p>
        </w:tc>
      </w:tr>
      <w:tr w:rsidR="005F475E" w:rsidRPr="007672DA" w:rsidTr="001B5773">
        <w:trPr>
          <w:trHeight w:val="270"/>
          <w:jc w:val="center"/>
        </w:trPr>
        <w:tc>
          <w:tcPr>
            <w:tcW w:w="2660" w:type="dxa"/>
            <w:noWrap/>
            <w:hideMark/>
          </w:tcPr>
          <w:p w:rsidR="005F475E" w:rsidRPr="007672DA" w:rsidRDefault="005F475E" w:rsidP="00E97610">
            <w:pPr>
              <w:widowControl/>
              <w:adjustRightInd w:val="0"/>
              <w:snapToGrid w:val="0"/>
              <w:jc w:val="center"/>
              <w:rPr>
                <w:rFonts w:ascii="宋体" w:eastAsia="宋体" w:hAnsi="宋体" w:cs="宋体"/>
                <w:color w:val="000000"/>
                <w:kern w:val="0"/>
                <w:sz w:val="28"/>
                <w:szCs w:val="28"/>
              </w:rPr>
            </w:pPr>
            <w:r w:rsidRPr="007672DA">
              <w:rPr>
                <w:rFonts w:ascii="宋体" w:eastAsia="宋体" w:hAnsi="宋体" w:cs="宋体" w:hint="eastAsia"/>
                <w:color w:val="000000"/>
                <w:kern w:val="0"/>
                <w:sz w:val="28"/>
                <w:szCs w:val="28"/>
              </w:rPr>
              <w:t>1亿至2亿（含）</w:t>
            </w:r>
          </w:p>
        </w:tc>
        <w:tc>
          <w:tcPr>
            <w:tcW w:w="1417"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17</w:t>
            </w:r>
          </w:p>
        </w:tc>
        <w:tc>
          <w:tcPr>
            <w:tcW w:w="1418"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27</w:t>
            </w:r>
          </w:p>
        </w:tc>
        <w:tc>
          <w:tcPr>
            <w:tcW w:w="1701"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233,789.36</w:t>
            </w:r>
          </w:p>
        </w:tc>
        <w:tc>
          <w:tcPr>
            <w:tcW w:w="1276" w:type="dxa"/>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27.73%</w:t>
            </w:r>
          </w:p>
        </w:tc>
      </w:tr>
      <w:tr w:rsidR="005F475E" w:rsidRPr="007672DA" w:rsidTr="001B5773">
        <w:trPr>
          <w:trHeight w:val="270"/>
          <w:jc w:val="center"/>
        </w:trPr>
        <w:tc>
          <w:tcPr>
            <w:tcW w:w="2660" w:type="dxa"/>
            <w:noWrap/>
            <w:hideMark/>
          </w:tcPr>
          <w:p w:rsidR="005F475E" w:rsidRPr="007672DA" w:rsidRDefault="005F475E" w:rsidP="00E97610">
            <w:pPr>
              <w:widowControl/>
              <w:adjustRightInd w:val="0"/>
              <w:snapToGrid w:val="0"/>
              <w:jc w:val="center"/>
              <w:rPr>
                <w:rFonts w:ascii="宋体" w:eastAsia="宋体" w:hAnsi="宋体" w:cs="宋体"/>
                <w:color w:val="000000"/>
                <w:kern w:val="0"/>
                <w:sz w:val="28"/>
                <w:szCs w:val="28"/>
              </w:rPr>
            </w:pPr>
            <w:r w:rsidRPr="007672DA">
              <w:rPr>
                <w:rFonts w:ascii="宋体" w:eastAsia="宋体" w:hAnsi="宋体" w:cs="宋体" w:hint="eastAsia"/>
                <w:color w:val="000000"/>
                <w:kern w:val="0"/>
                <w:sz w:val="28"/>
                <w:szCs w:val="28"/>
              </w:rPr>
              <w:t>超过2亿</w:t>
            </w:r>
          </w:p>
        </w:tc>
        <w:tc>
          <w:tcPr>
            <w:tcW w:w="1417"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w:t>
            </w:r>
          </w:p>
        </w:tc>
        <w:tc>
          <w:tcPr>
            <w:tcW w:w="1418"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w:t>
            </w:r>
          </w:p>
        </w:tc>
        <w:tc>
          <w:tcPr>
            <w:tcW w:w="1701"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0.00</w:t>
            </w:r>
          </w:p>
        </w:tc>
        <w:tc>
          <w:tcPr>
            <w:tcW w:w="1276" w:type="dxa"/>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0.00%</w:t>
            </w:r>
          </w:p>
        </w:tc>
      </w:tr>
      <w:tr w:rsidR="005F475E" w:rsidRPr="007672DA" w:rsidTr="001B5773">
        <w:trPr>
          <w:trHeight w:val="270"/>
          <w:jc w:val="center"/>
        </w:trPr>
        <w:tc>
          <w:tcPr>
            <w:tcW w:w="2660" w:type="dxa"/>
            <w:tcBorders>
              <w:bottom w:val="single" w:sz="4" w:space="0" w:color="auto"/>
            </w:tcBorders>
            <w:noWrap/>
            <w:hideMark/>
          </w:tcPr>
          <w:p w:rsidR="005F475E" w:rsidRPr="007672DA" w:rsidRDefault="005F475E" w:rsidP="00E97610">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合计</w:t>
            </w:r>
          </w:p>
        </w:tc>
        <w:tc>
          <w:tcPr>
            <w:tcW w:w="1417" w:type="dxa"/>
            <w:tcBorders>
              <w:bottom w:val="single" w:sz="4" w:space="0" w:color="auto"/>
            </w:tcBorders>
            <w:noWrap/>
            <w:vAlign w:val="center"/>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137</w:t>
            </w:r>
          </w:p>
        </w:tc>
        <w:tc>
          <w:tcPr>
            <w:tcW w:w="1418" w:type="dxa"/>
            <w:tcBorders>
              <w:bottom w:val="single" w:sz="4" w:space="0" w:color="auto"/>
            </w:tcBorders>
            <w:noWrap/>
            <w:vAlign w:val="center"/>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156</w:t>
            </w:r>
          </w:p>
        </w:tc>
        <w:tc>
          <w:tcPr>
            <w:tcW w:w="1701" w:type="dxa"/>
            <w:tcBorders>
              <w:bottom w:val="single" w:sz="4" w:space="0" w:color="auto"/>
            </w:tcBorders>
            <w:noWrap/>
            <w:vAlign w:val="center"/>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843,056.53</w:t>
            </w:r>
          </w:p>
        </w:tc>
        <w:tc>
          <w:tcPr>
            <w:tcW w:w="1276" w:type="dxa"/>
            <w:tcBorders>
              <w:bottom w:val="single" w:sz="4" w:space="0" w:color="auto"/>
            </w:tcBorders>
            <w:vAlign w:val="center"/>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100.00%</w:t>
            </w:r>
          </w:p>
        </w:tc>
      </w:tr>
      <w:tr w:rsidR="00360535" w:rsidRPr="007672DA" w:rsidTr="00360535">
        <w:trPr>
          <w:trHeight w:val="270"/>
          <w:jc w:val="center"/>
        </w:trPr>
        <w:tc>
          <w:tcPr>
            <w:tcW w:w="8472" w:type="dxa"/>
            <w:gridSpan w:val="5"/>
            <w:tcBorders>
              <w:left w:val="nil"/>
              <w:bottom w:val="nil"/>
              <w:right w:val="nil"/>
            </w:tcBorders>
            <w:noWrap/>
            <w:vAlign w:val="center"/>
            <w:hideMark/>
          </w:tcPr>
          <w:p w:rsidR="00360535" w:rsidRPr="007672DA" w:rsidRDefault="00360535" w:rsidP="00360535">
            <w:pPr>
              <w:widowControl/>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数据来源：COMSTAR系统</w:t>
            </w:r>
            <w:r w:rsidR="0022695A" w:rsidRPr="007672DA">
              <w:rPr>
                <w:rFonts w:ascii="仿宋" w:eastAsia="仿宋" w:hAnsi="仿宋" w:cs="宋体" w:hint="eastAsia"/>
                <w:color w:val="000000"/>
                <w:kern w:val="0"/>
                <w:sz w:val="24"/>
                <w:szCs w:val="28"/>
              </w:rPr>
              <w:t>、</w:t>
            </w:r>
            <w:r w:rsidR="0022695A" w:rsidRPr="007672DA">
              <w:rPr>
                <w:rFonts w:ascii="仿宋" w:eastAsia="仿宋" w:hAnsi="仿宋" w:cs="宋体" w:hint="eastAsia"/>
                <w:color w:val="000000"/>
                <w:kern w:val="0"/>
                <w:sz w:val="24"/>
                <w:szCs w:val="24"/>
              </w:rPr>
              <w:t>资金业务管理系统，尚未</w:t>
            </w:r>
            <w:proofErr w:type="gramStart"/>
            <w:r w:rsidR="0022695A" w:rsidRPr="007672DA">
              <w:rPr>
                <w:rFonts w:ascii="仿宋" w:eastAsia="仿宋" w:hAnsi="仿宋" w:cs="宋体" w:hint="eastAsia"/>
                <w:color w:val="000000"/>
                <w:kern w:val="0"/>
                <w:sz w:val="24"/>
                <w:szCs w:val="24"/>
              </w:rPr>
              <w:t>涵盖省联社</w:t>
            </w:r>
            <w:proofErr w:type="gramEnd"/>
            <w:r w:rsidR="0022695A" w:rsidRPr="007672DA">
              <w:rPr>
                <w:rFonts w:ascii="仿宋" w:eastAsia="仿宋" w:hAnsi="仿宋" w:cs="宋体" w:hint="eastAsia"/>
                <w:color w:val="000000"/>
                <w:kern w:val="0"/>
                <w:sz w:val="24"/>
                <w:szCs w:val="24"/>
              </w:rPr>
              <w:t>资金统一平台</w:t>
            </w:r>
          </w:p>
          <w:p w:rsidR="00360535" w:rsidRPr="007672DA" w:rsidRDefault="00360535" w:rsidP="00360535">
            <w:pPr>
              <w:widowControl/>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备注：覆盖同业线下、同业线上，以及</w:t>
            </w:r>
            <w:proofErr w:type="gramStart"/>
            <w:r w:rsidRPr="007672DA">
              <w:rPr>
                <w:rFonts w:ascii="仿宋" w:eastAsia="仿宋" w:hAnsi="仿宋" w:cs="宋体" w:hint="eastAsia"/>
                <w:color w:val="000000"/>
                <w:kern w:val="0"/>
                <w:sz w:val="24"/>
                <w:szCs w:val="28"/>
              </w:rPr>
              <w:t>债基项</w:t>
            </w:r>
            <w:proofErr w:type="gramEnd"/>
            <w:r w:rsidRPr="007672DA">
              <w:rPr>
                <w:rFonts w:ascii="仿宋" w:eastAsia="仿宋" w:hAnsi="仿宋" w:cs="宋体" w:hint="eastAsia"/>
                <w:color w:val="000000"/>
                <w:kern w:val="0"/>
                <w:sz w:val="24"/>
                <w:szCs w:val="28"/>
              </w:rPr>
              <w:t>下非金融企业债券投资</w:t>
            </w:r>
          </w:p>
        </w:tc>
      </w:tr>
    </w:tbl>
    <w:p w:rsidR="00964915" w:rsidRPr="007672DA" w:rsidRDefault="00964915" w:rsidP="00C41E9D">
      <w:pPr>
        <w:spacing w:line="560" w:lineRule="exact"/>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其中，前十大发行主体明细：</w:t>
      </w:r>
    </w:p>
    <w:tbl>
      <w:tblPr>
        <w:tblStyle w:val="a3"/>
        <w:tblW w:w="5249" w:type="pct"/>
        <w:jc w:val="center"/>
        <w:tblInd w:w="-1026" w:type="dxa"/>
        <w:tblLayout w:type="fixed"/>
        <w:tblLook w:val="04A0" w:firstRow="1" w:lastRow="0" w:firstColumn="1" w:lastColumn="0" w:noHBand="0" w:noVBand="1"/>
      </w:tblPr>
      <w:tblGrid>
        <w:gridCol w:w="6197"/>
        <w:gridCol w:w="1786"/>
        <w:gridCol w:w="963"/>
      </w:tblGrid>
      <w:tr w:rsidR="00964915" w:rsidRPr="007672DA" w:rsidTr="0016337A">
        <w:trPr>
          <w:trHeight w:val="270"/>
          <w:jc w:val="center"/>
        </w:trPr>
        <w:tc>
          <w:tcPr>
            <w:tcW w:w="3464" w:type="pct"/>
            <w:tcBorders>
              <w:top w:val="nil"/>
              <w:left w:val="nil"/>
              <w:right w:val="nil"/>
            </w:tcBorders>
            <w:noWrap/>
            <w:vAlign w:val="center"/>
          </w:tcPr>
          <w:p w:rsidR="00964915" w:rsidRPr="007672DA" w:rsidRDefault="00964915" w:rsidP="00964915">
            <w:pPr>
              <w:widowControl/>
              <w:adjustRightInd w:val="0"/>
              <w:snapToGrid w:val="0"/>
              <w:rPr>
                <w:rFonts w:ascii="宋体" w:eastAsia="宋体" w:hAnsi="宋体" w:cs="宋体"/>
                <w:b/>
                <w:color w:val="000000"/>
                <w:kern w:val="0"/>
                <w:sz w:val="28"/>
                <w:szCs w:val="28"/>
              </w:rPr>
            </w:pPr>
            <w:r w:rsidRPr="007672DA">
              <w:rPr>
                <w:rFonts w:ascii="仿宋" w:eastAsia="仿宋" w:hAnsi="仿宋" w:cs="宋体" w:hint="eastAsia"/>
                <w:color w:val="000000"/>
                <w:kern w:val="0"/>
                <w:sz w:val="24"/>
                <w:szCs w:val="24"/>
              </w:rPr>
              <w:t>部门:同业业务中心</w:t>
            </w:r>
          </w:p>
        </w:tc>
        <w:tc>
          <w:tcPr>
            <w:tcW w:w="1536" w:type="pct"/>
            <w:gridSpan w:val="2"/>
            <w:tcBorders>
              <w:top w:val="nil"/>
              <w:left w:val="nil"/>
              <w:right w:val="nil"/>
            </w:tcBorders>
            <w:noWrap/>
            <w:vAlign w:val="center"/>
          </w:tcPr>
          <w:p w:rsidR="00964915" w:rsidRPr="007672DA" w:rsidRDefault="00964915" w:rsidP="00964915">
            <w:pPr>
              <w:widowControl/>
              <w:adjustRightInd w:val="0"/>
              <w:snapToGrid w:val="0"/>
              <w:jc w:val="right"/>
              <w:rPr>
                <w:rFonts w:ascii="宋体" w:eastAsia="宋体" w:hAnsi="宋体" w:cs="宋体"/>
                <w:b/>
                <w:color w:val="000000"/>
                <w:kern w:val="0"/>
                <w:sz w:val="28"/>
                <w:szCs w:val="28"/>
              </w:rPr>
            </w:pPr>
            <w:r w:rsidRPr="007672DA">
              <w:rPr>
                <w:rFonts w:ascii="仿宋" w:eastAsia="仿宋" w:hAnsi="仿宋" w:cs="宋体" w:hint="eastAsia"/>
                <w:color w:val="000000"/>
                <w:kern w:val="0"/>
                <w:sz w:val="24"/>
                <w:szCs w:val="24"/>
              </w:rPr>
              <w:t>单位：万元、笔</w:t>
            </w:r>
          </w:p>
        </w:tc>
      </w:tr>
      <w:tr w:rsidR="00C41E9D" w:rsidRPr="007672DA" w:rsidTr="0016337A">
        <w:trPr>
          <w:trHeight w:val="270"/>
          <w:jc w:val="center"/>
        </w:trPr>
        <w:tc>
          <w:tcPr>
            <w:tcW w:w="3464" w:type="pct"/>
            <w:noWrap/>
            <w:hideMark/>
          </w:tcPr>
          <w:p w:rsidR="00964915" w:rsidRPr="007672DA" w:rsidRDefault="00964915" w:rsidP="00964915">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发行主体</w:t>
            </w:r>
          </w:p>
        </w:tc>
        <w:tc>
          <w:tcPr>
            <w:tcW w:w="998" w:type="pct"/>
            <w:noWrap/>
            <w:hideMark/>
          </w:tcPr>
          <w:p w:rsidR="00964915" w:rsidRPr="007672DA" w:rsidRDefault="00964915" w:rsidP="00964915">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业务余额</w:t>
            </w:r>
          </w:p>
        </w:tc>
        <w:tc>
          <w:tcPr>
            <w:tcW w:w="538" w:type="pct"/>
            <w:noWrap/>
            <w:hideMark/>
          </w:tcPr>
          <w:p w:rsidR="00964915" w:rsidRPr="007672DA" w:rsidRDefault="00964915" w:rsidP="00964915">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笔数</w:t>
            </w:r>
          </w:p>
        </w:tc>
      </w:tr>
      <w:tr w:rsidR="005F475E" w:rsidRPr="007672DA" w:rsidTr="0016337A">
        <w:trPr>
          <w:trHeight w:val="270"/>
          <w:jc w:val="center"/>
        </w:trPr>
        <w:tc>
          <w:tcPr>
            <w:tcW w:w="3464"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盐城市城市建设投资集团有限公司</w:t>
            </w:r>
          </w:p>
        </w:tc>
        <w:tc>
          <w:tcPr>
            <w:tcW w:w="99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20,000.00</w:t>
            </w:r>
          </w:p>
        </w:tc>
        <w:tc>
          <w:tcPr>
            <w:tcW w:w="53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w:t>
            </w:r>
          </w:p>
        </w:tc>
      </w:tr>
      <w:tr w:rsidR="005F475E" w:rsidRPr="007672DA" w:rsidTr="0016337A">
        <w:trPr>
          <w:trHeight w:val="270"/>
          <w:jc w:val="center"/>
        </w:trPr>
        <w:tc>
          <w:tcPr>
            <w:tcW w:w="3464"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成都高新投资集团有限公司（美元债）</w:t>
            </w:r>
          </w:p>
        </w:tc>
        <w:tc>
          <w:tcPr>
            <w:tcW w:w="99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19,903.23</w:t>
            </w:r>
          </w:p>
        </w:tc>
        <w:tc>
          <w:tcPr>
            <w:tcW w:w="53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w:t>
            </w:r>
          </w:p>
        </w:tc>
      </w:tr>
      <w:tr w:rsidR="005F475E" w:rsidRPr="007672DA" w:rsidTr="0016337A">
        <w:trPr>
          <w:trHeight w:val="270"/>
          <w:jc w:val="center"/>
        </w:trPr>
        <w:tc>
          <w:tcPr>
            <w:tcW w:w="3464"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泸州市工业投资集团有限公司</w:t>
            </w:r>
          </w:p>
        </w:tc>
        <w:tc>
          <w:tcPr>
            <w:tcW w:w="99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15,963.46</w:t>
            </w:r>
          </w:p>
        </w:tc>
        <w:tc>
          <w:tcPr>
            <w:tcW w:w="53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w:t>
            </w:r>
          </w:p>
        </w:tc>
      </w:tr>
      <w:tr w:rsidR="005F475E" w:rsidRPr="007672DA" w:rsidTr="0016337A">
        <w:trPr>
          <w:trHeight w:val="270"/>
          <w:jc w:val="center"/>
        </w:trPr>
        <w:tc>
          <w:tcPr>
            <w:tcW w:w="3464"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常州市城市建设(集团)有限公司</w:t>
            </w:r>
          </w:p>
        </w:tc>
        <w:tc>
          <w:tcPr>
            <w:tcW w:w="99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15,126.35</w:t>
            </w:r>
          </w:p>
        </w:tc>
        <w:tc>
          <w:tcPr>
            <w:tcW w:w="53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w:t>
            </w:r>
          </w:p>
        </w:tc>
      </w:tr>
      <w:tr w:rsidR="005F475E" w:rsidRPr="007672DA" w:rsidTr="0016337A">
        <w:trPr>
          <w:trHeight w:val="270"/>
          <w:jc w:val="center"/>
        </w:trPr>
        <w:tc>
          <w:tcPr>
            <w:tcW w:w="3464"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北京未来科学城发展集团有限公司</w:t>
            </w:r>
          </w:p>
        </w:tc>
        <w:tc>
          <w:tcPr>
            <w:tcW w:w="99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15,118.43</w:t>
            </w:r>
          </w:p>
        </w:tc>
        <w:tc>
          <w:tcPr>
            <w:tcW w:w="53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w:t>
            </w:r>
          </w:p>
        </w:tc>
      </w:tr>
      <w:tr w:rsidR="005F475E" w:rsidRPr="007672DA" w:rsidTr="0016337A">
        <w:trPr>
          <w:trHeight w:val="270"/>
          <w:jc w:val="center"/>
        </w:trPr>
        <w:tc>
          <w:tcPr>
            <w:tcW w:w="3464"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杭州市运河综合保护开发建设集团有限责任公司</w:t>
            </w:r>
          </w:p>
        </w:tc>
        <w:tc>
          <w:tcPr>
            <w:tcW w:w="99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15,100.41</w:t>
            </w:r>
          </w:p>
        </w:tc>
        <w:tc>
          <w:tcPr>
            <w:tcW w:w="53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w:t>
            </w:r>
          </w:p>
        </w:tc>
      </w:tr>
      <w:tr w:rsidR="005F475E" w:rsidRPr="007672DA" w:rsidTr="0016337A">
        <w:trPr>
          <w:trHeight w:val="270"/>
          <w:jc w:val="center"/>
        </w:trPr>
        <w:tc>
          <w:tcPr>
            <w:tcW w:w="3464"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广州地铁集团有限公司</w:t>
            </w:r>
          </w:p>
        </w:tc>
        <w:tc>
          <w:tcPr>
            <w:tcW w:w="99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15,087.73</w:t>
            </w:r>
          </w:p>
        </w:tc>
        <w:tc>
          <w:tcPr>
            <w:tcW w:w="53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w:t>
            </w:r>
          </w:p>
        </w:tc>
      </w:tr>
      <w:tr w:rsidR="005F475E" w:rsidRPr="007672DA" w:rsidTr="0016337A">
        <w:trPr>
          <w:trHeight w:val="270"/>
          <w:jc w:val="center"/>
        </w:trPr>
        <w:tc>
          <w:tcPr>
            <w:tcW w:w="3464"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盐城市交通控股集团有限公司</w:t>
            </w:r>
          </w:p>
        </w:tc>
        <w:tc>
          <w:tcPr>
            <w:tcW w:w="99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15,000.00</w:t>
            </w:r>
          </w:p>
        </w:tc>
        <w:tc>
          <w:tcPr>
            <w:tcW w:w="53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w:t>
            </w:r>
          </w:p>
        </w:tc>
      </w:tr>
      <w:tr w:rsidR="005F475E" w:rsidRPr="007672DA" w:rsidTr="0016337A">
        <w:trPr>
          <w:trHeight w:val="270"/>
          <w:jc w:val="center"/>
        </w:trPr>
        <w:tc>
          <w:tcPr>
            <w:tcW w:w="3464"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郴州市</w:t>
            </w:r>
            <w:proofErr w:type="gramStart"/>
            <w:r w:rsidRPr="007672DA">
              <w:rPr>
                <w:rFonts w:asciiTheme="minorEastAsia" w:hAnsiTheme="minorEastAsia" w:cs="Times New Roman" w:hint="eastAsia"/>
                <w:sz w:val="28"/>
                <w:szCs w:val="28"/>
              </w:rPr>
              <w:t>文旅产业</w:t>
            </w:r>
            <w:proofErr w:type="gramEnd"/>
            <w:r w:rsidRPr="007672DA">
              <w:rPr>
                <w:rFonts w:asciiTheme="minorEastAsia" w:hAnsiTheme="minorEastAsia" w:cs="Times New Roman" w:hint="eastAsia"/>
                <w:sz w:val="28"/>
                <w:szCs w:val="28"/>
              </w:rPr>
              <w:t>有限公司</w:t>
            </w:r>
          </w:p>
        </w:tc>
        <w:tc>
          <w:tcPr>
            <w:tcW w:w="99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13,929.84</w:t>
            </w:r>
          </w:p>
        </w:tc>
        <w:tc>
          <w:tcPr>
            <w:tcW w:w="53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w:t>
            </w:r>
          </w:p>
        </w:tc>
      </w:tr>
      <w:tr w:rsidR="005F475E" w:rsidRPr="007672DA" w:rsidTr="0016337A">
        <w:trPr>
          <w:trHeight w:val="270"/>
          <w:jc w:val="center"/>
        </w:trPr>
        <w:tc>
          <w:tcPr>
            <w:tcW w:w="3464"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宁乡市城市建设投资集团有限公司</w:t>
            </w:r>
          </w:p>
        </w:tc>
        <w:tc>
          <w:tcPr>
            <w:tcW w:w="998"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13,215.60</w:t>
            </w:r>
          </w:p>
        </w:tc>
        <w:tc>
          <w:tcPr>
            <w:tcW w:w="538"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w:t>
            </w:r>
          </w:p>
        </w:tc>
      </w:tr>
      <w:tr w:rsidR="00964915" w:rsidRPr="007672DA" w:rsidTr="0016337A">
        <w:trPr>
          <w:trHeight w:val="270"/>
          <w:jc w:val="center"/>
        </w:trPr>
        <w:tc>
          <w:tcPr>
            <w:tcW w:w="5000" w:type="pct"/>
            <w:gridSpan w:val="3"/>
            <w:tcBorders>
              <w:left w:val="nil"/>
              <w:bottom w:val="nil"/>
              <w:right w:val="nil"/>
            </w:tcBorders>
            <w:noWrap/>
            <w:vAlign w:val="center"/>
          </w:tcPr>
          <w:p w:rsidR="00964915" w:rsidRPr="007672DA" w:rsidRDefault="00964915" w:rsidP="0022695A">
            <w:pPr>
              <w:widowControl/>
              <w:adjustRightInd w:val="0"/>
              <w:snapToGrid w:val="0"/>
              <w:jc w:val="left"/>
              <w:rPr>
                <w:rFonts w:ascii="宋体" w:eastAsia="宋体" w:hAnsi="宋体" w:cs="宋体"/>
                <w:color w:val="000000"/>
                <w:kern w:val="0"/>
                <w:sz w:val="28"/>
                <w:szCs w:val="28"/>
              </w:rPr>
            </w:pPr>
            <w:r w:rsidRPr="007672DA">
              <w:rPr>
                <w:rFonts w:ascii="仿宋" w:eastAsia="仿宋" w:hAnsi="仿宋" w:cs="宋体" w:hint="eastAsia"/>
                <w:color w:val="000000"/>
                <w:kern w:val="0"/>
                <w:sz w:val="24"/>
                <w:szCs w:val="28"/>
              </w:rPr>
              <w:t>数据来源：COMSTAR系统</w:t>
            </w:r>
            <w:r w:rsidR="0022695A" w:rsidRPr="007672DA">
              <w:rPr>
                <w:rFonts w:ascii="仿宋" w:eastAsia="仿宋" w:hAnsi="仿宋" w:cs="宋体" w:hint="eastAsia"/>
                <w:color w:val="000000"/>
                <w:kern w:val="0"/>
                <w:sz w:val="24"/>
                <w:szCs w:val="28"/>
              </w:rPr>
              <w:t>、</w:t>
            </w:r>
            <w:r w:rsidR="0022695A" w:rsidRPr="007672DA">
              <w:rPr>
                <w:rFonts w:ascii="仿宋" w:eastAsia="仿宋" w:hAnsi="仿宋" w:cs="宋体" w:hint="eastAsia"/>
                <w:color w:val="000000"/>
                <w:kern w:val="0"/>
                <w:sz w:val="24"/>
                <w:szCs w:val="24"/>
              </w:rPr>
              <w:t>资金业务管理系统，尚未</w:t>
            </w:r>
            <w:proofErr w:type="gramStart"/>
            <w:r w:rsidR="0022695A" w:rsidRPr="007672DA">
              <w:rPr>
                <w:rFonts w:ascii="仿宋" w:eastAsia="仿宋" w:hAnsi="仿宋" w:cs="宋体" w:hint="eastAsia"/>
                <w:color w:val="000000"/>
                <w:kern w:val="0"/>
                <w:sz w:val="24"/>
                <w:szCs w:val="24"/>
              </w:rPr>
              <w:t>涵盖省联社</w:t>
            </w:r>
            <w:proofErr w:type="gramEnd"/>
            <w:r w:rsidR="0022695A" w:rsidRPr="007672DA">
              <w:rPr>
                <w:rFonts w:ascii="仿宋" w:eastAsia="仿宋" w:hAnsi="仿宋" w:cs="宋体" w:hint="eastAsia"/>
                <w:color w:val="000000"/>
                <w:kern w:val="0"/>
                <w:sz w:val="24"/>
                <w:szCs w:val="24"/>
              </w:rPr>
              <w:t>资金统一平台数据</w:t>
            </w:r>
          </w:p>
        </w:tc>
      </w:tr>
      <w:tr w:rsidR="00964915" w:rsidRPr="007672DA" w:rsidTr="0016337A">
        <w:trPr>
          <w:trHeight w:val="270"/>
          <w:jc w:val="center"/>
        </w:trPr>
        <w:tc>
          <w:tcPr>
            <w:tcW w:w="5000" w:type="pct"/>
            <w:gridSpan w:val="3"/>
            <w:tcBorders>
              <w:top w:val="nil"/>
              <w:left w:val="nil"/>
              <w:bottom w:val="nil"/>
              <w:right w:val="nil"/>
            </w:tcBorders>
            <w:noWrap/>
            <w:vAlign w:val="center"/>
          </w:tcPr>
          <w:p w:rsidR="00964915" w:rsidRPr="007672DA" w:rsidRDefault="00964915" w:rsidP="00964915">
            <w:pPr>
              <w:widowControl/>
              <w:adjustRightInd w:val="0"/>
              <w:snapToGrid w:val="0"/>
              <w:jc w:val="lef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备注：覆盖同业线下、同业线上，以及</w:t>
            </w:r>
            <w:proofErr w:type="gramStart"/>
            <w:r w:rsidRPr="007672DA">
              <w:rPr>
                <w:rFonts w:ascii="仿宋" w:eastAsia="仿宋" w:hAnsi="仿宋" w:cs="宋体" w:hint="eastAsia"/>
                <w:color w:val="000000"/>
                <w:kern w:val="0"/>
                <w:sz w:val="24"/>
                <w:szCs w:val="28"/>
              </w:rPr>
              <w:t>债基项</w:t>
            </w:r>
            <w:proofErr w:type="gramEnd"/>
            <w:r w:rsidRPr="007672DA">
              <w:rPr>
                <w:rFonts w:ascii="仿宋" w:eastAsia="仿宋" w:hAnsi="仿宋" w:cs="宋体" w:hint="eastAsia"/>
                <w:color w:val="000000"/>
                <w:kern w:val="0"/>
                <w:sz w:val="24"/>
                <w:szCs w:val="28"/>
              </w:rPr>
              <w:t>下非金融企业债券投资</w:t>
            </w:r>
          </w:p>
        </w:tc>
      </w:tr>
    </w:tbl>
    <w:p w:rsidR="00457C9F" w:rsidRPr="007672DA" w:rsidRDefault="00457C9F" w:rsidP="00457C9F">
      <w:pPr>
        <w:spacing w:line="560" w:lineRule="exact"/>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省内各地市非金融债券投资情况：</w:t>
      </w:r>
    </w:p>
    <w:tbl>
      <w:tblPr>
        <w:tblStyle w:val="a3"/>
        <w:tblW w:w="5000" w:type="pct"/>
        <w:jc w:val="center"/>
        <w:tblLook w:val="04A0" w:firstRow="1" w:lastRow="0" w:firstColumn="1" w:lastColumn="0" w:noHBand="0" w:noVBand="1"/>
      </w:tblPr>
      <w:tblGrid>
        <w:gridCol w:w="3733"/>
        <w:gridCol w:w="3218"/>
        <w:gridCol w:w="1571"/>
      </w:tblGrid>
      <w:tr w:rsidR="00457C9F" w:rsidRPr="007672DA" w:rsidTr="00457C9F">
        <w:trPr>
          <w:trHeight w:val="270"/>
          <w:jc w:val="center"/>
        </w:trPr>
        <w:tc>
          <w:tcPr>
            <w:tcW w:w="2190" w:type="pct"/>
            <w:tcBorders>
              <w:top w:val="nil"/>
              <w:left w:val="nil"/>
              <w:right w:val="nil"/>
            </w:tcBorders>
            <w:noWrap/>
            <w:vAlign w:val="center"/>
          </w:tcPr>
          <w:p w:rsidR="00457C9F" w:rsidRPr="007672DA" w:rsidRDefault="00457C9F" w:rsidP="00773832">
            <w:pPr>
              <w:widowControl/>
              <w:adjustRightInd w:val="0"/>
              <w:snapToGrid w:val="0"/>
              <w:rPr>
                <w:rFonts w:ascii="宋体" w:eastAsia="宋体" w:hAnsi="宋体" w:cs="宋体"/>
                <w:b/>
                <w:color w:val="000000"/>
                <w:kern w:val="0"/>
                <w:sz w:val="28"/>
                <w:szCs w:val="28"/>
              </w:rPr>
            </w:pPr>
            <w:r w:rsidRPr="007672DA">
              <w:rPr>
                <w:rFonts w:ascii="仿宋" w:eastAsia="仿宋" w:hAnsi="仿宋" w:cs="宋体" w:hint="eastAsia"/>
                <w:color w:val="000000"/>
                <w:kern w:val="0"/>
                <w:sz w:val="24"/>
                <w:szCs w:val="24"/>
              </w:rPr>
              <w:t>部门:同业业务中心</w:t>
            </w:r>
          </w:p>
        </w:tc>
        <w:tc>
          <w:tcPr>
            <w:tcW w:w="2810" w:type="pct"/>
            <w:gridSpan w:val="2"/>
            <w:tcBorders>
              <w:top w:val="nil"/>
              <w:left w:val="nil"/>
              <w:right w:val="nil"/>
            </w:tcBorders>
            <w:noWrap/>
            <w:vAlign w:val="center"/>
          </w:tcPr>
          <w:p w:rsidR="00457C9F" w:rsidRPr="007672DA" w:rsidRDefault="00457C9F" w:rsidP="00457C9F">
            <w:pPr>
              <w:widowControl/>
              <w:adjustRightInd w:val="0"/>
              <w:snapToGrid w:val="0"/>
              <w:jc w:val="right"/>
              <w:rPr>
                <w:rFonts w:ascii="宋体" w:eastAsia="宋体" w:hAnsi="宋体" w:cs="宋体"/>
                <w:b/>
                <w:color w:val="000000"/>
                <w:kern w:val="0"/>
                <w:sz w:val="28"/>
                <w:szCs w:val="28"/>
              </w:rPr>
            </w:pPr>
            <w:r w:rsidRPr="007672DA">
              <w:rPr>
                <w:rFonts w:ascii="仿宋" w:eastAsia="仿宋" w:hAnsi="仿宋" w:cs="宋体" w:hint="eastAsia"/>
                <w:color w:val="000000"/>
                <w:kern w:val="0"/>
                <w:sz w:val="24"/>
                <w:szCs w:val="24"/>
              </w:rPr>
              <w:t>单位：万元、%</w:t>
            </w:r>
          </w:p>
        </w:tc>
      </w:tr>
      <w:tr w:rsidR="00457C9F" w:rsidRPr="007672DA" w:rsidTr="00457C9F">
        <w:trPr>
          <w:trHeight w:val="270"/>
          <w:jc w:val="center"/>
        </w:trPr>
        <w:tc>
          <w:tcPr>
            <w:tcW w:w="2190" w:type="pct"/>
            <w:noWrap/>
            <w:hideMark/>
          </w:tcPr>
          <w:p w:rsidR="00457C9F" w:rsidRPr="007672DA" w:rsidRDefault="00457C9F" w:rsidP="00773832">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城市</w:t>
            </w:r>
          </w:p>
        </w:tc>
        <w:tc>
          <w:tcPr>
            <w:tcW w:w="1888" w:type="pct"/>
            <w:noWrap/>
            <w:hideMark/>
          </w:tcPr>
          <w:p w:rsidR="00457C9F" w:rsidRPr="007672DA" w:rsidRDefault="00457C9F" w:rsidP="00773832">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业务余额</w:t>
            </w:r>
          </w:p>
        </w:tc>
        <w:tc>
          <w:tcPr>
            <w:tcW w:w="922" w:type="pct"/>
            <w:noWrap/>
            <w:hideMark/>
          </w:tcPr>
          <w:p w:rsidR="00457C9F" w:rsidRPr="007672DA" w:rsidRDefault="00457C9F" w:rsidP="00773832">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占比</w:t>
            </w:r>
          </w:p>
        </w:tc>
      </w:tr>
      <w:tr w:rsidR="005F475E" w:rsidRPr="007672DA" w:rsidTr="00CA3CF5">
        <w:trPr>
          <w:trHeight w:val="270"/>
          <w:jc w:val="center"/>
        </w:trPr>
        <w:tc>
          <w:tcPr>
            <w:tcW w:w="219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漳州市</w:t>
            </w:r>
          </w:p>
        </w:tc>
        <w:tc>
          <w:tcPr>
            <w:tcW w:w="188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5,000.00</w:t>
            </w:r>
          </w:p>
        </w:tc>
        <w:tc>
          <w:tcPr>
            <w:tcW w:w="922"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19.29%</w:t>
            </w:r>
          </w:p>
        </w:tc>
      </w:tr>
      <w:tr w:rsidR="005F475E" w:rsidRPr="007672DA" w:rsidTr="00CA3CF5">
        <w:trPr>
          <w:trHeight w:val="270"/>
          <w:jc w:val="center"/>
        </w:trPr>
        <w:tc>
          <w:tcPr>
            <w:tcW w:w="219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永安市</w:t>
            </w:r>
          </w:p>
        </w:tc>
        <w:tc>
          <w:tcPr>
            <w:tcW w:w="188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10,000.00</w:t>
            </w:r>
          </w:p>
        </w:tc>
        <w:tc>
          <w:tcPr>
            <w:tcW w:w="922"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38.59%</w:t>
            </w:r>
          </w:p>
        </w:tc>
      </w:tr>
      <w:tr w:rsidR="005F475E" w:rsidRPr="007672DA" w:rsidTr="00CA3CF5">
        <w:trPr>
          <w:trHeight w:val="270"/>
          <w:jc w:val="center"/>
        </w:trPr>
        <w:tc>
          <w:tcPr>
            <w:tcW w:w="219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厦门市</w:t>
            </w:r>
          </w:p>
        </w:tc>
        <w:tc>
          <w:tcPr>
            <w:tcW w:w="188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1,963.71</w:t>
            </w:r>
          </w:p>
        </w:tc>
        <w:tc>
          <w:tcPr>
            <w:tcW w:w="922"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7.58%</w:t>
            </w:r>
          </w:p>
        </w:tc>
      </w:tr>
      <w:tr w:rsidR="005F475E" w:rsidRPr="007672DA" w:rsidTr="00CA3CF5">
        <w:trPr>
          <w:trHeight w:val="270"/>
          <w:jc w:val="center"/>
        </w:trPr>
        <w:tc>
          <w:tcPr>
            <w:tcW w:w="2190"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福州市</w:t>
            </w:r>
          </w:p>
        </w:tc>
        <w:tc>
          <w:tcPr>
            <w:tcW w:w="1888"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3,991.66</w:t>
            </w:r>
          </w:p>
        </w:tc>
        <w:tc>
          <w:tcPr>
            <w:tcW w:w="922"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15.40%</w:t>
            </w:r>
          </w:p>
        </w:tc>
      </w:tr>
      <w:tr w:rsidR="005F475E" w:rsidRPr="007672DA" w:rsidTr="00CA3CF5">
        <w:trPr>
          <w:trHeight w:val="270"/>
          <w:jc w:val="center"/>
        </w:trPr>
        <w:tc>
          <w:tcPr>
            <w:tcW w:w="2190"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晋江市</w:t>
            </w:r>
          </w:p>
        </w:tc>
        <w:tc>
          <w:tcPr>
            <w:tcW w:w="1888"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4,960.61</w:t>
            </w:r>
          </w:p>
        </w:tc>
        <w:tc>
          <w:tcPr>
            <w:tcW w:w="922"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19.14%</w:t>
            </w:r>
          </w:p>
        </w:tc>
      </w:tr>
      <w:tr w:rsidR="005F475E" w:rsidRPr="007672DA" w:rsidTr="00CA3CF5">
        <w:trPr>
          <w:trHeight w:val="270"/>
          <w:jc w:val="center"/>
        </w:trPr>
        <w:tc>
          <w:tcPr>
            <w:tcW w:w="2190"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lastRenderedPageBreak/>
              <w:t>合计</w:t>
            </w:r>
          </w:p>
        </w:tc>
        <w:tc>
          <w:tcPr>
            <w:tcW w:w="1888"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25,915.98</w:t>
            </w:r>
          </w:p>
        </w:tc>
        <w:tc>
          <w:tcPr>
            <w:tcW w:w="922"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100.00%</w:t>
            </w:r>
          </w:p>
        </w:tc>
      </w:tr>
      <w:tr w:rsidR="00457C9F" w:rsidRPr="007672DA" w:rsidTr="00457C9F">
        <w:trPr>
          <w:trHeight w:val="270"/>
          <w:jc w:val="center"/>
        </w:trPr>
        <w:tc>
          <w:tcPr>
            <w:tcW w:w="5000" w:type="pct"/>
            <w:gridSpan w:val="3"/>
            <w:tcBorders>
              <w:left w:val="nil"/>
              <w:bottom w:val="nil"/>
              <w:right w:val="nil"/>
            </w:tcBorders>
            <w:noWrap/>
            <w:vAlign w:val="center"/>
          </w:tcPr>
          <w:p w:rsidR="00457C9F" w:rsidRPr="007672DA" w:rsidRDefault="00457C9F" w:rsidP="0022695A">
            <w:pPr>
              <w:widowControl/>
              <w:adjustRightInd w:val="0"/>
              <w:snapToGrid w:val="0"/>
              <w:jc w:val="left"/>
              <w:rPr>
                <w:rFonts w:ascii="宋体" w:eastAsia="宋体" w:hAnsi="宋体" w:cs="宋体"/>
                <w:color w:val="000000"/>
                <w:kern w:val="0"/>
                <w:sz w:val="28"/>
                <w:szCs w:val="28"/>
              </w:rPr>
            </w:pPr>
            <w:r w:rsidRPr="007672DA">
              <w:rPr>
                <w:rFonts w:ascii="仿宋" w:eastAsia="仿宋" w:hAnsi="仿宋" w:cs="宋体" w:hint="eastAsia"/>
                <w:color w:val="000000"/>
                <w:kern w:val="0"/>
                <w:sz w:val="24"/>
                <w:szCs w:val="28"/>
              </w:rPr>
              <w:t>数据来源：COMSTAR系统</w:t>
            </w:r>
            <w:r w:rsidR="0022695A" w:rsidRPr="007672DA">
              <w:rPr>
                <w:rFonts w:ascii="仿宋" w:eastAsia="仿宋" w:hAnsi="仿宋" w:cs="宋体" w:hint="eastAsia"/>
                <w:color w:val="000000"/>
                <w:kern w:val="0"/>
                <w:sz w:val="24"/>
                <w:szCs w:val="28"/>
              </w:rPr>
              <w:t>、</w:t>
            </w:r>
            <w:r w:rsidR="0022695A" w:rsidRPr="007672DA">
              <w:rPr>
                <w:rFonts w:ascii="仿宋" w:eastAsia="仿宋" w:hAnsi="仿宋" w:cs="宋体" w:hint="eastAsia"/>
                <w:color w:val="000000"/>
                <w:kern w:val="0"/>
                <w:sz w:val="24"/>
                <w:szCs w:val="24"/>
              </w:rPr>
              <w:t>资金业务管理系统，尚未</w:t>
            </w:r>
            <w:proofErr w:type="gramStart"/>
            <w:r w:rsidR="0022695A" w:rsidRPr="007672DA">
              <w:rPr>
                <w:rFonts w:ascii="仿宋" w:eastAsia="仿宋" w:hAnsi="仿宋" w:cs="宋体" w:hint="eastAsia"/>
                <w:color w:val="000000"/>
                <w:kern w:val="0"/>
                <w:sz w:val="24"/>
                <w:szCs w:val="24"/>
              </w:rPr>
              <w:t>涵盖省联社</w:t>
            </w:r>
            <w:proofErr w:type="gramEnd"/>
            <w:r w:rsidR="0022695A" w:rsidRPr="007672DA">
              <w:rPr>
                <w:rFonts w:ascii="仿宋" w:eastAsia="仿宋" w:hAnsi="仿宋" w:cs="宋体" w:hint="eastAsia"/>
                <w:color w:val="000000"/>
                <w:kern w:val="0"/>
                <w:sz w:val="24"/>
                <w:szCs w:val="24"/>
              </w:rPr>
              <w:t>资金统一平台</w:t>
            </w:r>
          </w:p>
        </w:tc>
      </w:tr>
      <w:tr w:rsidR="00457C9F" w:rsidRPr="007672DA" w:rsidTr="00457C9F">
        <w:trPr>
          <w:trHeight w:val="270"/>
          <w:jc w:val="center"/>
        </w:trPr>
        <w:tc>
          <w:tcPr>
            <w:tcW w:w="5000" w:type="pct"/>
            <w:gridSpan w:val="3"/>
            <w:tcBorders>
              <w:top w:val="nil"/>
              <w:left w:val="nil"/>
              <w:bottom w:val="nil"/>
              <w:right w:val="nil"/>
            </w:tcBorders>
            <w:noWrap/>
            <w:vAlign w:val="center"/>
          </w:tcPr>
          <w:p w:rsidR="00457C9F" w:rsidRPr="007672DA" w:rsidRDefault="00457C9F" w:rsidP="00773832">
            <w:pPr>
              <w:widowControl/>
              <w:adjustRightInd w:val="0"/>
              <w:snapToGrid w:val="0"/>
              <w:jc w:val="lef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备注：覆盖同业线下、同业线上，以及</w:t>
            </w:r>
            <w:proofErr w:type="gramStart"/>
            <w:r w:rsidRPr="007672DA">
              <w:rPr>
                <w:rFonts w:ascii="仿宋" w:eastAsia="仿宋" w:hAnsi="仿宋" w:cs="宋体" w:hint="eastAsia"/>
                <w:color w:val="000000"/>
                <w:kern w:val="0"/>
                <w:sz w:val="24"/>
                <w:szCs w:val="28"/>
              </w:rPr>
              <w:t>债基项</w:t>
            </w:r>
            <w:proofErr w:type="gramEnd"/>
            <w:r w:rsidRPr="007672DA">
              <w:rPr>
                <w:rFonts w:ascii="仿宋" w:eastAsia="仿宋" w:hAnsi="仿宋" w:cs="宋体" w:hint="eastAsia"/>
                <w:color w:val="000000"/>
                <w:kern w:val="0"/>
                <w:sz w:val="24"/>
                <w:szCs w:val="28"/>
              </w:rPr>
              <w:t>下非金融企业债券投资</w:t>
            </w:r>
          </w:p>
        </w:tc>
      </w:tr>
    </w:tbl>
    <w:p w:rsidR="009E2131" w:rsidRPr="007672DA" w:rsidRDefault="009E2131" w:rsidP="009E2131">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b/>
          <w:sz w:val="32"/>
          <w:szCs w:val="32"/>
        </w:rPr>
        <w:t>（</w:t>
      </w:r>
      <w:r w:rsidRPr="007672DA">
        <w:rPr>
          <w:rFonts w:ascii="仿宋_GB2312" w:eastAsia="仿宋_GB2312" w:hAnsi="Calibri" w:cs="Times New Roman" w:hint="eastAsia"/>
          <w:b/>
          <w:sz w:val="32"/>
          <w:szCs w:val="32"/>
        </w:rPr>
        <w:t>2</w:t>
      </w:r>
      <w:r w:rsidRPr="007672DA">
        <w:rPr>
          <w:rFonts w:ascii="仿宋_GB2312" w:eastAsia="仿宋_GB2312" w:hAnsi="Calibri" w:cs="Times New Roman"/>
          <w:b/>
          <w:sz w:val="32"/>
          <w:szCs w:val="32"/>
        </w:rPr>
        <w:t>）理财事业部</w:t>
      </w:r>
    </w:p>
    <w:tbl>
      <w:tblPr>
        <w:tblStyle w:val="a3"/>
        <w:tblW w:w="8440" w:type="dxa"/>
        <w:jc w:val="center"/>
        <w:tblInd w:w="142" w:type="dxa"/>
        <w:tblLayout w:type="fixed"/>
        <w:tblLook w:val="04A0" w:firstRow="1" w:lastRow="0" w:firstColumn="1" w:lastColumn="0" w:noHBand="0" w:noVBand="1"/>
      </w:tblPr>
      <w:tblGrid>
        <w:gridCol w:w="2518"/>
        <w:gridCol w:w="1410"/>
        <w:gridCol w:w="1421"/>
        <w:gridCol w:w="1701"/>
        <w:gridCol w:w="1390"/>
      </w:tblGrid>
      <w:tr w:rsidR="00BC6F6D" w:rsidRPr="007672DA" w:rsidTr="009822EF">
        <w:trPr>
          <w:trHeight w:val="270"/>
          <w:jc w:val="center"/>
        </w:trPr>
        <w:tc>
          <w:tcPr>
            <w:tcW w:w="2518" w:type="dxa"/>
            <w:tcBorders>
              <w:top w:val="nil"/>
              <w:left w:val="nil"/>
              <w:right w:val="nil"/>
            </w:tcBorders>
            <w:noWrap/>
            <w:hideMark/>
          </w:tcPr>
          <w:p w:rsidR="00BC6F6D" w:rsidRPr="007672DA" w:rsidRDefault="00BC6F6D" w:rsidP="00E97610">
            <w:pPr>
              <w:widowControl/>
              <w:jc w:val="lef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部门:理财事业部</w:t>
            </w:r>
          </w:p>
        </w:tc>
        <w:tc>
          <w:tcPr>
            <w:tcW w:w="1410" w:type="dxa"/>
            <w:tcBorders>
              <w:top w:val="nil"/>
              <w:left w:val="nil"/>
              <w:right w:val="nil"/>
            </w:tcBorders>
            <w:noWrap/>
            <w:hideMark/>
          </w:tcPr>
          <w:p w:rsidR="00BC6F6D" w:rsidRPr="007672DA" w:rsidRDefault="00BC6F6D" w:rsidP="00E97610">
            <w:pPr>
              <w:widowControl/>
              <w:jc w:val="left"/>
              <w:rPr>
                <w:rFonts w:ascii="仿宋" w:eastAsia="仿宋" w:hAnsi="仿宋" w:cs="宋体"/>
                <w:color w:val="000000"/>
                <w:kern w:val="0"/>
                <w:sz w:val="24"/>
                <w:szCs w:val="28"/>
              </w:rPr>
            </w:pPr>
          </w:p>
        </w:tc>
        <w:tc>
          <w:tcPr>
            <w:tcW w:w="1421" w:type="dxa"/>
            <w:tcBorders>
              <w:top w:val="nil"/>
              <w:left w:val="nil"/>
              <w:right w:val="nil"/>
            </w:tcBorders>
            <w:noWrap/>
            <w:hideMark/>
          </w:tcPr>
          <w:p w:rsidR="00BC6F6D" w:rsidRPr="007672DA" w:rsidRDefault="00BC6F6D" w:rsidP="00E97610">
            <w:pPr>
              <w:widowControl/>
              <w:jc w:val="left"/>
              <w:rPr>
                <w:rFonts w:ascii="仿宋" w:eastAsia="仿宋" w:hAnsi="仿宋" w:cs="宋体"/>
                <w:color w:val="000000"/>
                <w:kern w:val="0"/>
                <w:sz w:val="24"/>
                <w:szCs w:val="28"/>
              </w:rPr>
            </w:pPr>
          </w:p>
        </w:tc>
        <w:tc>
          <w:tcPr>
            <w:tcW w:w="3091" w:type="dxa"/>
            <w:gridSpan w:val="2"/>
            <w:tcBorders>
              <w:top w:val="nil"/>
              <w:left w:val="nil"/>
              <w:right w:val="nil"/>
            </w:tcBorders>
            <w:noWrap/>
            <w:vAlign w:val="center"/>
            <w:hideMark/>
          </w:tcPr>
          <w:p w:rsidR="00BC6F6D" w:rsidRPr="007672DA" w:rsidRDefault="00BC6F6D" w:rsidP="00BC6F6D">
            <w:pPr>
              <w:widowControl/>
              <w:jc w:val="righ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单位：万元、笔</w:t>
            </w:r>
          </w:p>
        </w:tc>
      </w:tr>
      <w:tr w:rsidR="00BC6F6D" w:rsidRPr="007672DA" w:rsidTr="009822EF">
        <w:trPr>
          <w:trHeight w:val="270"/>
          <w:jc w:val="center"/>
        </w:trPr>
        <w:tc>
          <w:tcPr>
            <w:tcW w:w="2518" w:type="dxa"/>
            <w:noWrap/>
            <w:hideMark/>
          </w:tcPr>
          <w:p w:rsidR="00BC6F6D" w:rsidRPr="007672DA" w:rsidRDefault="00BC6F6D" w:rsidP="00E97610">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区间</w:t>
            </w:r>
          </w:p>
        </w:tc>
        <w:tc>
          <w:tcPr>
            <w:tcW w:w="1410" w:type="dxa"/>
            <w:noWrap/>
            <w:hideMark/>
          </w:tcPr>
          <w:p w:rsidR="00BC6F6D" w:rsidRPr="007672DA" w:rsidRDefault="00BC6F6D" w:rsidP="00E97610">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主体数量</w:t>
            </w:r>
          </w:p>
        </w:tc>
        <w:tc>
          <w:tcPr>
            <w:tcW w:w="1421" w:type="dxa"/>
            <w:noWrap/>
            <w:hideMark/>
          </w:tcPr>
          <w:p w:rsidR="00BC6F6D" w:rsidRPr="007672DA" w:rsidRDefault="00BC6F6D" w:rsidP="00BC6F6D">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业务笔数</w:t>
            </w:r>
          </w:p>
        </w:tc>
        <w:tc>
          <w:tcPr>
            <w:tcW w:w="1701" w:type="dxa"/>
            <w:noWrap/>
            <w:hideMark/>
          </w:tcPr>
          <w:p w:rsidR="00BC6F6D" w:rsidRPr="007672DA" w:rsidRDefault="00BC6F6D" w:rsidP="00E97610">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业务余额</w:t>
            </w:r>
          </w:p>
        </w:tc>
        <w:tc>
          <w:tcPr>
            <w:tcW w:w="1390" w:type="dxa"/>
          </w:tcPr>
          <w:p w:rsidR="00BC6F6D" w:rsidRPr="007672DA" w:rsidRDefault="00BC6F6D" w:rsidP="00E97610">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占比</w:t>
            </w:r>
          </w:p>
        </w:tc>
      </w:tr>
      <w:tr w:rsidR="005F475E" w:rsidRPr="007672DA" w:rsidTr="001B5773">
        <w:trPr>
          <w:trHeight w:val="270"/>
          <w:jc w:val="center"/>
        </w:trPr>
        <w:tc>
          <w:tcPr>
            <w:tcW w:w="2518" w:type="dxa"/>
            <w:noWrap/>
            <w:hideMark/>
          </w:tcPr>
          <w:p w:rsidR="005F475E" w:rsidRPr="007672DA" w:rsidRDefault="005F475E" w:rsidP="00532F96">
            <w:pPr>
              <w:widowControl/>
              <w:adjustRightInd w:val="0"/>
              <w:snapToGrid w:val="0"/>
              <w:jc w:val="center"/>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低于5</w:t>
            </w:r>
            <w:proofErr w:type="gramStart"/>
            <w:r w:rsidRPr="007672DA">
              <w:rPr>
                <w:rFonts w:asciiTheme="minorEastAsia" w:hAnsiTheme="minorEastAsia" w:cs="宋体" w:hint="eastAsia"/>
                <w:color w:val="000000"/>
                <w:kern w:val="0"/>
                <w:sz w:val="28"/>
                <w:szCs w:val="28"/>
              </w:rPr>
              <w:t>千万</w:t>
            </w:r>
            <w:proofErr w:type="gramEnd"/>
            <w:r w:rsidRPr="007672DA">
              <w:rPr>
                <w:rFonts w:asciiTheme="minorEastAsia" w:hAnsiTheme="minorEastAsia" w:cs="宋体" w:hint="eastAsia"/>
                <w:color w:val="000000"/>
                <w:kern w:val="0"/>
                <w:sz w:val="28"/>
                <w:szCs w:val="28"/>
              </w:rPr>
              <w:t>（含）</w:t>
            </w:r>
          </w:p>
        </w:tc>
        <w:tc>
          <w:tcPr>
            <w:tcW w:w="1410" w:type="dxa"/>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71</w:t>
            </w:r>
          </w:p>
        </w:tc>
        <w:tc>
          <w:tcPr>
            <w:tcW w:w="1421"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94</w:t>
            </w:r>
          </w:p>
        </w:tc>
        <w:tc>
          <w:tcPr>
            <w:tcW w:w="1701"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178,509.87</w:t>
            </w:r>
          </w:p>
        </w:tc>
        <w:tc>
          <w:tcPr>
            <w:tcW w:w="1390" w:type="dxa"/>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21.37%</w:t>
            </w:r>
          </w:p>
        </w:tc>
      </w:tr>
      <w:tr w:rsidR="005F475E" w:rsidRPr="007672DA" w:rsidTr="001B5773">
        <w:trPr>
          <w:trHeight w:val="270"/>
          <w:jc w:val="center"/>
        </w:trPr>
        <w:tc>
          <w:tcPr>
            <w:tcW w:w="2518" w:type="dxa"/>
            <w:noWrap/>
            <w:hideMark/>
          </w:tcPr>
          <w:p w:rsidR="005F475E" w:rsidRPr="007672DA" w:rsidRDefault="005F475E" w:rsidP="00E97610">
            <w:pPr>
              <w:widowControl/>
              <w:adjustRightInd w:val="0"/>
              <w:snapToGrid w:val="0"/>
              <w:jc w:val="center"/>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5</w:t>
            </w:r>
            <w:proofErr w:type="gramStart"/>
            <w:r w:rsidRPr="007672DA">
              <w:rPr>
                <w:rFonts w:asciiTheme="minorEastAsia" w:hAnsiTheme="minorEastAsia" w:cs="宋体" w:hint="eastAsia"/>
                <w:color w:val="000000"/>
                <w:kern w:val="0"/>
                <w:sz w:val="28"/>
                <w:szCs w:val="28"/>
              </w:rPr>
              <w:t>千万</w:t>
            </w:r>
            <w:proofErr w:type="gramEnd"/>
            <w:r w:rsidRPr="007672DA">
              <w:rPr>
                <w:rFonts w:asciiTheme="minorEastAsia" w:hAnsiTheme="minorEastAsia" w:cs="宋体" w:hint="eastAsia"/>
                <w:color w:val="000000"/>
                <w:kern w:val="0"/>
                <w:sz w:val="28"/>
                <w:szCs w:val="28"/>
              </w:rPr>
              <w:t>至1亿（含）</w:t>
            </w:r>
          </w:p>
        </w:tc>
        <w:tc>
          <w:tcPr>
            <w:tcW w:w="1410" w:type="dxa"/>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45</w:t>
            </w:r>
          </w:p>
        </w:tc>
        <w:tc>
          <w:tcPr>
            <w:tcW w:w="1421"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91</w:t>
            </w:r>
          </w:p>
        </w:tc>
        <w:tc>
          <w:tcPr>
            <w:tcW w:w="1701"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289,016.62</w:t>
            </w:r>
          </w:p>
        </w:tc>
        <w:tc>
          <w:tcPr>
            <w:tcW w:w="1390" w:type="dxa"/>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34.61%</w:t>
            </w:r>
          </w:p>
        </w:tc>
      </w:tr>
      <w:tr w:rsidR="005F475E" w:rsidRPr="007672DA" w:rsidTr="001B5773">
        <w:trPr>
          <w:trHeight w:val="270"/>
          <w:jc w:val="center"/>
        </w:trPr>
        <w:tc>
          <w:tcPr>
            <w:tcW w:w="2518" w:type="dxa"/>
            <w:noWrap/>
            <w:hideMark/>
          </w:tcPr>
          <w:p w:rsidR="005F475E" w:rsidRPr="007672DA" w:rsidRDefault="005F475E" w:rsidP="00E97610">
            <w:pPr>
              <w:widowControl/>
              <w:adjustRightInd w:val="0"/>
              <w:snapToGrid w:val="0"/>
              <w:jc w:val="center"/>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1亿至2亿（含）</w:t>
            </w:r>
          </w:p>
        </w:tc>
        <w:tc>
          <w:tcPr>
            <w:tcW w:w="1410" w:type="dxa"/>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26</w:t>
            </w:r>
          </w:p>
        </w:tc>
        <w:tc>
          <w:tcPr>
            <w:tcW w:w="1421"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72</w:t>
            </w:r>
          </w:p>
        </w:tc>
        <w:tc>
          <w:tcPr>
            <w:tcW w:w="1701"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310,981.52</w:t>
            </w:r>
          </w:p>
        </w:tc>
        <w:tc>
          <w:tcPr>
            <w:tcW w:w="1390" w:type="dxa"/>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37.24%</w:t>
            </w:r>
          </w:p>
        </w:tc>
      </w:tr>
      <w:tr w:rsidR="005F475E" w:rsidRPr="007672DA" w:rsidTr="001B5773">
        <w:trPr>
          <w:trHeight w:val="270"/>
          <w:jc w:val="center"/>
        </w:trPr>
        <w:tc>
          <w:tcPr>
            <w:tcW w:w="2518" w:type="dxa"/>
            <w:noWrap/>
            <w:hideMark/>
          </w:tcPr>
          <w:p w:rsidR="005F475E" w:rsidRPr="007672DA" w:rsidRDefault="005F475E" w:rsidP="00E97610">
            <w:pPr>
              <w:widowControl/>
              <w:adjustRightInd w:val="0"/>
              <w:snapToGrid w:val="0"/>
              <w:jc w:val="center"/>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超过2亿</w:t>
            </w:r>
          </w:p>
        </w:tc>
        <w:tc>
          <w:tcPr>
            <w:tcW w:w="1410" w:type="dxa"/>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w:t>
            </w:r>
          </w:p>
        </w:tc>
        <w:tc>
          <w:tcPr>
            <w:tcW w:w="1421"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7</w:t>
            </w:r>
          </w:p>
        </w:tc>
        <w:tc>
          <w:tcPr>
            <w:tcW w:w="1701" w:type="dxa"/>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56,627.06</w:t>
            </w:r>
          </w:p>
        </w:tc>
        <w:tc>
          <w:tcPr>
            <w:tcW w:w="1390" w:type="dxa"/>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6.78%</w:t>
            </w:r>
          </w:p>
        </w:tc>
      </w:tr>
      <w:tr w:rsidR="005F475E" w:rsidRPr="007672DA" w:rsidTr="001B5773">
        <w:trPr>
          <w:trHeight w:val="270"/>
          <w:jc w:val="center"/>
        </w:trPr>
        <w:tc>
          <w:tcPr>
            <w:tcW w:w="2518" w:type="dxa"/>
            <w:tcBorders>
              <w:bottom w:val="single" w:sz="4" w:space="0" w:color="auto"/>
            </w:tcBorders>
            <w:noWrap/>
            <w:hideMark/>
          </w:tcPr>
          <w:p w:rsidR="005F475E" w:rsidRPr="007672DA" w:rsidRDefault="005F475E" w:rsidP="00E97610">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合计</w:t>
            </w:r>
          </w:p>
        </w:tc>
        <w:tc>
          <w:tcPr>
            <w:tcW w:w="1410" w:type="dxa"/>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144</w:t>
            </w:r>
          </w:p>
        </w:tc>
        <w:tc>
          <w:tcPr>
            <w:tcW w:w="1421" w:type="dxa"/>
            <w:tcBorders>
              <w:bottom w:val="single" w:sz="4" w:space="0" w:color="auto"/>
            </w:tcBorders>
            <w:noWrap/>
            <w:vAlign w:val="center"/>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264</w:t>
            </w:r>
          </w:p>
        </w:tc>
        <w:tc>
          <w:tcPr>
            <w:tcW w:w="1701" w:type="dxa"/>
            <w:tcBorders>
              <w:bottom w:val="single" w:sz="4" w:space="0" w:color="auto"/>
            </w:tcBorders>
            <w:noWrap/>
            <w:vAlign w:val="center"/>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835,135.07</w:t>
            </w:r>
          </w:p>
        </w:tc>
        <w:tc>
          <w:tcPr>
            <w:tcW w:w="1390" w:type="dxa"/>
            <w:tcBorders>
              <w:bottom w:val="single" w:sz="4" w:space="0" w:color="auto"/>
            </w:tcBorders>
            <w:vAlign w:val="center"/>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100.00%</w:t>
            </w:r>
          </w:p>
        </w:tc>
      </w:tr>
      <w:tr w:rsidR="001A717C" w:rsidRPr="007672DA" w:rsidTr="00873378">
        <w:trPr>
          <w:trHeight w:val="270"/>
          <w:jc w:val="center"/>
        </w:trPr>
        <w:tc>
          <w:tcPr>
            <w:tcW w:w="8440" w:type="dxa"/>
            <w:gridSpan w:val="5"/>
            <w:tcBorders>
              <w:left w:val="nil"/>
              <w:bottom w:val="nil"/>
              <w:right w:val="nil"/>
            </w:tcBorders>
            <w:noWrap/>
            <w:hideMark/>
          </w:tcPr>
          <w:p w:rsidR="001A717C" w:rsidRPr="007672DA" w:rsidRDefault="001A717C" w:rsidP="00E97610">
            <w:pPr>
              <w:widowControl/>
              <w:jc w:val="lef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数据来源：理财资产管理系统</w:t>
            </w:r>
            <w:r w:rsidRPr="007672DA">
              <w:rPr>
                <w:rFonts w:ascii="仿宋" w:eastAsia="仿宋" w:hAnsi="仿宋" w:cs="宋体" w:hint="eastAsia"/>
                <w:color w:val="000000"/>
                <w:kern w:val="0"/>
                <w:sz w:val="24"/>
                <w:szCs w:val="24"/>
              </w:rPr>
              <w:t>、兆</w:t>
            </w:r>
            <w:proofErr w:type="gramStart"/>
            <w:r w:rsidRPr="007672DA">
              <w:rPr>
                <w:rFonts w:ascii="仿宋" w:eastAsia="仿宋" w:hAnsi="仿宋" w:cs="宋体" w:hint="eastAsia"/>
                <w:color w:val="000000"/>
                <w:kern w:val="0"/>
                <w:sz w:val="24"/>
                <w:szCs w:val="24"/>
              </w:rPr>
              <w:t>尹</w:t>
            </w:r>
            <w:proofErr w:type="gramEnd"/>
            <w:r w:rsidRPr="007672DA">
              <w:rPr>
                <w:rFonts w:ascii="仿宋" w:eastAsia="仿宋" w:hAnsi="仿宋" w:cs="宋体" w:hint="eastAsia"/>
                <w:color w:val="000000"/>
                <w:kern w:val="0"/>
                <w:sz w:val="24"/>
                <w:szCs w:val="24"/>
              </w:rPr>
              <w:t>系统</w:t>
            </w:r>
            <w:r w:rsidRPr="007672DA">
              <w:rPr>
                <w:rFonts w:ascii="仿宋" w:eastAsia="仿宋" w:hAnsi="仿宋" w:cs="宋体" w:hint="eastAsia"/>
                <w:color w:val="000000"/>
                <w:kern w:val="0"/>
                <w:sz w:val="24"/>
                <w:szCs w:val="28"/>
              </w:rPr>
              <w:t>、理财委外估值表</w:t>
            </w:r>
          </w:p>
          <w:p w:rsidR="001A717C" w:rsidRPr="007672DA" w:rsidRDefault="001A717C" w:rsidP="00E97610">
            <w:pPr>
              <w:widowControl/>
              <w:jc w:val="lef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备注：覆盖委外项下非金融企业债券投资</w:t>
            </w:r>
          </w:p>
        </w:tc>
      </w:tr>
    </w:tbl>
    <w:p w:rsidR="00C41E9D" w:rsidRPr="007672DA" w:rsidRDefault="00C41E9D" w:rsidP="00C41E9D">
      <w:pPr>
        <w:spacing w:line="560" w:lineRule="exact"/>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其中，前十大发行主体明细：</w:t>
      </w:r>
    </w:p>
    <w:tbl>
      <w:tblPr>
        <w:tblStyle w:val="a3"/>
        <w:tblW w:w="4991" w:type="pct"/>
        <w:jc w:val="center"/>
        <w:tblInd w:w="-318" w:type="dxa"/>
        <w:tblLayout w:type="fixed"/>
        <w:tblLook w:val="04A0" w:firstRow="1" w:lastRow="0" w:firstColumn="1" w:lastColumn="0" w:noHBand="0" w:noVBand="1"/>
      </w:tblPr>
      <w:tblGrid>
        <w:gridCol w:w="5297"/>
        <w:gridCol w:w="1934"/>
        <w:gridCol w:w="1276"/>
      </w:tblGrid>
      <w:tr w:rsidR="00C41E9D" w:rsidRPr="007672DA" w:rsidTr="007018DF">
        <w:trPr>
          <w:trHeight w:val="270"/>
          <w:jc w:val="center"/>
        </w:trPr>
        <w:tc>
          <w:tcPr>
            <w:tcW w:w="3113" w:type="pct"/>
            <w:tcBorders>
              <w:top w:val="nil"/>
              <w:left w:val="nil"/>
              <w:right w:val="nil"/>
            </w:tcBorders>
            <w:noWrap/>
            <w:vAlign w:val="center"/>
          </w:tcPr>
          <w:p w:rsidR="00C41E9D" w:rsidRPr="007672DA" w:rsidRDefault="00C41E9D" w:rsidP="00C41E9D">
            <w:pPr>
              <w:widowControl/>
              <w:adjustRightInd w:val="0"/>
              <w:snapToGrid w:val="0"/>
              <w:rPr>
                <w:rFonts w:ascii="宋体" w:eastAsia="宋体" w:hAnsi="宋体" w:cs="宋体"/>
                <w:b/>
                <w:color w:val="000000"/>
                <w:kern w:val="0"/>
                <w:sz w:val="28"/>
                <w:szCs w:val="28"/>
              </w:rPr>
            </w:pPr>
            <w:r w:rsidRPr="007672DA">
              <w:rPr>
                <w:rFonts w:ascii="仿宋" w:eastAsia="仿宋" w:hAnsi="仿宋" w:cs="宋体" w:hint="eastAsia"/>
                <w:color w:val="000000"/>
                <w:kern w:val="0"/>
                <w:sz w:val="24"/>
                <w:szCs w:val="28"/>
              </w:rPr>
              <w:t>部门:理财事业部</w:t>
            </w:r>
          </w:p>
        </w:tc>
        <w:tc>
          <w:tcPr>
            <w:tcW w:w="1887" w:type="pct"/>
            <w:gridSpan w:val="2"/>
            <w:tcBorders>
              <w:top w:val="nil"/>
              <w:left w:val="nil"/>
              <w:right w:val="nil"/>
            </w:tcBorders>
            <w:noWrap/>
            <w:vAlign w:val="center"/>
          </w:tcPr>
          <w:p w:rsidR="00C41E9D" w:rsidRPr="007672DA" w:rsidRDefault="00C41E9D" w:rsidP="00C41E9D">
            <w:pPr>
              <w:widowControl/>
              <w:jc w:val="righ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单位：万元、笔</w:t>
            </w:r>
          </w:p>
        </w:tc>
      </w:tr>
      <w:tr w:rsidR="00C41E9D" w:rsidRPr="007672DA" w:rsidTr="007018DF">
        <w:trPr>
          <w:trHeight w:val="270"/>
          <w:jc w:val="center"/>
        </w:trPr>
        <w:tc>
          <w:tcPr>
            <w:tcW w:w="3113" w:type="pct"/>
            <w:noWrap/>
            <w:hideMark/>
          </w:tcPr>
          <w:p w:rsidR="00C41E9D" w:rsidRPr="007672DA" w:rsidRDefault="00C41E9D" w:rsidP="00C41E9D">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发行主体</w:t>
            </w:r>
          </w:p>
        </w:tc>
        <w:tc>
          <w:tcPr>
            <w:tcW w:w="1137" w:type="pct"/>
            <w:noWrap/>
            <w:hideMark/>
          </w:tcPr>
          <w:p w:rsidR="00C41E9D" w:rsidRPr="007672DA" w:rsidRDefault="00C41E9D" w:rsidP="00C41E9D">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业务余额</w:t>
            </w:r>
          </w:p>
        </w:tc>
        <w:tc>
          <w:tcPr>
            <w:tcW w:w="750" w:type="pct"/>
            <w:noWrap/>
            <w:hideMark/>
          </w:tcPr>
          <w:p w:rsidR="00C41E9D" w:rsidRPr="007672DA" w:rsidRDefault="00C41E9D" w:rsidP="00C41E9D">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笔数</w:t>
            </w:r>
          </w:p>
        </w:tc>
      </w:tr>
      <w:tr w:rsidR="005F475E" w:rsidRPr="007672DA" w:rsidTr="007018DF">
        <w:trPr>
          <w:trHeight w:val="270"/>
          <w:jc w:val="center"/>
        </w:trPr>
        <w:tc>
          <w:tcPr>
            <w:tcW w:w="3113"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厦门象屿集团有限公司</w:t>
            </w:r>
          </w:p>
        </w:tc>
        <w:tc>
          <w:tcPr>
            <w:tcW w:w="1137"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30,816.01</w:t>
            </w:r>
          </w:p>
        </w:tc>
        <w:tc>
          <w:tcPr>
            <w:tcW w:w="75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5</w:t>
            </w:r>
          </w:p>
        </w:tc>
      </w:tr>
      <w:tr w:rsidR="005F475E" w:rsidRPr="007672DA" w:rsidTr="007018DF">
        <w:trPr>
          <w:trHeight w:val="270"/>
          <w:jc w:val="center"/>
        </w:trPr>
        <w:tc>
          <w:tcPr>
            <w:tcW w:w="3113"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珠海华发集团有限公司</w:t>
            </w:r>
          </w:p>
        </w:tc>
        <w:tc>
          <w:tcPr>
            <w:tcW w:w="1137"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25,811.06</w:t>
            </w:r>
          </w:p>
        </w:tc>
        <w:tc>
          <w:tcPr>
            <w:tcW w:w="75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w:t>
            </w:r>
          </w:p>
        </w:tc>
      </w:tr>
      <w:tr w:rsidR="005F475E" w:rsidRPr="007672DA" w:rsidTr="007018DF">
        <w:trPr>
          <w:trHeight w:val="270"/>
          <w:jc w:val="center"/>
        </w:trPr>
        <w:tc>
          <w:tcPr>
            <w:tcW w:w="3113"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武汉车都集团有限公司</w:t>
            </w:r>
          </w:p>
        </w:tc>
        <w:tc>
          <w:tcPr>
            <w:tcW w:w="1137"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15,523.41</w:t>
            </w:r>
          </w:p>
        </w:tc>
        <w:tc>
          <w:tcPr>
            <w:tcW w:w="75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w:t>
            </w:r>
          </w:p>
        </w:tc>
      </w:tr>
      <w:tr w:rsidR="005F475E" w:rsidRPr="007672DA" w:rsidTr="007018DF">
        <w:trPr>
          <w:trHeight w:val="270"/>
          <w:jc w:val="center"/>
        </w:trPr>
        <w:tc>
          <w:tcPr>
            <w:tcW w:w="3113"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湖南省高速公路集团有限公司</w:t>
            </w:r>
          </w:p>
        </w:tc>
        <w:tc>
          <w:tcPr>
            <w:tcW w:w="1137"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15,122.16</w:t>
            </w:r>
          </w:p>
        </w:tc>
        <w:tc>
          <w:tcPr>
            <w:tcW w:w="75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5</w:t>
            </w:r>
          </w:p>
        </w:tc>
      </w:tr>
      <w:tr w:rsidR="005F475E" w:rsidRPr="007672DA" w:rsidTr="007018DF">
        <w:trPr>
          <w:trHeight w:val="270"/>
          <w:jc w:val="center"/>
        </w:trPr>
        <w:tc>
          <w:tcPr>
            <w:tcW w:w="3113"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西安迈科金属国际集团有限公司</w:t>
            </w:r>
          </w:p>
        </w:tc>
        <w:tc>
          <w:tcPr>
            <w:tcW w:w="1137"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15,111.23</w:t>
            </w:r>
          </w:p>
        </w:tc>
        <w:tc>
          <w:tcPr>
            <w:tcW w:w="75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w:t>
            </w:r>
          </w:p>
        </w:tc>
      </w:tr>
      <w:tr w:rsidR="005F475E" w:rsidRPr="007672DA" w:rsidTr="007018DF">
        <w:trPr>
          <w:trHeight w:val="270"/>
          <w:jc w:val="center"/>
        </w:trPr>
        <w:tc>
          <w:tcPr>
            <w:tcW w:w="3113"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国家电网有限公司</w:t>
            </w:r>
          </w:p>
        </w:tc>
        <w:tc>
          <w:tcPr>
            <w:tcW w:w="1137"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15,013.01</w:t>
            </w:r>
          </w:p>
        </w:tc>
        <w:tc>
          <w:tcPr>
            <w:tcW w:w="75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4</w:t>
            </w:r>
          </w:p>
        </w:tc>
      </w:tr>
      <w:tr w:rsidR="005F475E" w:rsidRPr="007672DA" w:rsidTr="007018DF">
        <w:trPr>
          <w:trHeight w:val="270"/>
          <w:jc w:val="center"/>
        </w:trPr>
        <w:tc>
          <w:tcPr>
            <w:tcW w:w="3113"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华鑫国际信托有限公司</w:t>
            </w:r>
          </w:p>
        </w:tc>
        <w:tc>
          <w:tcPr>
            <w:tcW w:w="1137"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14,995.77</w:t>
            </w:r>
          </w:p>
        </w:tc>
        <w:tc>
          <w:tcPr>
            <w:tcW w:w="75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w:t>
            </w:r>
          </w:p>
        </w:tc>
      </w:tr>
      <w:tr w:rsidR="005F475E" w:rsidRPr="007672DA" w:rsidTr="007018DF">
        <w:trPr>
          <w:trHeight w:val="270"/>
          <w:jc w:val="center"/>
        </w:trPr>
        <w:tc>
          <w:tcPr>
            <w:tcW w:w="3113"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厦门海沧投资集团有限公司</w:t>
            </w:r>
          </w:p>
        </w:tc>
        <w:tc>
          <w:tcPr>
            <w:tcW w:w="1137"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14,987.15</w:t>
            </w:r>
          </w:p>
        </w:tc>
        <w:tc>
          <w:tcPr>
            <w:tcW w:w="75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w:t>
            </w:r>
          </w:p>
        </w:tc>
      </w:tr>
      <w:tr w:rsidR="005F475E" w:rsidRPr="007672DA" w:rsidTr="007018DF">
        <w:trPr>
          <w:trHeight w:val="270"/>
          <w:jc w:val="center"/>
        </w:trPr>
        <w:tc>
          <w:tcPr>
            <w:tcW w:w="3113"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湖州市交通投资集团有限公司</w:t>
            </w:r>
          </w:p>
        </w:tc>
        <w:tc>
          <w:tcPr>
            <w:tcW w:w="1137"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14,291.97</w:t>
            </w:r>
          </w:p>
        </w:tc>
        <w:tc>
          <w:tcPr>
            <w:tcW w:w="75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5</w:t>
            </w:r>
          </w:p>
        </w:tc>
      </w:tr>
      <w:tr w:rsidR="005F475E" w:rsidRPr="007672DA" w:rsidTr="007018DF">
        <w:trPr>
          <w:trHeight w:val="270"/>
          <w:jc w:val="center"/>
        </w:trPr>
        <w:tc>
          <w:tcPr>
            <w:tcW w:w="3113"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绵阳市投资控股(集团)有限公司</w:t>
            </w:r>
          </w:p>
        </w:tc>
        <w:tc>
          <w:tcPr>
            <w:tcW w:w="1137"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14,165.90</w:t>
            </w:r>
          </w:p>
        </w:tc>
        <w:tc>
          <w:tcPr>
            <w:tcW w:w="750"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w:t>
            </w:r>
          </w:p>
        </w:tc>
      </w:tr>
      <w:tr w:rsidR="00C41E9D" w:rsidRPr="007672DA" w:rsidTr="007018DF">
        <w:trPr>
          <w:trHeight w:val="270"/>
          <w:jc w:val="center"/>
        </w:trPr>
        <w:tc>
          <w:tcPr>
            <w:tcW w:w="5000" w:type="pct"/>
            <w:gridSpan w:val="3"/>
            <w:tcBorders>
              <w:left w:val="nil"/>
              <w:bottom w:val="nil"/>
              <w:right w:val="nil"/>
            </w:tcBorders>
            <w:noWrap/>
            <w:vAlign w:val="center"/>
          </w:tcPr>
          <w:p w:rsidR="00C41E9D" w:rsidRPr="007672DA" w:rsidRDefault="00C41E9D" w:rsidP="00C41E9D">
            <w:pPr>
              <w:widowControl/>
              <w:adjustRightInd w:val="0"/>
              <w:snapToGrid w:val="0"/>
              <w:rPr>
                <w:rFonts w:ascii="宋体" w:eastAsia="宋体" w:hAnsi="宋体" w:cs="宋体"/>
                <w:color w:val="000000"/>
                <w:kern w:val="0"/>
                <w:sz w:val="28"/>
                <w:szCs w:val="28"/>
              </w:rPr>
            </w:pPr>
            <w:r w:rsidRPr="007672DA">
              <w:rPr>
                <w:rFonts w:ascii="仿宋" w:eastAsia="仿宋" w:hAnsi="仿宋" w:cs="宋体" w:hint="eastAsia"/>
                <w:color w:val="000000"/>
                <w:kern w:val="0"/>
                <w:sz w:val="24"/>
                <w:szCs w:val="28"/>
              </w:rPr>
              <w:t>数据来源：理财资产管理系统</w:t>
            </w:r>
            <w:r w:rsidR="001A717C" w:rsidRPr="007672DA">
              <w:rPr>
                <w:rFonts w:ascii="仿宋" w:eastAsia="仿宋" w:hAnsi="仿宋" w:cs="宋体" w:hint="eastAsia"/>
                <w:color w:val="000000"/>
                <w:kern w:val="0"/>
                <w:sz w:val="24"/>
                <w:szCs w:val="24"/>
              </w:rPr>
              <w:t>、兆</w:t>
            </w:r>
            <w:proofErr w:type="gramStart"/>
            <w:r w:rsidR="001A717C" w:rsidRPr="007672DA">
              <w:rPr>
                <w:rFonts w:ascii="仿宋" w:eastAsia="仿宋" w:hAnsi="仿宋" w:cs="宋体" w:hint="eastAsia"/>
                <w:color w:val="000000"/>
                <w:kern w:val="0"/>
                <w:sz w:val="24"/>
                <w:szCs w:val="24"/>
              </w:rPr>
              <w:t>尹</w:t>
            </w:r>
            <w:proofErr w:type="gramEnd"/>
            <w:r w:rsidR="001A717C" w:rsidRPr="007672DA">
              <w:rPr>
                <w:rFonts w:ascii="仿宋" w:eastAsia="仿宋" w:hAnsi="仿宋" w:cs="宋体" w:hint="eastAsia"/>
                <w:color w:val="000000"/>
                <w:kern w:val="0"/>
                <w:sz w:val="24"/>
                <w:szCs w:val="24"/>
              </w:rPr>
              <w:t>系统</w:t>
            </w:r>
            <w:r w:rsidRPr="007672DA">
              <w:rPr>
                <w:rFonts w:ascii="仿宋" w:eastAsia="仿宋" w:hAnsi="仿宋" w:cs="宋体" w:hint="eastAsia"/>
                <w:color w:val="000000"/>
                <w:kern w:val="0"/>
                <w:sz w:val="24"/>
                <w:szCs w:val="28"/>
              </w:rPr>
              <w:t>、理财委外估值表</w:t>
            </w:r>
          </w:p>
        </w:tc>
      </w:tr>
      <w:tr w:rsidR="00C41E9D" w:rsidRPr="007672DA" w:rsidTr="007018DF">
        <w:trPr>
          <w:trHeight w:val="270"/>
          <w:jc w:val="center"/>
        </w:trPr>
        <w:tc>
          <w:tcPr>
            <w:tcW w:w="5000" w:type="pct"/>
            <w:gridSpan w:val="3"/>
            <w:tcBorders>
              <w:top w:val="nil"/>
              <w:left w:val="nil"/>
              <w:bottom w:val="nil"/>
              <w:right w:val="nil"/>
            </w:tcBorders>
            <w:noWrap/>
            <w:vAlign w:val="center"/>
          </w:tcPr>
          <w:p w:rsidR="00C41E9D" w:rsidRPr="007672DA" w:rsidRDefault="00C41E9D" w:rsidP="00C41E9D">
            <w:pPr>
              <w:widowControl/>
              <w:adjustRightInd w:val="0"/>
              <w:snapToGrid w:val="0"/>
              <w:rPr>
                <w:rFonts w:ascii="宋体" w:eastAsia="宋体" w:hAnsi="宋体" w:cs="宋体"/>
                <w:color w:val="000000"/>
                <w:kern w:val="0"/>
                <w:sz w:val="28"/>
                <w:szCs w:val="28"/>
              </w:rPr>
            </w:pPr>
            <w:r w:rsidRPr="007672DA">
              <w:rPr>
                <w:rFonts w:ascii="仿宋" w:eastAsia="仿宋" w:hAnsi="仿宋" w:cs="宋体" w:hint="eastAsia"/>
                <w:color w:val="000000"/>
                <w:kern w:val="0"/>
                <w:sz w:val="24"/>
                <w:szCs w:val="28"/>
              </w:rPr>
              <w:t>备注：覆盖委外项下非金融企业债券投资</w:t>
            </w:r>
          </w:p>
        </w:tc>
      </w:tr>
    </w:tbl>
    <w:p w:rsidR="00457C9F" w:rsidRPr="007672DA" w:rsidRDefault="00457C9F" w:rsidP="00457C9F">
      <w:pPr>
        <w:spacing w:line="560" w:lineRule="exact"/>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省内各地市非金融债券投资情况：</w:t>
      </w:r>
    </w:p>
    <w:tbl>
      <w:tblPr>
        <w:tblStyle w:val="a3"/>
        <w:tblW w:w="5000" w:type="pct"/>
        <w:jc w:val="center"/>
        <w:tblLook w:val="04A0" w:firstRow="1" w:lastRow="0" w:firstColumn="1" w:lastColumn="0" w:noHBand="0" w:noVBand="1"/>
      </w:tblPr>
      <w:tblGrid>
        <w:gridCol w:w="3733"/>
        <w:gridCol w:w="3218"/>
        <w:gridCol w:w="1571"/>
      </w:tblGrid>
      <w:tr w:rsidR="00457C9F" w:rsidRPr="007672DA" w:rsidTr="00773832">
        <w:trPr>
          <w:trHeight w:val="270"/>
          <w:jc w:val="center"/>
        </w:trPr>
        <w:tc>
          <w:tcPr>
            <w:tcW w:w="2190" w:type="pct"/>
            <w:tcBorders>
              <w:top w:val="nil"/>
              <w:left w:val="nil"/>
              <w:right w:val="nil"/>
            </w:tcBorders>
            <w:noWrap/>
            <w:vAlign w:val="center"/>
          </w:tcPr>
          <w:p w:rsidR="00457C9F" w:rsidRPr="007672DA" w:rsidRDefault="00457C9F" w:rsidP="00457C9F">
            <w:pPr>
              <w:widowControl/>
              <w:adjustRightInd w:val="0"/>
              <w:snapToGrid w:val="0"/>
              <w:rPr>
                <w:rFonts w:ascii="宋体" w:eastAsia="宋体" w:hAnsi="宋体" w:cs="宋体"/>
                <w:b/>
                <w:color w:val="000000"/>
                <w:kern w:val="0"/>
                <w:sz w:val="28"/>
                <w:szCs w:val="28"/>
              </w:rPr>
            </w:pPr>
            <w:r w:rsidRPr="007672DA">
              <w:rPr>
                <w:rFonts w:ascii="仿宋" w:eastAsia="仿宋" w:hAnsi="仿宋" w:cs="宋体" w:hint="eastAsia"/>
                <w:color w:val="000000"/>
                <w:kern w:val="0"/>
                <w:sz w:val="24"/>
                <w:szCs w:val="24"/>
              </w:rPr>
              <w:t>部门:理财事业部</w:t>
            </w:r>
          </w:p>
        </w:tc>
        <w:tc>
          <w:tcPr>
            <w:tcW w:w="2810" w:type="pct"/>
            <w:gridSpan w:val="2"/>
            <w:tcBorders>
              <w:top w:val="nil"/>
              <w:left w:val="nil"/>
              <w:right w:val="nil"/>
            </w:tcBorders>
            <w:noWrap/>
            <w:vAlign w:val="center"/>
          </w:tcPr>
          <w:p w:rsidR="00457C9F" w:rsidRPr="007672DA" w:rsidRDefault="00457C9F" w:rsidP="00457C9F">
            <w:pPr>
              <w:widowControl/>
              <w:adjustRightInd w:val="0"/>
              <w:snapToGrid w:val="0"/>
              <w:jc w:val="right"/>
              <w:rPr>
                <w:rFonts w:ascii="宋体" w:eastAsia="宋体" w:hAnsi="宋体" w:cs="宋体"/>
                <w:b/>
                <w:color w:val="000000"/>
                <w:kern w:val="0"/>
                <w:sz w:val="28"/>
                <w:szCs w:val="28"/>
              </w:rPr>
            </w:pPr>
            <w:r w:rsidRPr="007672DA">
              <w:rPr>
                <w:rFonts w:ascii="仿宋" w:eastAsia="仿宋" w:hAnsi="仿宋" w:cs="宋体" w:hint="eastAsia"/>
                <w:color w:val="000000"/>
                <w:kern w:val="0"/>
                <w:sz w:val="24"/>
                <w:szCs w:val="24"/>
              </w:rPr>
              <w:t>单位：万元、%</w:t>
            </w:r>
          </w:p>
        </w:tc>
      </w:tr>
      <w:tr w:rsidR="00457C9F" w:rsidRPr="007672DA" w:rsidTr="00773832">
        <w:trPr>
          <w:trHeight w:val="270"/>
          <w:jc w:val="center"/>
        </w:trPr>
        <w:tc>
          <w:tcPr>
            <w:tcW w:w="2190" w:type="pct"/>
            <w:noWrap/>
            <w:hideMark/>
          </w:tcPr>
          <w:p w:rsidR="00457C9F" w:rsidRPr="007672DA" w:rsidRDefault="00457C9F" w:rsidP="00773832">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城市</w:t>
            </w:r>
          </w:p>
        </w:tc>
        <w:tc>
          <w:tcPr>
            <w:tcW w:w="1888" w:type="pct"/>
            <w:noWrap/>
            <w:hideMark/>
          </w:tcPr>
          <w:p w:rsidR="00457C9F" w:rsidRPr="007672DA" w:rsidRDefault="00457C9F" w:rsidP="00773832">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业务余额</w:t>
            </w:r>
          </w:p>
        </w:tc>
        <w:tc>
          <w:tcPr>
            <w:tcW w:w="922" w:type="pct"/>
            <w:noWrap/>
            <w:hideMark/>
          </w:tcPr>
          <w:p w:rsidR="00457C9F" w:rsidRPr="007672DA" w:rsidRDefault="00457C9F" w:rsidP="00773832">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占比</w:t>
            </w:r>
          </w:p>
        </w:tc>
      </w:tr>
      <w:tr w:rsidR="005F475E" w:rsidRPr="007672DA" w:rsidTr="00CA3CF5">
        <w:trPr>
          <w:trHeight w:val="270"/>
          <w:jc w:val="center"/>
        </w:trPr>
        <w:tc>
          <w:tcPr>
            <w:tcW w:w="219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厦门市</w:t>
            </w:r>
          </w:p>
        </w:tc>
        <w:tc>
          <w:tcPr>
            <w:tcW w:w="188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60,660.41</w:t>
            </w:r>
          </w:p>
        </w:tc>
        <w:tc>
          <w:tcPr>
            <w:tcW w:w="922"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77.66%</w:t>
            </w:r>
          </w:p>
        </w:tc>
      </w:tr>
      <w:tr w:rsidR="005F475E" w:rsidRPr="007672DA" w:rsidTr="00CA3CF5">
        <w:trPr>
          <w:trHeight w:val="270"/>
          <w:jc w:val="center"/>
        </w:trPr>
        <w:tc>
          <w:tcPr>
            <w:tcW w:w="219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泉州市</w:t>
            </w:r>
          </w:p>
        </w:tc>
        <w:tc>
          <w:tcPr>
            <w:tcW w:w="188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2,076.54</w:t>
            </w:r>
          </w:p>
        </w:tc>
        <w:tc>
          <w:tcPr>
            <w:tcW w:w="922"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2.66%</w:t>
            </w:r>
          </w:p>
        </w:tc>
      </w:tr>
      <w:tr w:rsidR="005F475E" w:rsidRPr="007672DA" w:rsidTr="00CA3CF5">
        <w:trPr>
          <w:trHeight w:val="270"/>
          <w:jc w:val="center"/>
        </w:trPr>
        <w:tc>
          <w:tcPr>
            <w:tcW w:w="219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漳州市</w:t>
            </w:r>
          </w:p>
        </w:tc>
        <w:tc>
          <w:tcPr>
            <w:tcW w:w="1888"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12,370.17</w:t>
            </w:r>
          </w:p>
        </w:tc>
        <w:tc>
          <w:tcPr>
            <w:tcW w:w="922"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15.84%</w:t>
            </w:r>
          </w:p>
        </w:tc>
      </w:tr>
      <w:tr w:rsidR="005F475E" w:rsidRPr="007672DA" w:rsidTr="00CA3CF5">
        <w:trPr>
          <w:trHeight w:val="270"/>
          <w:jc w:val="center"/>
        </w:trPr>
        <w:tc>
          <w:tcPr>
            <w:tcW w:w="2190"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福州市</w:t>
            </w:r>
          </w:p>
        </w:tc>
        <w:tc>
          <w:tcPr>
            <w:tcW w:w="1888"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3,002.51</w:t>
            </w:r>
          </w:p>
        </w:tc>
        <w:tc>
          <w:tcPr>
            <w:tcW w:w="922"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3.84%</w:t>
            </w:r>
          </w:p>
        </w:tc>
      </w:tr>
      <w:tr w:rsidR="005F475E" w:rsidRPr="007672DA" w:rsidTr="00CA3CF5">
        <w:trPr>
          <w:trHeight w:val="270"/>
          <w:jc w:val="center"/>
        </w:trPr>
        <w:tc>
          <w:tcPr>
            <w:tcW w:w="2190"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合计</w:t>
            </w:r>
          </w:p>
        </w:tc>
        <w:tc>
          <w:tcPr>
            <w:tcW w:w="1888"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78,109.63</w:t>
            </w:r>
          </w:p>
        </w:tc>
        <w:tc>
          <w:tcPr>
            <w:tcW w:w="922"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100.00%</w:t>
            </w:r>
          </w:p>
        </w:tc>
      </w:tr>
      <w:tr w:rsidR="00457C9F" w:rsidRPr="007672DA" w:rsidTr="00773832">
        <w:trPr>
          <w:trHeight w:val="270"/>
          <w:jc w:val="center"/>
        </w:trPr>
        <w:tc>
          <w:tcPr>
            <w:tcW w:w="5000" w:type="pct"/>
            <w:gridSpan w:val="3"/>
            <w:tcBorders>
              <w:left w:val="nil"/>
              <w:bottom w:val="nil"/>
              <w:right w:val="nil"/>
            </w:tcBorders>
            <w:noWrap/>
            <w:vAlign w:val="center"/>
          </w:tcPr>
          <w:p w:rsidR="00457C9F" w:rsidRPr="007672DA" w:rsidRDefault="00457C9F" w:rsidP="00773832">
            <w:pPr>
              <w:widowControl/>
              <w:adjustRightInd w:val="0"/>
              <w:snapToGrid w:val="0"/>
              <w:jc w:val="left"/>
              <w:rPr>
                <w:rFonts w:ascii="宋体" w:eastAsia="宋体" w:hAnsi="宋体" w:cs="宋体"/>
                <w:color w:val="000000"/>
                <w:kern w:val="0"/>
                <w:sz w:val="28"/>
                <w:szCs w:val="28"/>
              </w:rPr>
            </w:pPr>
            <w:r w:rsidRPr="007672DA">
              <w:rPr>
                <w:rFonts w:ascii="仿宋" w:eastAsia="仿宋" w:hAnsi="仿宋" w:cs="宋体" w:hint="eastAsia"/>
                <w:color w:val="000000"/>
                <w:kern w:val="0"/>
                <w:sz w:val="24"/>
                <w:szCs w:val="28"/>
              </w:rPr>
              <w:t>数据来源：</w:t>
            </w:r>
            <w:r w:rsidR="00AE3B80" w:rsidRPr="007672DA">
              <w:rPr>
                <w:rFonts w:ascii="仿宋" w:eastAsia="仿宋" w:hAnsi="仿宋" w:cs="宋体" w:hint="eastAsia"/>
                <w:color w:val="000000"/>
                <w:kern w:val="0"/>
                <w:sz w:val="24"/>
                <w:szCs w:val="28"/>
              </w:rPr>
              <w:t>理财资产管理系统</w:t>
            </w:r>
            <w:r w:rsidR="001A717C" w:rsidRPr="007672DA">
              <w:rPr>
                <w:rFonts w:ascii="仿宋" w:eastAsia="仿宋" w:hAnsi="仿宋" w:cs="宋体" w:hint="eastAsia"/>
                <w:color w:val="000000"/>
                <w:kern w:val="0"/>
                <w:sz w:val="24"/>
                <w:szCs w:val="24"/>
              </w:rPr>
              <w:t>、兆</w:t>
            </w:r>
            <w:proofErr w:type="gramStart"/>
            <w:r w:rsidR="001A717C" w:rsidRPr="007672DA">
              <w:rPr>
                <w:rFonts w:ascii="仿宋" w:eastAsia="仿宋" w:hAnsi="仿宋" w:cs="宋体" w:hint="eastAsia"/>
                <w:color w:val="000000"/>
                <w:kern w:val="0"/>
                <w:sz w:val="24"/>
                <w:szCs w:val="24"/>
              </w:rPr>
              <w:t>尹</w:t>
            </w:r>
            <w:proofErr w:type="gramEnd"/>
            <w:r w:rsidR="001A717C" w:rsidRPr="007672DA">
              <w:rPr>
                <w:rFonts w:ascii="仿宋" w:eastAsia="仿宋" w:hAnsi="仿宋" w:cs="宋体" w:hint="eastAsia"/>
                <w:color w:val="000000"/>
                <w:kern w:val="0"/>
                <w:sz w:val="24"/>
                <w:szCs w:val="24"/>
              </w:rPr>
              <w:t>系统</w:t>
            </w:r>
            <w:r w:rsidR="00AE3B80" w:rsidRPr="007672DA">
              <w:rPr>
                <w:rFonts w:ascii="仿宋" w:eastAsia="仿宋" w:hAnsi="仿宋" w:cs="宋体" w:hint="eastAsia"/>
                <w:color w:val="000000"/>
                <w:kern w:val="0"/>
                <w:sz w:val="24"/>
                <w:szCs w:val="28"/>
              </w:rPr>
              <w:t>、理财委外估值表</w:t>
            </w:r>
          </w:p>
        </w:tc>
      </w:tr>
      <w:tr w:rsidR="00457C9F" w:rsidRPr="007672DA" w:rsidTr="00773832">
        <w:trPr>
          <w:trHeight w:val="270"/>
          <w:jc w:val="center"/>
        </w:trPr>
        <w:tc>
          <w:tcPr>
            <w:tcW w:w="5000" w:type="pct"/>
            <w:gridSpan w:val="3"/>
            <w:tcBorders>
              <w:top w:val="nil"/>
              <w:left w:val="nil"/>
              <w:bottom w:val="nil"/>
              <w:right w:val="nil"/>
            </w:tcBorders>
            <w:noWrap/>
            <w:vAlign w:val="center"/>
          </w:tcPr>
          <w:p w:rsidR="00457C9F" w:rsidRPr="007672DA" w:rsidRDefault="00457C9F" w:rsidP="00773832">
            <w:pPr>
              <w:widowControl/>
              <w:adjustRightInd w:val="0"/>
              <w:snapToGrid w:val="0"/>
              <w:jc w:val="lef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lastRenderedPageBreak/>
              <w:t>备注：</w:t>
            </w:r>
            <w:r w:rsidR="00AE3B80" w:rsidRPr="007672DA">
              <w:rPr>
                <w:rFonts w:ascii="仿宋" w:eastAsia="仿宋" w:hAnsi="仿宋" w:cs="宋体" w:hint="eastAsia"/>
                <w:color w:val="000000"/>
                <w:kern w:val="0"/>
                <w:sz w:val="24"/>
                <w:szCs w:val="28"/>
              </w:rPr>
              <w:t>覆盖委外项下非金融企业债券投资</w:t>
            </w:r>
          </w:p>
        </w:tc>
      </w:tr>
    </w:tbl>
    <w:p w:rsidR="009E2131" w:rsidRPr="007672DA" w:rsidRDefault="009E2131" w:rsidP="009E2131">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2.</w:t>
      </w:r>
      <w:proofErr w:type="gramStart"/>
      <w:r w:rsidRPr="007672DA">
        <w:rPr>
          <w:rFonts w:ascii="仿宋_GB2312" w:eastAsia="仿宋_GB2312" w:hAnsi="Calibri" w:cs="Times New Roman" w:hint="eastAsia"/>
          <w:b/>
          <w:sz w:val="32"/>
          <w:szCs w:val="32"/>
        </w:rPr>
        <w:t>久期指标</w:t>
      </w:r>
      <w:proofErr w:type="gramEnd"/>
    </w:p>
    <w:p w:rsidR="009E2131" w:rsidRPr="007672DA" w:rsidRDefault="009E2131" w:rsidP="009E2131">
      <w:pPr>
        <w:wordWrap w:val="0"/>
        <w:ind w:firstLineChars="200" w:firstLine="480"/>
        <w:jc w:val="right"/>
        <w:rPr>
          <w:rFonts w:ascii="仿宋_GB2312" w:eastAsia="仿宋_GB2312" w:hAnsi="Calibri" w:cs="Times New Roman"/>
          <w:b/>
          <w:sz w:val="32"/>
          <w:szCs w:val="32"/>
        </w:rPr>
      </w:pPr>
      <w:r w:rsidRPr="007672DA">
        <w:rPr>
          <w:rFonts w:ascii="仿宋_GB2312" w:eastAsia="仿宋_GB2312" w:hAnsi="Calibri" w:cs="Times New Roman" w:hint="eastAsia"/>
          <w:sz w:val="24"/>
          <w:szCs w:val="32"/>
        </w:rPr>
        <w:t>单位：万元、年</w:t>
      </w:r>
    </w:p>
    <w:tbl>
      <w:tblPr>
        <w:tblStyle w:val="a3"/>
        <w:tblW w:w="5000" w:type="pct"/>
        <w:tblLook w:val="04A0" w:firstRow="1" w:lastRow="0" w:firstColumn="1" w:lastColumn="0" w:noHBand="0" w:noVBand="1"/>
      </w:tblPr>
      <w:tblGrid>
        <w:gridCol w:w="4427"/>
        <w:gridCol w:w="2225"/>
        <w:gridCol w:w="1870"/>
      </w:tblGrid>
      <w:tr w:rsidR="009E2131" w:rsidRPr="007672DA" w:rsidTr="005F475E">
        <w:trPr>
          <w:trHeight w:val="270"/>
        </w:trPr>
        <w:tc>
          <w:tcPr>
            <w:tcW w:w="2626" w:type="pct"/>
            <w:noWrap/>
            <w:hideMark/>
          </w:tcPr>
          <w:p w:rsidR="009E2131" w:rsidRPr="007672DA" w:rsidRDefault="009E2131" w:rsidP="00E97610">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指标名称</w:t>
            </w:r>
          </w:p>
        </w:tc>
        <w:tc>
          <w:tcPr>
            <w:tcW w:w="1294" w:type="pct"/>
            <w:noWrap/>
            <w:hideMark/>
          </w:tcPr>
          <w:p w:rsidR="009E2131" w:rsidRPr="007672DA" w:rsidRDefault="009E2131" w:rsidP="00E97610">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债券规模</w:t>
            </w:r>
          </w:p>
        </w:tc>
        <w:tc>
          <w:tcPr>
            <w:tcW w:w="1080" w:type="pct"/>
            <w:noWrap/>
            <w:hideMark/>
          </w:tcPr>
          <w:p w:rsidR="009E2131" w:rsidRPr="007672DA" w:rsidRDefault="009E2131" w:rsidP="00E97610">
            <w:pPr>
              <w:widowControl/>
              <w:adjustRightInd w:val="0"/>
              <w:snapToGrid w:val="0"/>
              <w:jc w:val="center"/>
              <w:rPr>
                <w:rFonts w:ascii="宋体" w:eastAsia="宋体" w:hAnsi="宋体" w:cs="宋体"/>
                <w:b/>
                <w:color w:val="000000"/>
                <w:kern w:val="0"/>
                <w:sz w:val="28"/>
                <w:szCs w:val="28"/>
              </w:rPr>
            </w:pPr>
            <w:proofErr w:type="gramStart"/>
            <w:r w:rsidRPr="007672DA">
              <w:rPr>
                <w:rFonts w:ascii="宋体" w:eastAsia="宋体" w:hAnsi="宋体" w:cs="宋体" w:hint="eastAsia"/>
                <w:b/>
                <w:color w:val="000000"/>
                <w:kern w:val="0"/>
                <w:sz w:val="28"/>
                <w:szCs w:val="28"/>
              </w:rPr>
              <w:t>加权久期</w:t>
            </w:r>
            <w:proofErr w:type="gramEnd"/>
          </w:p>
        </w:tc>
      </w:tr>
      <w:tr w:rsidR="005F475E" w:rsidRPr="007672DA" w:rsidTr="005F475E">
        <w:trPr>
          <w:trHeight w:val="270"/>
        </w:trPr>
        <w:tc>
          <w:tcPr>
            <w:tcW w:w="2626" w:type="pct"/>
            <w:noWrap/>
            <w:vAlign w:val="center"/>
          </w:tcPr>
          <w:p w:rsidR="005F475E" w:rsidRPr="007672DA" w:rsidRDefault="005F475E" w:rsidP="00A415CE">
            <w:pPr>
              <w:adjustRightInd w:val="0"/>
              <w:snapToGrid w:val="0"/>
              <w:rPr>
                <w:rFonts w:asciiTheme="minorEastAsia" w:hAnsiTheme="minorEastAsia" w:cs="宋体"/>
                <w:color w:val="000000"/>
                <w:sz w:val="28"/>
                <w:szCs w:val="28"/>
              </w:rPr>
            </w:pPr>
            <w:r w:rsidRPr="007672DA">
              <w:rPr>
                <w:rFonts w:asciiTheme="minorEastAsia" w:hAnsiTheme="minorEastAsia" w:hint="eastAsia"/>
                <w:color w:val="000000"/>
                <w:sz w:val="28"/>
                <w:szCs w:val="28"/>
              </w:rPr>
              <w:t>同业业务中心</w:t>
            </w:r>
            <w:proofErr w:type="gramStart"/>
            <w:r w:rsidRPr="007672DA">
              <w:rPr>
                <w:rFonts w:asciiTheme="minorEastAsia" w:hAnsiTheme="minorEastAsia" w:hint="eastAsia"/>
                <w:color w:val="000000"/>
                <w:sz w:val="28"/>
                <w:szCs w:val="28"/>
              </w:rPr>
              <w:t>债券久期</w:t>
            </w:r>
            <w:proofErr w:type="gramEnd"/>
          </w:p>
        </w:tc>
        <w:tc>
          <w:tcPr>
            <w:tcW w:w="1294"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3,219,300.78</w:t>
            </w:r>
          </w:p>
        </w:tc>
        <w:tc>
          <w:tcPr>
            <w:tcW w:w="1080"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3.25</w:t>
            </w:r>
          </w:p>
        </w:tc>
      </w:tr>
      <w:tr w:rsidR="005F475E" w:rsidRPr="007672DA" w:rsidTr="005F475E">
        <w:trPr>
          <w:trHeight w:val="270"/>
        </w:trPr>
        <w:tc>
          <w:tcPr>
            <w:tcW w:w="2626" w:type="pct"/>
            <w:noWrap/>
            <w:vAlign w:val="center"/>
          </w:tcPr>
          <w:p w:rsidR="005F475E" w:rsidRPr="007672DA" w:rsidRDefault="005F475E" w:rsidP="00A415CE">
            <w:pPr>
              <w:adjustRightInd w:val="0"/>
              <w:snapToGrid w:val="0"/>
              <w:rPr>
                <w:rFonts w:asciiTheme="minorEastAsia" w:hAnsiTheme="minorEastAsia"/>
                <w:color w:val="000000"/>
                <w:sz w:val="28"/>
                <w:szCs w:val="28"/>
              </w:rPr>
            </w:pPr>
            <w:r w:rsidRPr="007672DA">
              <w:rPr>
                <w:rFonts w:asciiTheme="minorEastAsia" w:hAnsiTheme="minorEastAsia" w:hint="eastAsia"/>
                <w:color w:val="000000"/>
                <w:sz w:val="28"/>
                <w:szCs w:val="28"/>
              </w:rPr>
              <w:t>其中：利率</w:t>
            </w:r>
            <w:proofErr w:type="gramStart"/>
            <w:r w:rsidRPr="007672DA">
              <w:rPr>
                <w:rFonts w:asciiTheme="minorEastAsia" w:hAnsiTheme="minorEastAsia" w:hint="eastAsia"/>
                <w:color w:val="000000"/>
                <w:sz w:val="28"/>
                <w:szCs w:val="28"/>
              </w:rPr>
              <w:t>债久期</w:t>
            </w:r>
            <w:proofErr w:type="gramEnd"/>
          </w:p>
        </w:tc>
        <w:tc>
          <w:tcPr>
            <w:tcW w:w="1294"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2,148,062.77</w:t>
            </w:r>
          </w:p>
        </w:tc>
        <w:tc>
          <w:tcPr>
            <w:tcW w:w="1080"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4.28</w:t>
            </w:r>
          </w:p>
        </w:tc>
      </w:tr>
      <w:tr w:rsidR="005F475E" w:rsidRPr="007672DA" w:rsidTr="005F475E">
        <w:trPr>
          <w:trHeight w:val="270"/>
        </w:trPr>
        <w:tc>
          <w:tcPr>
            <w:tcW w:w="2626" w:type="pct"/>
            <w:noWrap/>
            <w:vAlign w:val="center"/>
          </w:tcPr>
          <w:p w:rsidR="005F475E" w:rsidRPr="007672DA" w:rsidRDefault="005F475E" w:rsidP="00A415CE">
            <w:pPr>
              <w:adjustRightInd w:val="0"/>
              <w:snapToGrid w:val="0"/>
              <w:ind w:firstLineChars="300" w:firstLine="840"/>
              <w:rPr>
                <w:rFonts w:asciiTheme="minorEastAsia" w:hAnsiTheme="minorEastAsia"/>
                <w:color w:val="000000"/>
                <w:sz w:val="28"/>
                <w:szCs w:val="28"/>
              </w:rPr>
            </w:pPr>
            <w:r w:rsidRPr="007672DA">
              <w:rPr>
                <w:rFonts w:asciiTheme="minorEastAsia" w:hAnsiTheme="minorEastAsia" w:hint="eastAsia"/>
                <w:color w:val="000000"/>
                <w:sz w:val="28"/>
                <w:szCs w:val="28"/>
              </w:rPr>
              <w:t>金融</w:t>
            </w:r>
            <w:proofErr w:type="gramStart"/>
            <w:r w:rsidRPr="007672DA">
              <w:rPr>
                <w:rFonts w:asciiTheme="minorEastAsia" w:hAnsiTheme="minorEastAsia" w:hint="eastAsia"/>
                <w:color w:val="000000"/>
                <w:sz w:val="28"/>
                <w:szCs w:val="28"/>
              </w:rPr>
              <w:t>债久期（除利率债</w:t>
            </w:r>
            <w:proofErr w:type="gramEnd"/>
            <w:r w:rsidRPr="007672DA">
              <w:rPr>
                <w:rFonts w:asciiTheme="minorEastAsia" w:hAnsiTheme="minorEastAsia" w:hint="eastAsia"/>
                <w:color w:val="000000"/>
                <w:sz w:val="28"/>
                <w:szCs w:val="28"/>
              </w:rPr>
              <w:t>外）</w:t>
            </w:r>
          </w:p>
        </w:tc>
        <w:tc>
          <w:tcPr>
            <w:tcW w:w="1294"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228,181.47</w:t>
            </w:r>
          </w:p>
        </w:tc>
        <w:tc>
          <w:tcPr>
            <w:tcW w:w="1080"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0.77</w:t>
            </w:r>
          </w:p>
        </w:tc>
      </w:tr>
      <w:tr w:rsidR="005F475E" w:rsidRPr="007672DA" w:rsidTr="005F475E">
        <w:trPr>
          <w:trHeight w:val="270"/>
        </w:trPr>
        <w:tc>
          <w:tcPr>
            <w:tcW w:w="2626" w:type="pct"/>
            <w:noWrap/>
            <w:vAlign w:val="center"/>
          </w:tcPr>
          <w:p w:rsidR="005F475E" w:rsidRPr="007672DA" w:rsidRDefault="005F475E" w:rsidP="00A415CE">
            <w:pPr>
              <w:adjustRightInd w:val="0"/>
              <w:snapToGrid w:val="0"/>
              <w:ind w:firstLineChars="300" w:firstLine="840"/>
              <w:rPr>
                <w:rFonts w:asciiTheme="minorEastAsia" w:hAnsiTheme="minorEastAsia"/>
                <w:color w:val="000000"/>
                <w:sz w:val="28"/>
                <w:szCs w:val="28"/>
              </w:rPr>
            </w:pPr>
            <w:r w:rsidRPr="007672DA">
              <w:rPr>
                <w:rFonts w:asciiTheme="minorEastAsia" w:hAnsiTheme="minorEastAsia" w:hint="eastAsia"/>
                <w:color w:val="000000"/>
                <w:sz w:val="28"/>
                <w:szCs w:val="28"/>
              </w:rPr>
              <w:t>非金融</w:t>
            </w:r>
            <w:proofErr w:type="gramStart"/>
            <w:r w:rsidRPr="007672DA">
              <w:rPr>
                <w:rFonts w:asciiTheme="minorEastAsia" w:hAnsiTheme="minorEastAsia" w:hint="eastAsia"/>
                <w:color w:val="000000"/>
                <w:sz w:val="28"/>
                <w:szCs w:val="28"/>
              </w:rPr>
              <w:t>企业债券久期</w:t>
            </w:r>
            <w:proofErr w:type="gramEnd"/>
          </w:p>
        </w:tc>
        <w:tc>
          <w:tcPr>
            <w:tcW w:w="1294"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843,056.53</w:t>
            </w:r>
          </w:p>
        </w:tc>
        <w:tc>
          <w:tcPr>
            <w:tcW w:w="1080"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1.27</w:t>
            </w:r>
          </w:p>
        </w:tc>
      </w:tr>
      <w:tr w:rsidR="005F475E" w:rsidRPr="007672DA" w:rsidTr="005F475E">
        <w:trPr>
          <w:trHeight w:val="270"/>
        </w:trPr>
        <w:tc>
          <w:tcPr>
            <w:tcW w:w="2626" w:type="pct"/>
            <w:noWrap/>
            <w:vAlign w:val="center"/>
          </w:tcPr>
          <w:p w:rsidR="005F475E" w:rsidRPr="007672DA" w:rsidRDefault="005F475E" w:rsidP="00A415CE">
            <w:pPr>
              <w:adjustRightInd w:val="0"/>
              <w:snapToGrid w:val="0"/>
              <w:rPr>
                <w:rFonts w:asciiTheme="minorEastAsia" w:hAnsiTheme="minorEastAsia" w:cs="宋体"/>
                <w:color w:val="000000"/>
                <w:sz w:val="28"/>
                <w:szCs w:val="28"/>
              </w:rPr>
            </w:pPr>
            <w:r w:rsidRPr="007672DA">
              <w:rPr>
                <w:rFonts w:asciiTheme="minorEastAsia" w:hAnsiTheme="minorEastAsia" w:hint="eastAsia"/>
                <w:color w:val="000000"/>
                <w:sz w:val="28"/>
                <w:szCs w:val="28"/>
              </w:rPr>
              <w:t>理财事业部</w:t>
            </w:r>
            <w:proofErr w:type="gramStart"/>
            <w:r w:rsidRPr="007672DA">
              <w:rPr>
                <w:rFonts w:asciiTheme="minorEastAsia" w:hAnsiTheme="minorEastAsia" w:hint="eastAsia"/>
                <w:color w:val="000000"/>
                <w:sz w:val="28"/>
                <w:szCs w:val="28"/>
              </w:rPr>
              <w:t>债券久期</w:t>
            </w:r>
            <w:proofErr w:type="gramEnd"/>
          </w:p>
        </w:tc>
        <w:tc>
          <w:tcPr>
            <w:tcW w:w="1294"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1,030,746.64</w:t>
            </w:r>
          </w:p>
        </w:tc>
        <w:tc>
          <w:tcPr>
            <w:tcW w:w="1080"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2.14</w:t>
            </w:r>
          </w:p>
        </w:tc>
      </w:tr>
      <w:tr w:rsidR="005F475E" w:rsidRPr="007672DA" w:rsidTr="005F475E">
        <w:trPr>
          <w:trHeight w:val="270"/>
        </w:trPr>
        <w:tc>
          <w:tcPr>
            <w:tcW w:w="2626" w:type="pct"/>
            <w:noWrap/>
            <w:vAlign w:val="center"/>
          </w:tcPr>
          <w:p w:rsidR="005F475E" w:rsidRPr="007672DA" w:rsidRDefault="005F475E" w:rsidP="00A415CE">
            <w:pPr>
              <w:adjustRightInd w:val="0"/>
              <w:snapToGrid w:val="0"/>
              <w:rPr>
                <w:rFonts w:asciiTheme="minorEastAsia" w:hAnsiTheme="minorEastAsia"/>
                <w:color w:val="000000"/>
                <w:sz w:val="28"/>
                <w:szCs w:val="28"/>
              </w:rPr>
            </w:pPr>
            <w:r w:rsidRPr="007672DA">
              <w:rPr>
                <w:rFonts w:asciiTheme="minorEastAsia" w:hAnsiTheme="minorEastAsia" w:hint="eastAsia"/>
                <w:color w:val="000000"/>
                <w:sz w:val="28"/>
                <w:szCs w:val="28"/>
              </w:rPr>
              <w:t>其中：利率</w:t>
            </w:r>
            <w:proofErr w:type="gramStart"/>
            <w:r w:rsidRPr="007672DA">
              <w:rPr>
                <w:rFonts w:asciiTheme="minorEastAsia" w:hAnsiTheme="minorEastAsia" w:hint="eastAsia"/>
                <w:color w:val="000000"/>
                <w:sz w:val="28"/>
                <w:szCs w:val="28"/>
              </w:rPr>
              <w:t>债久期</w:t>
            </w:r>
            <w:proofErr w:type="gramEnd"/>
          </w:p>
        </w:tc>
        <w:tc>
          <w:tcPr>
            <w:tcW w:w="1294"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154,104.26</w:t>
            </w:r>
          </w:p>
        </w:tc>
        <w:tc>
          <w:tcPr>
            <w:tcW w:w="1080"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4.39</w:t>
            </w:r>
          </w:p>
        </w:tc>
      </w:tr>
      <w:tr w:rsidR="005F475E" w:rsidRPr="007672DA" w:rsidTr="005F475E">
        <w:trPr>
          <w:trHeight w:val="270"/>
        </w:trPr>
        <w:tc>
          <w:tcPr>
            <w:tcW w:w="2626" w:type="pct"/>
            <w:noWrap/>
            <w:vAlign w:val="center"/>
            <w:hideMark/>
          </w:tcPr>
          <w:p w:rsidR="005F475E" w:rsidRPr="007672DA" w:rsidRDefault="005F475E" w:rsidP="00A415CE">
            <w:pPr>
              <w:adjustRightInd w:val="0"/>
              <w:snapToGrid w:val="0"/>
              <w:ind w:firstLineChars="300" w:firstLine="840"/>
              <w:rPr>
                <w:rFonts w:asciiTheme="minorEastAsia" w:hAnsiTheme="minorEastAsia" w:cs="宋体"/>
                <w:color w:val="000000"/>
                <w:sz w:val="28"/>
                <w:szCs w:val="28"/>
              </w:rPr>
            </w:pPr>
            <w:r w:rsidRPr="007672DA">
              <w:rPr>
                <w:rFonts w:asciiTheme="minorEastAsia" w:hAnsiTheme="minorEastAsia" w:hint="eastAsia"/>
                <w:color w:val="000000"/>
                <w:sz w:val="28"/>
                <w:szCs w:val="28"/>
              </w:rPr>
              <w:t>金融</w:t>
            </w:r>
            <w:proofErr w:type="gramStart"/>
            <w:r w:rsidRPr="007672DA">
              <w:rPr>
                <w:rFonts w:asciiTheme="minorEastAsia" w:hAnsiTheme="minorEastAsia" w:hint="eastAsia"/>
                <w:color w:val="000000"/>
                <w:sz w:val="28"/>
                <w:szCs w:val="28"/>
              </w:rPr>
              <w:t>债久期（除利率债</w:t>
            </w:r>
            <w:proofErr w:type="gramEnd"/>
            <w:r w:rsidRPr="007672DA">
              <w:rPr>
                <w:rFonts w:asciiTheme="minorEastAsia" w:hAnsiTheme="minorEastAsia" w:hint="eastAsia"/>
                <w:color w:val="000000"/>
                <w:sz w:val="28"/>
                <w:szCs w:val="28"/>
              </w:rPr>
              <w:t>外）</w:t>
            </w:r>
          </w:p>
        </w:tc>
        <w:tc>
          <w:tcPr>
            <w:tcW w:w="1294"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41,507.31</w:t>
            </w:r>
          </w:p>
        </w:tc>
        <w:tc>
          <w:tcPr>
            <w:tcW w:w="108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1.38</w:t>
            </w:r>
          </w:p>
        </w:tc>
      </w:tr>
      <w:tr w:rsidR="005F475E" w:rsidRPr="007672DA" w:rsidTr="005F475E">
        <w:trPr>
          <w:trHeight w:val="270"/>
        </w:trPr>
        <w:tc>
          <w:tcPr>
            <w:tcW w:w="2626" w:type="pct"/>
            <w:noWrap/>
            <w:vAlign w:val="center"/>
            <w:hideMark/>
          </w:tcPr>
          <w:p w:rsidR="005F475E" w:rsidRPr="007672DA" w:rsidRDefault="005F475E" w:rsidP="00A415CE">
            <w:pPr>
              <w:adjustRightInd w:val="0"/>
              <w:snapToGrid w:val="0"/>
              <w:ind w:firstLineChars="300" w:firstLine="840"/>
              <w:rPr>
                <w:rFonts w:asciiTheme="minorEastAsia" w:hAnsiTheme="minorEastAsia" w:cs="宋体"/>
                <w:color w:val="000000"/>
                <w:sz w:val="28"/>
                <w:szCs w:val="28"/>
              </w:rPr>
            </w:pPr>
            <w:r w:rsidRPr="007672DA">
              <w:rPr>
                <w:rFonts w:asciiTheme="minorEastAsia" w:hAnsiTheme="minorEastAsia" w:hint="eastAsia"/>
                <w:color w:val="000000"/>
                <w:sz w:val="28"/>
                <w:szCs w:val="28"/>
              </w:rPr>
              <w:t>非金融</w:t>
            </w:r>
            <w:proofErr w:type="gramStart"/>
            <w:r w:rsidRPr="007672DA">
              <w:rPr>
                <w:rFonts w:asciiTheme="minorEastAsia" w:hAnsiTheme="minorEastAsia" w:hint="eastAsia"/>
                <w:color w:val="000000"/>
                <w:sz w:val="28"/>
                <w:szCs w:val="28"/>
              </w:rPr>
              <w:t>企业债券久期</w:t>
            </w:r>
            <w:proofErr w:type="gramEnd"/>
          </w:p>
        </w:tc>
        <w:tc>
          <w:tcPr>
            <w:tcW w:w="1294"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835,135.07</w:t>
            </w:r>
          </w:p>
        </w:tc>
        <w:tc>
          <w:tcPr>
            <w:tcW w:w="1080"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1.76</w:t>
            </w:r>
          </w:p>
        </w:tc>
      </w:tr>
      <w:tr w:rsidR="00A415CE" w:rsidRPr="007672DA" w:rsidTr="004A6CF0">
        <w:trPr>
          <w:trHeight w:val="270"/>
        </w:trPr>
        <w:tc>
          <w:tcPr>
            <w:tcW w:w="5000" w:type="pct"/>
            <w:gridSpan w:val="3"/>
            <w:tcBorders>
              <w:left w:val="nil"/>
              <w:bottom w:val="nil"/>
              <w:right w:val="nil"/>
            </w:tcBorders>
            <w:noWrap/>
            <w:vAlign w:val="center"/>
          </w:tcPr>
          <w:p w:rsidR="00A415CE" w:rsidRPr="007672DA" w:rsidRDefault="00A415CE" w:rsidP="0022695A">
            <w:pPr>
              <w:widowControl/>
              <w:adjustRightInd w:val="0"/>
              <w:snapToGrid w:val="0"/>
              <w:jc w:val="left"/>
              <w:rPr>
                <w:rFonts w:ascii="仿宋" w:eastAsia="仿宋" w:hAnsi="仿宋" w:cs="宋体"/>
                <w:color w:val="000000"/>
                <w:kern w:val="0"/>
                <w:sz w:val="28"/>
                <w:szCs w:val="28"/>
              </w:rPr>
            </w:pPr>
            <w:r w:rsidRPr="007672DA">
              <w:rPr>
                <w:rFonts w:ascii="仿宋" w:eastAsia="仿宋" w:hAnsi="仿宋" w:cs="宋体" w:hint="eastAsia"/>
                <w:color w:val="000000"/>
                <w:kern w:val="0"/>
                <w:sz w:val="24"/>
                <w:szCs w:val="28"/>
              </w:rPr>
              <w:t>数据来源：理财资产管理系统</w:t>
            </w:r>
            <w:r w:rsidRPr="007672DA">
              <w:rPr>
                <w:rFonts w:ascii="仿宋" w:eastAsia="仿宋" w:hAnsi="仿宋" w:cs="宋体" w:hint="eastAsia"/>
                <w:color w:val="000000"/>
                <w:kern w:val="0"/>
                <w:sz w:val="24"/>
                <w:szCs w:val="24"/>
              </w:rPr>
              <w:t>、兆</w:t>
            </w:r>
            <w:proofErr w:type="gramStart"/>
            <w:r w:rsidRPr="007672DA">
              <w:rPr>
                <w:rFonts w:ascii="仿宋" w:eastAsia="仿宋" w:hAnsi="仿宋" w:cs="宋体" w:hint="eastAsia"/>
                <w:color w:val="000000"/>
                <w:kern w:val="0"/>
                <w:sz w:val="24"/>
                <w:szCs w:val="24"/>
              </w:rPr>
              <w:t>尹</w:t>
            </w:r>
            <w:proofErr w:type="gramEnd"/>
            <w:r w:rsidRPr="007672DA">
              <w:rPr>
                <w:rFonts w:ascii="仿宋" w:eastAsia="仿宋" w:hAnsi="仿宋" w:cs="宋体" w:hint="eastAsia"/>
                <w:color w:val="000000"/>
                <w:kern w:val="0"/>
                <w:sz w:val="24"/>
                <w:szCs w:val="24"/>
              </w:rPr>
              <w:t>系统</w:t>
            </w:r>
            <w:r w:rsidRPr="007672DA">
              <w:rPr>
                <w:rFonts w:ascii="仿宋" w:eastAsia="仿宋" w:hAnsi="仿宋" w:cs="宋体" w:hint="eastAsia"/>
                <w:color w:val="000000"/>
                <w:kern w:val="0"/>
                <w:sz w:val="24"/>
                <w:szCs w:val="28"/>
              </w:rPr>
              <w:t>、</w:t>
            </w:r>
            <w:r w:rsidR="0022695A" w:rsidRPr="007672DA">
              <w:rPr>
                <w:rFonts w:ascii="仿宋" w:eastAsia="仿宋" w:hAnsi="仿宋" w:cs="宋体" w:hint="eastAsia"/>
                <w:color w:val="000000"/>
                <w:kern w:val="0"/>
                <w:sz w:val="24"/>
                <w:szCs w:val="28"/>
              </w:rPr>
              <w:t>资金业务管理系统</w:t>
            </w:r>
            <w:r w:rsidRPr="007672DA">
              <w:rPr>
                <w:rFonts w:ascii="仿宋" w:eastAsia="仿宋" w:hAnsi="仿宋" w:cs="宋体" w:hint="eastAsia"/>
                <w:color w:val="000000"/>
                <w:kern w:val="0"/>
                <w:sz w:val="24"/>
                <w:szCs w:val="28"/>
              </w:rPr>
              <w:t>、COMSTAR系统、委外估值表</w:t>
            </w:r>
            <w:r w:rsidR="0022695A" w:rsidRPr="007672DA">
              <w:rPr>
                <w:rFonts w:ascii="仿宋" w:eastAsia="仿宋" w:hAnsi="仿宋" w:cs="宋体" w:hint="eastAsia"/>
                <w:color w:val="000000"/>
                <w:kern w:val="0"/>
                <w:sz w:val="24"/>
                <w:szCs w:val="28"/>
              </w:rPr>
              <w:t>，尚未</w:t>
            </w:r>
            <w:proofErr w:type="gramStart"/>
            <w:r w:rsidR="0022695A" w:rsidRPr="007672DA">
              <w:rPr>
                <w:rFonts w:ascii="仿宋" w:eastAsia="仿宋" w:hAnsi="仿宋" w:cs="宋体" w:hint="eastAsia"/>
                <w:color w:val="000000"/>
                <w:kern w:val="0"/>
                <w:sz w:val="24"/>
                <w:szCs w:val="28"/>
              </w:rPr>
              <w:t>涵盖省联社</w:t>
            </w:r>
            <w:proofErr w:type="gramEnd"/>
            <w:r w:rsidR="0022695A" w:rsidRPr="007672DA">
              <w:rPr>
                <w:rFonts w:ascii="仿宋" w:eastAsia="仿宋" w:hAnsi="仿宋" w:cs="宋体" w:hint="eastAsia"/>
                <w:color w:val="000000"/>
                <w:kern w:val="0"/>
                <w:sz w:val="24"/>
                <w:szCs w:val="28"/>
              </w:rPr>
              <w:t>资金统一平台数据</w:t>
            </w:r>
          </w:p>
        </w:tc>
      </w:tr>
      <w:tr w:rsidR="00A415CE" w:rsidRPr="007672DA" w:rsidTr="004A6CF0">
        <w:trPr>
          <w:trHeight w:val="270"/>
        </w:trPr>
        <w:tc>
          <w:tcPr>
            <w:tcW w:w="5000" w:type="pct"/>
            <w:gridSpan w:val="3"/>
            <w:tcBorders>
              <w:top w:val="nil"/>
              <w:left w:val="nil"/>
              <w:bottom w:val="nil"/>
              <w:right w:val="nil"/>
            </w:tcBorders>
            <w:noWrap/>
            <w:vAlign w:val="center"/>
          </w:tcPr>
          <w:p w:rsidR="00A415CE" w:rsidRPr="007672DA" w:rsidRDefault="00A415CE" w:rsidP="00D06964">
            <w:pPr>
              <w:widowControl/>
              <w:adjustRightInd w:val="0"/>
              <w:snapToGrid w:val="0"/>
              <w:jc w:val="left"/>
              <w:rPr>
                <w:rFonts w:ascii="仿宋" w:eastAsia="仿宋" w:hAnsi="仿宋" w:cs="宋体"/>
                <w:color w:val="000000"/>
                <w:kern w:val="0"/>
                <w:sz w:val="24"/>
                <w:szCs w:val="28"/>
              </w:rPr>
            </w:pPr>
            <w:r w:rsidRPr="007672DA">
              <w:rPr>
                <w:rFonts w:ascii="仿宋" w:eastAsia="仿宋" w:hAnsi="仿宋" w:cs="宋体" w:hint="eastAsia"/>
                <w:color w:val="000000"/>
                <w:kern w:val="0"/>
                <w:sz w:val="24"/>
                <w:szCs w:val="28"/>
              </w:rPr>
              <w:t>备注：覆盖同业线下、同业线上，以及债基、委外项下债券投资</w:t>
            </w:r>
          </w:p>
        </w:tc>
      </w:tr>
    </w:tbl>
    <w:p w:rsidR="009E2131" w:rsidRPr="007672DA" w:rsidRDefault="009E2131" w:rsidP="009E2131">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3.杠杆指标</w:t>
      </w:r>
    </w:p>
    <w:p w:rsidR="009E2131" w:rsidRPr="007672DA" w:rsidRDefault="009E2131" w:rsidP="009E2131">
      <w:pPr>
        <w:wordWrap w:val="0"/>
        <w:ind w:firstLineChars="200" w:firstLine="480"/>
        <w:jc w:val="right"/>
        <w:rPr>
          <w:rFonts w:ascii="仿宋_GB2312" w:eastAsia="仿宋_GB2312" w:hAnsi="Calibri" w:cs="Times New Roman"/>
          <w:b/>
          <w:sz w:val="32"/>
          <w:szCs w:val="32"/>
        </w:rPr>
      </w:pPr>
      <w:r w:rsidRPr="007672DA">
        <w:rPr>
          <w:rFonts w:ascii="仿宋_GB2312" w:eastAsia="仿宋_GB2312" w:hAnsi="Calibri" w:cs="Times New Roman" w:hint="eastAsia"/>
          <w:sz w:val="24"/>
          <w:szCs w:val="32"/>
        </w:rPr>
        <w:t>单位：%</w:t>
      </w:r>
    </w:p>
    <w:tbl>
      <w:tblPr>
        <w:tblStyle w:val="a3"/>
        <w:tblW w:w="5000" w:type="pct"/>
        <w:tblLook w:val="04A0" w:firstRow="1" w:lastRow="0" w:firstColumn="1" w:lastColumn="0" w:noHBand="0" w:noVBand="1"/>
      </w:tblPr>
      <w:tblGrid>
        <w:gridCol w:w="3032"/>
        <w:gridCol w:w="2751"/>
        <w:gridCol w:w="2739"/>
      </w:tblGrid>
      <w:tr w:rsidR="009E2131" w:rsidRPr="007672DA" w:rsidTr="005F475E">
        <w:trPr>
          <w:trHeight w:val="270"/>
        </w:trPr>
        <w:tc>
          <w:tcPr>
            <w:tcW w:w="1781" w:type="pct"/>
            <w:noWrap/>
            <w:hideMark/>
          </w:tcPr>
          <w:p w:rsidR="009E2131" w:rsidRPr="007672DA" w:rsidRDefault="009E2131" w:rsidP="00E97610">
            <w:pPr>
              <w:widowControl/>
              <w:adjustRightInd w:val="0"/>
              <w:snapToGrid w:val="0"/>
              <w:jc w:val="center"/>
              <w:rPr>
                <w:rFonts w:ascii="宋体" w:eastAsia="宋体" w:hAnsi="宋体" w:cs="宋体"/>
                <w:b/>
                <w:color w:val="000000"/>
                <w:kern w:val="0"/>
                <w:sz w:val="28"/>
              </w:rPr>
            </w:pPr>
            <w:r w:rsidRPr="007672DA">
              <w:rPr>
                <w:rFonts w:ascii="宋体" w:eastAsia="宋体" w:hAnsi="宋体" w:cs="宋体" w:hint="eastAsia"/>
                <w:b/>
                <w:color w:val="000000"/>
                <w:kern w:val="0"/>
                <w:sz w:val="28"/>
              </w:rPr>
              <w:t>指标名称</w:t>
            </w:r>
          </w:p>
        </w:tc>
        <w:tc>
          <w:tcPr>
            <w:tcW w:w="1613" w:type="pct"/>
            <w:tcBorders>
              <w:bottom w:val="single" w:sz="4" w:space="0" w:color="auto"/>
            </w:tcBorders>
            <w:noWrap/>
            <w:hideMark/>
          </w:tcPr>
          <w:p w:rsidR="009E2131" w:rsidRPr="007672DA" w:rsidRDefault="009E2131" w:rsidP="00E97610">
            <w:pPr>
              <w:widowControl/>
              <w:adjustRightInd w:val="0"/>
              <w:snapToGrid w:val="0"/>
              <w:jc w:val="center"/>
              <w:rPr>
                <w:rFonts w:ascii="宋体" w:eastAsia="宋体" w:hAnsi="宋体" w:cs="宋体"/>
                <w:b/>
                <w:color w:val="000000"/>
                <w:kern w:val="0"/>
                <w:sz w:val="28"/>
              </w:rPr>
            </w:pPr>
            <w:r w:rsidRPr="007672DA">
              <w:rPr>
                <w:rFonts w:ascii="宋体" w:eastAsia="宋体" w:hAnsi="宋体" w:cs="宋体" w:hint="eastAsia"/>
                <w:b/>
                <w:color w:val="000000"/>
                <w:kern w:val="0"/>
                <w:sz w:val="28"/>
              </w:rPr>
              <w:t>杠杆率</w:t>
            </w:r>
          </w:p>
        </w:tc>
        <w:tc>
          <w:tcPr>
            <w:tcW w:w="1606" w:type="pct"/>
          </w:tcPr>
          <w:p w:rsidR="009E2131" w:rsidRPr="007672DA" w:rsidRDefault="009E2131" w:rsidP="00E97610">
            <w:pPr>
              <w:widowControl/>
              <w:adjustRightInd w:val="0"/>
              <w:snapToGrid w:val="0"/>
              <w:jc w:val="center"/>
              <w:rPr>
                <w:rFonts w:ascii="宋体" w:eastAsia="宋体" w:hAnsi="宋体" w:cs="宋体"/>
                <w:b/>
                <w:color w:val="000000"/>
                <w:kern w:val="0"/>
                <w:sz w:val="28"/>
              </w:rPr>
            </w:pPr>
            <w:r w:rsidRPr="007672DA">
              <w:rPr>
                <w:rFonts w:ascii="宋体" w:eastAsia="宋体" w:hAnsi="宋体" w:cs="宋体" w:hint="eastAsia"/>
                <w:b/>
                <w:color w:val="000000"/>
                <w:kern w:val="0"/>
                <w:sz w:val="28"/>
              </w:rPr>
              <w:t>监管值</w:t>
            </w:r>
          </w:p>
        </w:tc>
      </w:tr>
      <w:tr w:rsidR="009E2131" w:rsidRPr="007672DA" w:rsidTr="005F475E">
        <w:trPr>
          <w:trHeight w:val="270"/>
        </w:trPr>
        <w:tc>
          <w:tcPr>
            <w:tcW w:w="1781" w:type="pct"/>
            <w:tcBorders>
              <w:right w:val="nil"/>
            </w:tcBorders>
            <w:noWrap/>
          </w:tcPr>
          <w:p w:rsidR="009E2131" w:rsidRPr="007672DA" w:rsidRDefault="009E2131" w:rsidP="00E97610">
            <w:pPr>
              <w:widowControl/>
              <w:adjustRightInd w:val="0"/>
              <w:snapToGrid w:val="0"/>
              <w:jc w:val="left"/>
              <w:rPr>
                <w:rFonts w:ascii="宋体" w:eastAsia="宋体" w:hAnsi="宋体" w:cs="宋体"/>
                <w:b/>
                <w:color w:val="000000"/>
                <w:kern w:val="0"/>
                <w:sz w:val="28"/>
              </w:rPr>
            </w:pPr>
            <w:r w:rsidRPr="007672DA">
              <w:rPr>
                <w:rFonts w:ascii="宋体" w:eastAsia="宋体" w:hAnsi="宋体" w:cs="宋体" w:hint="eastAsia"/>
                <w:b/>
                <w:color w:val="000000"/>
                <w:kern w:val="0"/>
                <w:sz w:val="28"/>
              </w:rPr>
              <w:t>自营业务：</w:t>
            </w:r>
          </w:p>
        </w:tc>
        <w:tc>
          <w:tcPr>
            <w:tcW w:w="1613" w:type="pct"/>
            <w:tcBorders>
              <w:left w:val="nil"/>
              <w:right w:val="nil"/>
            </w:tcBorders>
            <w:noWrap/>
          </w:tcPr>
          <w:p w:rsidR="009E2131" w:rsidRPr="007672DA" w:rsidRDefault="009E2131" w:rsidP="00E97610">
            <w:pPr>
              <w:widowControl/>
              <w:adjustRightInd w:val="0"/>
              <w:snapToGrid w:val="0"/>
              <w:jc w:val="center"/>
              <w:rPr>
                <w:rFonts w:ascii="宋体" w:eastAsia="宋体" w:hAnsi="宋体" w:cs="宋体"/>
                <w:b/>
                <w:color w:val="000000"/>
                <w:kern w:val="0"/>
                <w:sz w:val="28"/>
              </w:rPr>
            </w:pPr>
          </w:p>
        </w:tc>
        <w:tc>
          <w:tcPr>
            <w:tcW w:w="1606" w:type="pct"/>
            <w:tcBorders>
              <w:left w:val="nil"/>
            </w:tcBorders>
          </w:tcPr>
          <w:p w:rsidR="009E2131" w:rsidRPr="007672DA" w:rsidRDefault="009E2131" w:rsidP="00E97610">
            <w:pPr>
              <w:widowControl/>
              <w:adjustRightInd w:val="0"/>
              <w:snapToGrid w:val="0"/>
              <w:jc w:val="center"/>
              <w:rPr>
                <w:rFonts w:ascii="宋体" w:eastAsia="宋体" w:hAnsi="宋体" w:cs="宋体"/>
                <w:b/>
                <w:color w:val="000000"/>
                <w:kern w:val="0"/>
                <w:sz w:val="28"/>
              </w:rPr>
            </w:pPr>
          </w:p>
        </w:tc>
      </w:tr>
      <w:tr w:rsidR="005F475E" w:rsidRPr="007672DA" w:rsidTr="005F475E">
        <w:trPr>
          <w:trHeight w:val="270"/>
        </w:trPr>
        <w:tc>
          <w:tcPr>
            <w:tcW w:w="1781" w:type="pct"/>
            <w:noWrap/>
            <w:hideMark/>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自营债券正回购杠杆率</w:t>
            </w:r>
          </w:p>
        </w:tc>
        <w:tc>
          <w:tcPr>
            <w:tcW w:w="1613"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2.94%</w:t>
            </w:r>
          </w:p>
        </w:tc>
        <w:tc>
          <w:tcPr>
            <w:tcW w:w="1606" w:type="pct"/>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80%</w:t>
            </w:r>
          </w:p>
        </w:tc>
      </w:tr>
      <w:tr w:rsidR="005F475E" w:rsidRPr="007672DA" w:rsidTr="005F475E">
        <w:trPr>
          <w:trHeight w:val="270"/>
        </w:trPr>
        <w:tc>
          <w:tcPr>
            <w:tcW w:w="1781" w:type="pct"/>
            <w:noWrap/>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自营债券逆回购杠杆率</w:t>
            </w:r>
          </w:p>
        </w:tc>
        <w:tc>
          <w:tcPr>
            <w:tcW w:w="1613" w:type="pct"/>
            <w:tcBorders>
              <w:bottom w:val="single" w:sz="4" w:space="0" w:color="auto"/>
            </w:tcBorders>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33.66%</w:t>
            </w:r>
          </w:p>
        </w:tc>
        <w:tc>
          <w:tcPr>
            <w:tcW w:w="1606" w:type="pct"/>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80%</w:t>
            </w:r>
          </w:p>
        </w:tc>
      </w:tr>
      <w:tr w:rsidR="009E2131" w:rsidRPr="007672DA" w:rsidTr="005F475E">
        <w:trPr>
          <w:trHeight w:val="270"/>
        </w:trPr>
        <w:tc>
          <w:tcPr>
            <w:tcW w:w="1781" w:type="pct"/>
            <w:tcBorders>
              <w:right w:val="nil"/>
            </w:tcBorders>
            <w:noWrap/>
          </w:tcPr>
          <w:p w:rsidR="009E2131" w:rsidRPr="007672DA" w:rsidRDefault="009E2131" w:rsidP="00E97610">
            <w:pPr>
              <w:widowControl/>
              <w:adjustRightInd w:val="0"/>
              <w:snapToGrid w:val="0"/>
              <w:jc w:val="left"/>
              <w:rPr>
                <w:rFonts w:ascii="宋体" w:eastAsia="宋体" w:hAnsi="宋体" w:cs="宋体"/>
                <w:b/>
                <w:color w:val="000000"/>
                <w:kern w:val="0"/>
                <w:sz w:val="28"/>
              </w:rPr>
            </w:pPr>
            <w:r w:rsidRPr="007672DA">
              <w:rPr>
                <w:rFonts w:ascii="宋体" w:eastAsia="宋体" w:hAnsi="宋体" w:cs="宋体" w:hint="eastAsia"/>
                <w:b/>
                <w:color w:val="000000"/>
                <w:kern w:val="0"/>
                <w:sz w:val="28"/>
              </w:rPr>
              <w:t>理财产品：</w:t>
            </w:r>
          </w:p>
        </w:tc>
        <w:tc>
          <w:tcPr>
            <w:tcW w:w="1613" w:type="pct"/>
            <w:tcBorders>
              <w:left w:val="nil"/>
              <w:right w:val="nil"/>
            </w:tcBorders>
            <w:noWrap/>
            <w:vAlign w:val="center"/>
          </w:tcPr>
          <w:p w:rsidR="009E2131" w:rsidRPr="007672DA" w:rsidRDefault="009E2131" w:rsidP="007018DF">
            <w:pPr>
              <w:adjustRightInd w:val="0"/>
              <w:snapToGrid w:val="0"/>
              <w:jc w:val="center"/>
              <w:rPr>
                <w:rFonts w:asciiTheme="minorEastAsia" w:hAnsiTheme="minorEastAsia" w:cs="Times New Roman"/>
                <w:sz w:val="28"/>
                <w:szCs w:val="28"/>
              </w:rPr>
            </w:pPr>
          </w:p>
        </w:tc>
        <w:tc>
          <w:tcPr>
            <w:tcW w:w="1606" w:type="pct"/>
            <w:tcBorders>
              <w:left w:val="nil"/>
            </w:tcBorders>
          </w:tcPr>
          <w:p w:rsidR="009E2131" w:rsidRPr="007672DA" w:rsidRDefault="009E2131" w:rsidP="00E97610">
            <w:pPr>
              <w:widowControl/>
              <w:adjustRightInd w:val="0"/>
              <w:snapToGrid w:val="0"/>
              <w:jc w:val="center"/>
              <w:rPr>
                <w:rFonts w:ascii="宋体" w:eastAsia="宋体" w:hAnsi="宋体" w:cs="宋体"/>
                <w:color w:val="000000"/>
                <w:kern w:val="0"/>
                <w:sz w:val="28"/>
              </w:rPr>
            </w:pPr>
          </w:p>
        </w:tc>
      </w:tr>
      <w:tr w:rsidR="005F475E" w:rsidRPr="007672DA" w:rsidTr="005F475E">
        <w:trPr>
          <w:trHeight w:val="270"/>
        </w:trPr>
        <w:tc>
          <w:tcPr>
            <w:tcW w:w="1781" w:type="pct"/>
            <w:noWrap/>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丰裕杠杆率</w:t>
            </w:r>
          </w:p>
        </w:tc>
        <w:tc>
          <w:tcPr>
            <w:tcW w:w="1613"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103.21%</w:t>
            </w:r>
          </w:p>
        </w:tc>
        <w:tc>
          <w:tcPr>
            <w:tcW w:w="1606" w:type="pct"/>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140%</w:t>
            </w:r>
          </w:p>
        </w:tc>
      </w:tr>
      <w:tr w:rsidR="005F475E" w:rsidRPr="007672DA" w:rsidTr="005F475E">
        <w:trPr>
          <w:trHeight w:val="270"/>
        </w:trPr>
        <w:tc>
          <w:tcPr>
            <w:tcW w:w="1781" w:type="pct"/>
            <w:noWrap/>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丰裕正回购杠杆率</w:t>
            </w:r>
          </w:p>
        </w:tc>
        <w:tc>
          <w:tcPr>
            <w:tcW w:w="1613"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3.21%</w:t>
            </w:r>
          </w:p>
        </w:tc>
        <w:tc>
          <w:tcPr>
            <w:tcW w:w="1606" w:type="pct"/>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40%</w:t>
            </w:r>
          </w:p>
        </w:tc>
      </w:tr>
      <w:tr w:rsidR="005F475E" w:rsidRPr="007672DA" w:rsidTr="005F475E">
        <w:trPr>
          <w:trHeight w:val="270"/>
        </w:trPr>
        <w:tc>
          <w:tcPr>
            <w:tcW w:w="1781" w:type="pct"/>
            <w:noWrap/>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丰裕逆回购杠杆率</w:t>
            </w:r>
          </w:p>
        </w:tc>
        <w:tc>
          <w:tcPr>
            <w:tcW w:w="1613"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2.03%</w:t>
            </w:r>
          </w:p>
        </w:tc>
        <w:tc>
          <w:tcPr>
            <w:tcW w:w="1606" w:type="pct"/>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40%</w:t>
            </w:r>
          </w:p>
        </w:tc>
      </w:tr>
      <w:tr w:rsidR="005F475E" w:rsidRPr="007672DA" w:rsidTr="005F475E">
        <w:trPr>
          <w:trHeight w:val="270"/>
        </w:trPr>
        <w:tc>
          <w:tcPr>
            <w:tcW w:w="1781" w:type="pct"/>
            <w:noWrap/>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丰盈专属杠杆率</w:t>
            </w:r>
          </w:p>
        </w:tc>
        <w:tc>
          <w:tcPr>
            <w:tcW w:w="1613"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100.52%</w:t>
            </w:r>
          </w:p>
        </w:tc>
        <w:tc>
          <w:tcPr>
            <w:tcW w:w="1606" w:type="pct"/>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140%</w:t>
            </w:r>
          </w:p>
        </w:tc>
      </w:tr>
      <w:tr w:rsidR="005F475E" w:rsidRPr="007672DA" w:rsidTr="005F475E">
        <w:trPr>
          <w:trHeight w:val="270"/>
        </w:trPr>
        <w:tc>
          <w:tcPr>
            <w:tcW w:w="1781" w:type="pct"/>
            <w:noWrap/>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丰盈专属正回购杠杆率</w:t>
            </w:r>
          </w:p>
        </w:tc>
        <w:tc>
          <w:tcPr>
            <w:tcW w:w="1613"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0.00%</w:t>
            </w:r>
          </w:p>
        </w:tc>
        <w:tc>
          <w:tcPr>
            <w:tcW w:w="1606" w:type="pct"/>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40%</w:t>
            </w:r>
          </w:p>
        </w:tc>
      </w:tr>
      <w:tr w:rsidR="005F475E" w:rsidRPr="007672DA" w:rsidTr="005F475E">
        <w:trPr>
          <w:trHeight w:val="270"/>
        </w:trPr>
        <w:tc>
          <w:tcPr>
            <w:tcW w:w="1781" w:type="pct"/>
            <w:noWrap/>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丰盈专属逆回购杠杆率</w:t>
            </w:r>
          </w:p>
        </w:tc>
        <w:tc>
          <w:tcPr>
            <w:tcW w:w="1613" w:type="pct"/>
            <w:noWrap/>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10.31%</w:t>
            </w:r>
          </w:p>
        </w:tc>
        <w:tc>
          <w:tcPr>
            <w:tcW w:w="1606" w:type="pct"/>
          </w:tcPr>
          <w:p w:rsidR="005F475E" w:rsidRPr="007672DA" w:rsidRDefault="005F475E" w:rsidP="00E97610">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40%</w:t>
            </w:r>
          </w:p>
        </w:tc>
      </w:tr>
      <w:tr w:rsidR="009E2131" w:rsidRPr="007672DA" w:rsidTr="00CF5F2E">
        <w:trPr>
          <w:trHeight w:val="270"/>
        </w:trPr>
        <w:tc>
          <w:tcPr>
            <w:tcW w:w="5000" w:type="pct"/>
            <w:gridSpan w:val="3"/>
            <w:tcBorders>
              <w:left w:val="nil"/>
              <w:bottom w:val="nil"/>
              <w:right w:val="nil"/>
            </w:tcBorders>
            <w:noWrap/>
          </w:tcPr>
          <w:p w:rsidR="009E2131" w:rsidRPr="007672DA" w:rsidRDefault="009E2131" w:rsidP="0022695A">
            <w:pPr>
              <w:widowControl/>
              <w:adjustRightInd w:val="0"/>
              <w:snapToGrid w:val="0"/>
              <w:jc w:val="left"/>
              <w:rPr>
                <w:rFonts w:ascii="仿宋" w:eastAsia="仿宋" w:hAnsi="仿宋" w:cs="宋体"/>
                <w:color w:val="000000"/>
                <w:kern w:val="0"/>
                <w:sz w:val="28"/>
              </w:rPr>
            </w:pPr>
            <w:r w:rsidRPr="007672DA">
              <w:rPr>
                <w:rFonts w:ascii="仿宋" w:eastAsia="仿宋" w:hAnsi="仿宋" w:cs="宋体" w:hint="eastAsia"/>
                <w:color w:val="000000"/>
                <w:kern w:val="0"/>
                <w:sz w:val="24"/>
              </w:rPr>
              <w:t>数据来源：理财资产管理系统</w:t>
            </w:r>
            <w:r w:rsidR="001A717C" w:rsidRPr="007672DA">
              <w:rPr>
                <w:rFonts w:ascii="仿宋" w:eastAsia="仿宋" w:hAnsi="仿宋" w:cs="宋体" w:hint="eastAsia"/>
                <w:color w:val="000000"/>
                <w:kern w:val="0"/>
                <w:sz w:val="24"/>
                <w:szCs w:val="24"/>
              </w:rPr>
              <w:t>、兆</w:t>
            </w:r>
            <w:proofErr w:type="gramStart"/>
            <w:r w:rsidR="001A717C" w:rsidRPr="007672DA">
              <w:rPr>
                <w:rFonts w:ascii="仿宋" w:eastAsia="仿宋" w:hAnsi="仿宋" w:cs="宋体" w:hint="eastAsia"/>
                <w:color w:val="000000"/>
                <w:kern w:val="0"/>
                <w:sz w:val="24"/>
                <w:szCs w:val="24"/>
              </w:rPr>
              <w:t>尹</w:t>
            </w:r>
            <w:proofErr w:type="gramEnd"/>
            <w:r w:rsidR="001A717C" w:rsidRPr="007672DA">
              <w:rPr>
                <w:rFonts w:ascii="仿宋" w:eastAsia="仿宋" w:hAnsi="仿宋" w:cs="宋体" w:hint="eastAsia"/>
                <w:color w:val="000000"/>
                <w:kern w:val="0"/>
                <w:sz w:val="24"/>
                <w:szCs w:val="24"/>
              </w:rPr>
              <w:t>系统</w:t>
            </w:r>
            <w:r w:rsidRPr="007672DA">
              <w:rPr>
                <w:rFonts w:ascii="仿宋" w:eastAsia="仿宋" w:hAnsi="仿宋" w:cs="宋体" w:hint="eastAsia"/>
                <w:color w:val="000000"/>
                <w:kern w:val="0"/>
                <w:sz w:val="24"/>
              </w:rPr>
              <w:t>、COMSTAR系统</w:t>
            </w:r>
          </w:p>
        </w:tc>
      </w:tr>
      <w:tr w:rsidR="00CF5F2E" w:rsidRPr="007672DA" w:rsidTr="00CF5F2E">
        <w:trPr>
          <w:trHeight w:val="270"/>
        </w:trPr>
        <w:tc>
          <w:tcPr>
            <w:tcW w:w="5000" w:type="pct"/>
            <w:gridSpan w:val="3"/>
            <w:tcBorders>
              <w:top w:val="nil"/>
              <w:left w:val="nil"/>
              <w:bottom w:val="nil"/>
              <w:right w:val="nil"/>
            </w:tcBorders>
            <w:noWrap/>
          </w:tcPr>
          <w:p w:rsidR="00CF5F2E" w:rsidRPr="007672DA" w:rsidRDefault="00CF5F2E" w:rsidP="002308B9">
            <w:pPr>
              <w:widowControl/>
              <w:adjustRightInd w:val="0"/>
              <w:snapToGrid w:val="0"/>
              <w:jc w:val="left"/>
              <w:rPr>
                <w:rFonts w:ascii="仿宋" w:eastAsia="仿宋" w:hAnsi="仿宋" w:cs="宋体"/>
                <w:color w:val="000000"/>
                <w:kern w:val="0"/>
                <w:sz w:val="24"/>
              </w:rPr>
            </w:pPr>
            <w:r w:rsidRPr="007672DA">
              <w:rPr>
                <w:rFonts w:ascii="仿宋" w:eastAsia="仿宋" w:hAnsi="仿宋" w:cs="宋体" w:hint="eastAsia"/>
                <w:color w:val="000000"/>
                <w:kern w:val="0"/>
                <w:sz w:val="24"/>
              </w:rPr>
              <w:t>注：</w:t>
            </w:r>
            <w:r w:rsidR="00E6013B" w:rsidRPr="007672DA">
              <w:rPr>
                <w:rFonts w:ascii="仿宋" w:eastAsia="仿宋" w:hAnsi="仿宋" w:cs="宋体" w:hint="eastAsia"/>
                <w:color w:val="000000"/>
                <w:kern w:val="0"/>
                <w:sz w:val="24"/>
              </w:rPr>
              <w:t>兆</w:t>
            </w:r>
            <w:proofErr w:type="gramStart"/>
            <w:r w:rsidR="00E6013B" w:rsidRPr="007672DA">
              <w:rPr>
                <w:rFonts w:ascii="仿宋" w:eastAsia="仿宋" w:hAnsi="仿宋" w:cs="宋体" w:hint="eastAsia"/>
                <w:color w:val="000000"/>
                <w:kern w:val="0"/>
                <w:sz w:val="24"/>
              </w:rPr>
              <w:t>尹</w:t>
            </w:r>
            <w:proofErr w:type="gramEnd"/>
            <w:r w:rsidR="00E6013B" w:rsidRPr="007672DA">
              <w:rPr>
                <w:rFonts w:ascii="仿宋" w:eastAsia="仿宋" w:hAnsi="仿宋" w:cs="宋体" w:hint="eastAsia"/>
                <w:color w:val="000000"/>
                <w:kern w:val="0"/>
                <w:sz w:val="24"/>
              </w:rPr>
              <w:t>系统查询数据不准确，暂不计算杠杆率，如兆</w:t>
            </w:r>
            <w:proofErr w:type="gramStart"/>
            <w:r w:rsidR="00E6013B" w:rsidRPr="007672DA">
              <w:rPr>
                <w:rFonts w:ascii="仿宋" w:eastAsia="仿宋" w:hAnsi="仿宋" w:cs="宋体" w:hint="eastAsia"/>
                <w:color w:val="000000"/>
                <w:kern w:val="0"/>
                <w:sz w:val="24"/>
              </w:rPr>
              <w:t>尹</w:t>
            </w:r>
            <w:proofErr w:type="gramEnd"/>
            <w:r w:rsidR="00E6013B" w:rsidRPr="007672DA">
              <w:rPr>
                <w:rFonts w:ascii="仿宋" w:eastAsia="仿宋" w:hAnsi="仿宋" w:cs="宋体" w:hint="eastAsia"/>
                <w:color w:val="000000"/>
                <w:kern w:val="0"/>
                <w:sz w:val="24"/>
              </w:rPr>
              <w:t>系统中查询理财产品余额缺少回购余额数据等。</w:t>
            </w:r>
          </w:p>
        </w:tc>
      </w:tr>
    </w:tbl>
    <w:p w:rsidR="00A65CB6" w:rsidRPr="007672DA" w:rsidRDefault="00773832" w:rsidP="002E04D0">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4.债券投资比例</w:t>
      </w:r>
    </w:p>
    <w:tbl>
      <w:tblPr>
        <w:tblStyle w:val="a3"/>
        <w:tblW w:w="5000" w:type="pct"/>
        <w:tblLayout w:type="fixed"/>
        <w:tblLook w:val="04A0" w:firstRow="1" w:lastRow="0" w:firstColumn="1" w:lastColumn="0" w:noHBand="0" w:noVBand="1"/>
      </w:tblPr>
      <w:tblGrid>
        <w:gridCol w:w="5778"/>
        <w:gridCol w:w="1418"/>
        <w:gridCol w:w="1326"/>
      </w:tblGrid>
      <w:tr w:rsidR="008A0B8B" w:rsidRPr="007672DA" w:rsidTr="008A0B8B">
        <w:trPr>
          <w:trHeight w:val="270"/>
        </w:trPr>
        <w:tc>
          <w:tcPr>
            <w:tcW w:w="3390" w:type="pct"/>
            <w:noWrap/>
          </w:tcPr>
          <w:p w:rsidR="008A0B8B" w:rsidRPr="007672DA" w:rsidRDefault="008A0B8B" w:rsidP="00773832">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指标名称</w:t>
            </w:r>
          </w:p>
        </w:tc>
        <w:tc>
          <w:tcPr>
            <w:tcW w:w="832" w:type="pct"/>
            <w:noWrap/>
          </w:tcPr>
          <w:p w:rsidR="008A0B8B" w:rsidRPr="007672DA" w:rsidRDefault="008A0B8B" w:rsidP="00773832">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自营</w:t>
            </w:r>
          </w:p>
        </w:tc>
        <w:tc>
          <w:tcPr>
            <w:tcW w:w="778" w:type="pct"/>
          </w:tcPr>
          <w:p w:rsidR="008A0B8B" w:rsidRPr="007672DA" w:rsidRDefault="008A0B8B" w:rsidP="00773832">
            <w:pPr>
              <w:widowControl/>
              <w:adjustRightInd w:val="0"/>
              <w:snapToGrid w:val="0"/>
              <w:jc w:val="center"/>
              <w:rPr>
                <w:rFonts w:asciiTheme="minorEastAsia" w:hAnsiTheme="minorEastAsia" w:cs="宋体"/>
                <w:b/>
                <w:color w:val="000000"/>
                <w:kern w:val="0"/>
                <w:sz w:val="28"/>
                <w:szCs w:val="28"/>
              </w:rPr>
            </w:pPr>
            <w:r w:rsidRPr="007672DA">
              <w:rPr>
                <w:rFonts w:asciiTheme="minorEastAsia" w:hAnsiTheme="minorEastAsia" w:cs="宋体" w:hint="eastAsia"/>
                <w:b/>
                <w:color w:val="000000"/>
                <w:kern w:val="0"/>
                <w:sz w:val="28"/>
                <w:szCs w:val="28"/>
              </w:rPr>
              <w:t>理财</w:t>
            </w:r>
          </w:p>
        </w:tc>
      </w:tr>
      <w:tr w:rsidR="005F475E" w:rsidRPr="007672DA" w:rsidTr="008A0B8B">
        <w:trPr>
          <w:trHeight w:val="270"/>
        </w:trPr>
        <w:tc>
          <w:tcPr>
            <w:tcW w:w="3390" w:type="pct"/>
            <w:noWrap/>
            <w:hideMark/>
          </w:tcPr>
          <w:p w:rsidR="005F475E" w:rsidRPr="007672DA" w:rsidRDefault="005F475E" w:rsidP="00DD70DD">
            <w:pPr>
              <w:widowControl/>
              <w:adjustRightInd w:val="0"/>
              <w:snapToGrid w:val="0"/>
              <w:jc w:val="left"/>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债券投资占2021年一季度末全行总资产比例</w:t>
            </w:r>
          </w:p>
        </w:tc>
        <w:tc>
          <w:tcPr>
            <w:tcW w:w="832"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24.91%</w:t>
            </w:r>
          </w:p>
        </w:tc>
        <w:tc>
          <w:tcPr>
            <w:tcW w:w="778" w:type="pct"/>
          </w:tcPr>
          <w:p w:rsidR="005F475E" w:rsidRPr="007672DA" w:rsidRDefault="005F475E" w:rsidP="007672DA">
            <w:pPr>
              <w:widowControl/>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w:t>
            </w:r>
          </w:p>
        </w:tc>
      </w:tr>
      <w:tr w:rsidR="005F475E" w:rsidRPr="007672DA" w:rsidTr="008A0B8B">
        <w:trPr>
          <w:trHeight w:val="270"/>
        </w:trPr>
        <w:tc>
          <w:tcPr>
            <w:tcW w:w="3390" w:type="pct"/>
            <w:noWrap/>
            <w:hideMark/>
          </w:tcPr>
          <w:p w:rsidR="005F475E" w:rsidRPr="007672DA" w:rsidRDefault="005F475E" w:rsidP="00773832">
            <w:pPr>
              <w:widowControl/>
              <w:adjustRightInd w:val="0"/>
              <w:snapToGrid w:val="0"/>
              <w:jc w:val="left"/>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非金融企业债券投资占债券投资总额比例</w:t>
            </w:r>
          </w:p>
        </w:tc>
        <w:tc>
          <w:tcPr>
            <w:tcW w:w="832"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26.19%</w:t>
            </w:r>
          </w:p>
        </w:tc>
        <w:tc>
          <w:tcPr>
            <w:tcW w:w="778" w:type="pct"/>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81.02%</w:t>
            </w:r>
          </w:p>
        </w:tc>
      </w:tr>
      <w:tr w:rsidR="005F475E" w:rsidRPr="007672DA" w:rsidTr="008A0B8B">
        <w:trPr>
          <w:trHeight w:val="270"/>
        </w:trPr>
        <w:tc>
          <w:tcPr>
            <w:tcW w:w="3390" w:type="pct"/>
            <w:noWrap/>
            <w:hideMark/>
          </w:tcPr>
          <w:p w:rsidR="005F475E" w:rsidRPr="007672DA" w:rsidRDefault="005F475E" w:rsidP="00773832">
            <w:pPr>
              <w:widowControl/>
              <w:adjustRightInd w:val="0"/>
              <w:snapToGrid w:val="0"/>
              <w:jc w:val="left"/>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AA+以下非金融企业债券投资占非金融企业债券总额比例</w:t>
            </w:r>
          </w:p>
        </w:tc>
        <w:tc>
          <w:tcPr>
            <w:tcW w:w="832"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23.66%</w:t>
            </w:r>
          </w:p>
        </w:tc>
        <w:tc>
          <w:tcPr>
            <w:tcW w:w="778" w:type="pct"/>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13.56%</w:t>
            </w:r>
          </w:p>
        </w:tc>
      </w:tr>
      <w:tr w:rsidR="005F475E" w:rsidRPr="007672DA" w:rsidTr="008A0B8B">
        <w:trPr>
          <w:trHeight w:val="270"/>
        </w:trPr>
        <w:tc>
          <w:tcPr>
            <w:tcW w:w="3390" w:type="pct"/>
            <w:noWrap/>
            <w:hideMark/>
          </w:tcPr>
          <w:p w:rsidR="005F475E" w:rsidRPr="007672DA" w:rsidRDefault="005F475E" w:rsidP="00773832">
            <w:pPr>
              <w:widowControl/>
              <w:adjustRightInd w:val="0"/>
              <w:snapToGrid w:val="0"/>
              <w:jc w:val="left"/>
              <w:rPr>
                <w:rFonts w:asciiTheme="minorEastAsia" w:hAnsiTheme="minorEastAsia" w:cs="宋体"/>
                <w:color w:val="000000"/>
                <w:kern w:val="0"/>
                <w:sz w:val="28"/>
                <w:szCs w:val="28"/>
              </w:rPr>
            </w:pPr>
            <w:proofErr w:type="gramStart"/>
            <w:r w:rsidRPr="007672DA">
              <w:rPr>
                <w:rFonts w:asciiTheme="minorEastAsia" w:hAnsiTheme="minorEastAsia" w:cs="宋体" w:hint="eastAsia"/>
                <w:color w:val="000000"/>
                <w:kern w:val="0"/>
                <w:sz w:val="28"/>
                <w:szCs w:val="28"/>
              </w:rPr>
              <w:lastRenderedPageBreak/>
              <w:t>城投债投资</w:t>
            </w:r>
            <w:proofErr w:type="gramEnd"/>
            <w:r w:rsidRPr="007672DA">
              <w:rPr>
                <w:rFonts w:asciiTheme="minorEastAsia" w:hAnsiTheme="minorEastAsia" w:cs="宋体" w:hint="eastAsia"/>
                <w:color w:val="000000"/>
                <w:kern w:val="0"/>
                <w:sz w:val="28"/>
                <w:szCs w:val="28"/>
              </w:rPr>
              <w:t>占债券投资总额比例</w:t>
            </w:r>
          </w:p>
        </w:tc>
        <w:tc>
          <w:tcPr>
            <w:tcW w:w="832"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23.00%</w:t>
            </w:r>
          </w:p>
        </w:tc>
        <w:tc>
          <w:tcPr>
            <w:tcW w:w="778" w:type="pct"/>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65.00%</w:t>
            </w:r>
          </w:p>
        </w:tc>
      </w:tr>
      <w:tr w:rsidR="005F475E" w:rsidRPr="007672DA" w:rsidTr="008A0B8B">
        <w:trPr>
          <w:trHeight w:val="270"/>
        </w:trPr>
        <w:tc>
          <w:tcPr>
            <w:tcW w:w="3390" w:type="pct"/>
            <w:noWrap/>
            <w:hideMark/>
          </w:tcPr>
          <w:p w:rsidR="005F475E" w:rsidRPr="007672DA" w:rsidRDefault="005F475E" w:rsidP="00773832">
            <w:pPr>
              <w:widowControl/>
              <w:adjustRightInd w:val="0"/>
              <w:snapToGrid w:val="0"/>
              <w:jc w:val="left"/>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私募债投资占债券投资总额比例</w:t>
            </w:r>
          </w:p>
        </w:tc>
        <w:tc>
          <w:tcPr>
            <w:tcW w:w="832"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14.41%</w:t>
            </w:r>
          </w:p>
        </w:tc>
        <w:tc>
          <w:tcPr>
            <w:tcW w:w="778" w:type="pct"/>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34.29%</w:t>
            </w:r>
          </w:p>
        </w:tc>
      </w:tr>
      <w:tr w:rsidR="005F475E" w:rsidRPr="007672DA" w:rsidTr="008A0B8B">
        <w:trPr>
          <w:trHeight w:val="270"/>
        </w:trPr>
        <w:tc>
          <w:tcPr>
            <w:tcW w:w="3390" w:type="pct"/>
            <w:noWrap/>
            <w:hideMark/>
          </w:tcPr>
          <w:p w:rsidR="005F475E" w:rsidRPr="007672DA" w:rsidRDefault="005F475E" w:rsidP="00773832">
            <w:pPr>
              <w:widowControl/>
              <w:adjustRightInd w:val="0"/>
              <w:snapToGrid w:val="0"/>
              <w:jc w:val="left"/>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永续债投资占债券投资总额比例</w:t>
            </w:r>
          </w:p>
        </w:tc>
        <w:tc>
          <w:tcPr>
            <w:tcW w:w="832"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0.00%</w:t>
            </w:r>
          </w:p>
        </w:tc>
        <w:tc>
          <w:tcPr>
            <w:tcW w:w="778" w:type="pct"/>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7.82%</w:t>
            </w:r>
          </w:p>
        </w:tc>
      </w:tr>
      <w:tr w:rsidR="005F475E" w:rsidRPr="007672DA" w:rsidTr="008A0B8B">
        <w:trPr>
          <w:trHeight w:val="270"/>
        </w:trPr>
        <w:tc>
          <w:tcPr>
            <w:tcW w:w="3390" w:type="pct"/>
            <w:noWrap/>
            <w:hideMark/>
          </w:tcPr>
          <w:p w:rsidR="005F475E" w:rsidRPr="007672DA" w:rsidRDefault="005F475E" w:rsidP="00773832">
            <w:pPr>
              <w:widowControl/>
              <w:adjustRightInd w:val="0"/>
              <w:snapToGrid w:val="0"/>
              <w:jc w:val="left"/>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次级债投资占债券投资总额比例</w:t>
            </w:r>
          </w:p>
        </w:tc>
        <w:tc>
          <w:tcPr>
            <w:tcW w:w="832"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0.00%</w:t>
            </w:r>
          </w:p>
        </w:tc>
        <w:tc>
          <w:tcPr>
            <w:tcW w:w="778" w:type="pct"/>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2.49%</w:t>
            </w:r>
          </w:p>
        </w:tc>
      </w:tr>
      <w:tr w:rsidR="005F475E" w:rsidRPr="007672DA" w:rsidTr="005E7A37">
        <w:trPr>
          <w:trHeight w:val="270"/>
        </w:trPr>
        <w:tc>
          <w:tcPr>
            <w:tcW w:w="3390" w:type="pct"/>
            <w:tcBorders>
              <w:bottom w:val="single" w:sz="4" w:space="0" w:color="auto"/>
            </w:tcBorders>
            <w:noWrap/>
            <w:hideMark/>
          </w:tcPr>
          <w:p w:rsidR="005F475E" w:rsidRPr="007672DA" w:rsidRDefault="005F475E" w:rsidP="00773832">
            <w:pPr>
              <w:widowControl/>
              <w:adjustRightInd w:val="0"/>
              <w:snapToGrid w:val="0"/>
              <w:jc w:val="left"/>
              <w:rPr>
                <w:rFonts w:asciiTheme="minorEastAsia" w:hAnsiTheme="minorEastAsia" w:cs="宋体"/>
                <w:color w:val="000000"/>
                <w:kern w:val="0"/>
                <w:sz w:val="28"/>
                <w:szCs w:val="28"/>
              </w:rPr>
            </w:pPr>
            <w:r w:rsidRPr="007672DA">
              <w:rPr>
                <w:rFonts w:asciiTheme="minorEastAsia" w:hAnsiTheme="minorEastAsia" w:cs="宋体" w:hint="eastAsia"/>
                <w:color w:val="000000"/>
                <w:kern w:val="0"/>
                <w:sz w:val="28"/>
                <w:szCs w:val="28"/>
              </w:rPr>
              <w:t>混合资本债投资占债券投资总额比例</w:t>
            </w:r>
          </w:p>
        </w:tc>
        <w:tc>
          <w:tcPr>
            <w:tcW w:w="832" w:type="pct"/>
            <w:tcBorders>
              <w:bottom w:val="single" w:sz="4" w:space="0" w:color="auto"/>
            </w:tcBorders>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0.00%</w:t>
            </w:r>
          </w:p>
        </w:tc>
        <w:tc>
          <w:tcPr>
            <w:tcW w:w="778" w:type="pct"/>
            <w:tcBorders>
              <w:bottom w:val="single" w:sz="4" w:space="0" w:color="auto"/>
            </w:tcBorders>
            <w:vAlign w:val="center"/>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0.00%</w:t>
            </w:r>
          </w:p>
        </w:tc>
      </w:tr>
    </w:tbl>
    <w:p w:rsidR="00773832" w:rsidRPr="007672DA" w:rsidRDefault="000A1803" w:rsidP="002E04D0">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5.货币市场基金</w:t>
      </w:r>
    </w:p>
    <w:tbl>
      <w:tblPr>
        <w:tblStyle w:val="a3"/>
        <w:tblW w:w="5000" w:type="pct"/>
        <w:tblLook w:val="04A0" w:firstRow="1" w:lastRow="0" w:firstColumn="1" w:lastColumn="0" w:noHBand="0" w:noVBand="1"/>
      </w:tblPr>
      <w:tblGrid>
        <w:gridCol w:w="6628"/>
        <w:gridCol w:w="1894"/>
      </w:tblGrid>
      <w:tr w:rsidR="00976E04" w:rsidRPr="007672DA" w:rsidTr="000A57D4">
        <w:trPr>
          <w:trHeight w:val="270"/>
        </w:trPr>
        <w:tc>
          <w:tcPr>
            <w:tcW w:w="3889" w:type="pct"/>
            <w:tcBorders>
              <w:top w:val="nil"/>
              <w:left w:val="nil"/>
              <w:right w:val="nil"/>
            </w:tcBorders>
            <w:noWrap/>
            <w:vAlign w:val="center"/>
          </w:tcPr>
          <w:p w:rsidR="00976E04" w:rsidRPr="007672DA" w:rsidRDefault="00976E04" w:rsidP="000A57D4">
            <w:pPr>
              <w:widowControl/>
              <w:adjustRightInd w:val="0"/>
              <w:snapToGrid w:val="0"/>
              <w:jc w:val="right"/>
              <w:rPr>
                <w:rFonts w:ascii="宋体" w:eastAsia="宋体" w:hAnsi="宋体" w:cs="宋体"/>
                <w:color w:val="000000"/>
                <w:kern w:val="0"/>
                <w:sz w:val="28"/>
                <w:szCs w:val="28"/>
              </w:rPr>
            </w:pPr>
          </w:p>
        </w:tc>
        <w:tc>
          <w:tcPr>
            <w:tcW w:w="1111" w:type="pct"/>
            <w:tcBorders>
              <w:top w:val="nil"/>
              <w:left w:val="nil"/>
              <w:right w:val="nil"/>
            </w:tcBorders>
            <w:noWrap/>
            <w:vAlign w:val="center"/>
          </w:tcPr>
          <w:p w:rsidR="00976E04" w:rsidRPr="007672DA" w:rsidRDefault="00976E04" w:rsidP="000A57D4">
            <w:pPr>
              <w:widowControl/>
              <w:adjustRightInd w:val="0"/>
              <w:snapToGrid w:val="0"/>
              <w:jc w:val="right"/>
              <w:rPr>
                <w:rFonts w:ascii="宋体" w:eastAsia="宋体" w:hAnsi="宋体" w:cs="宋体"/>
                <w:color w:val="000000"/>
                <w:kern w:val="0"/>
                <w:sz w:val="28"/>
                <w:szCs w:val="28"/>
              </w:rPr>
            </w:pPr>
            <w:r w:rsidRPr="007672DA">
              <w:rPr>
                <w:rFonts w:ascii="仿宋_GB2312" w:eastAsia="仿宋_GB2312" w:hAnsi="Calibri" w:cs="Times New Roman" w:hint="eastAsia"/>
                <w:sz w:val="24"/>
                <w:szCs w:val="32"/>
              </w:rPr>
              <w:t>单位：万元</w:t>
            </w:r>
          </w:p>
        </w:tc>
      </w:tr>
      <w:tr w:rsidR="00976E04" w:rsidRPr="007672DA" w:rsidTr="000A57D4">
        <w:trPr>
          <w:trHeight w:val="270"/>
        </w:trPr>
        <w:tc>
          <w:tcPr>
            <w:tcW w:w="3889" w:type="pct"/>
            <w:noWrap/>
            <w:hideMark/>
          </w:tcPr>
          <w:p w:rsidR="00976E04" w:rsidRPr="007672DA" w:rsidRDefault="00976E04" w:rsidP="000A57D4">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指标名称</w:t>
            </w:r>
          </w:p>
        </w:tc>
        <w:tc>
          <w:tcPr>
            <w:tcW w:w="1111" w:type="pct"/>
            <w:noWrap/>
            <w:hideMark/>
          </w:tcPr>
          <w:p w:rsidR="00976E04" w:rsidRPr="007672DA" w:rsidRDefault="00976E04" w:rsidP="000A57D4">
            <w:pPr>
              <w:widowControl/>
              <w:adjustRightInd w:val="0"/>
              <w:snapToGrid w:val="0"/>
              <w:jc w:val="center"/>
              <w:rPr>
                <w:rFonts w:ascii="宋体" w:eastAsia="宋体" w:hAnsi="宋体" w:cs="宋体"/>
                <w:b/>
                <w:color w:val="000000"/>
                <w:kern w:val="0"/>
                <w:sz w:val="28"/>
                <w:szCs w:val="28"/>
              </w:rPr>
            </w:pPr>
            <w:r w:rsidRPr="007672DA">
              <w:rPr>
                <w:rFonts w:ascii="宋体" w:eastAsia="宋体" w:hAnsi="宋体" w:cs="宋体" w:hint="eastAsia"/>
                <w:b/>
                <w:color w:val="000000"/>
                <w:kern w:val="0"/>
                <w:sz w:val="28"/>
                <w:szCs w:val="28"/>
              </w:rPr>
              <w:t>指标值</w:t>
            </w:r>
          </w:p>
        </w:tc>
      </w:tr>
      <w:tr w:rsidR="005F475E" w:rsidRPr="007672DA" w:rsidTr="000A57D4">
        <w:trPr>
          <w:trHeight w:val="270"/>
        </w:trPr>
        <w:tc>
          <w:tcPr>
            <w:tcW w:w="3889" w:type="pct"/>
            <w:noWrap/>
            <w:hideMark/>
          </w:tcPr>
          <w:p w:rsidR="005F475E" w:rsidRPr="007672DA" w:rsidRDefault="005F475E" w:rsidP="000A57D4">
            <w:pPr>
              <w:widowControl/>
              <w:adjustRightInd w:val="0"/>
              <w:snapToGrid w:val="0"/>
              <w:jc w:val="center"/>
              <w:rPr>
                <w:rFonts w:ascii="宋体" w:eastAsia="宋体" w:hAnsi="宋体" w:cs="宋体"/>
                <w:color w:val="000000"/>
                <w:kern w:val="0"/>
                <w:sz w:val="28"/>
                <w:szCs w:val="28"/>
              </w:rPr>
            </w:pPr>
            <w:r w:rsidRPr="007672DA">
              <w:rPr>
                <w:rFonts w:ascii="宋体" w:eastAsia="宋体" w:hAnsi="宋体" w:cs="宋体" w:hint="eastAsia"/>
                <w:color w:val="000000"/>
                <w:kern w:val="0"/>
                <w:sz w:val="28"/>
                <w:szCs w:val="28"/>
              </w:rPr>
              <w:t>单只投资金额占该只基金发行规模的最大比例</w:t>
            </w:r>
          </w:p>
        </w:tc>
        <w:tc>
          <w:tcPr>
            <w:tcW w:w="1111"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1.56%</w:t>
            </w:r>
          </w:p>
        </w:tc>
      </w:tr>
      <w:tr w:rsidR="005F475E" w:rsidRPr="007672DA" w:rsidTr="000A57D4">
        <w:trPr>
          <w:trHeight w:val="270"/>
        </w:trPr>
        <w:tc>
          <w:tcPr>
            <w:tcW w:w="3889" w:type="pct"/>
            <w:noWrap/>
            <w:hideMark/>
          </w:tcPr>
          <w:p w:rsidR="005F475E" w:rsidRPr="007672DA" w:rsidRDefault="005F475E" w:rsidP="000A57D4">
            <w:pPr>
              <w:widowControl/>
              <w:adjustRightInd w:val="0"/>
              <w:snapToGrid w:val="0"/>
              <w:jc w:val="center"/>
              <w:rPr>
                <w:rFonts w:ascii="宋体" w:eastAsia="宋体" w:hAnsi="宋体" w:cs="宋体"/>
                <w:color w:val="000000"/>
                <w:kern w:val="0"/>
                <w:sz w:val="28"/>
                <w:szCs w:val="28"/>
              </w:rPr>
            </w:pPr>
            <w:r w:rsidRPr="007672DA">
              <w:rPr>
                <w:rFonts w:ascii="宋体" w:eastAsia="宋体" w:hAnsi="宋体" w:cs="宋体" w:hint="eastAsia"/>
                <w:color w:val="000000"/>
                <w:kern w:val="0"/>
                <w:sz w:val="28"/>
                <w:szCs w:val="28"/>
              </w:rPr>
              <w:t>单只投资金额占该只基金发行规模的最小比例</w:t>
            </w:r>
          </w:p>
        </w:tc>
        <w:tc>
          <w:tcPr>
            <w:tcW w:w="1111"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0.10%</w:t>
            </w:r>
          </w:p>
        </w:tc>
      </w:tr>
      <w:tr w:rsidR="005F475E" w:rsidRPr="007672DA" w:rsidTr="000A57D4">
        <w:trPr>
          <w:trHeight w:val="270"/>
        </w:trPr>
        <w:tc>
          <w:tcPr>
            <w:tcW w:w="3889" w:type="pct"/>
            <w:noWrap/>
            <w:hideMark/>
          </w:tcPr>
          <w:p w:rsidR="005F475E" w:rsidRPr="007672DA" w:rsidRDefault="005F475E" w:rsidP="000A57D4">
            <w:pPr>
              <w:widowControl/>
              <w:adjustRightInd w:val="0"/>
              <w:snapToGrid w:val="0"/>
              <w:jc w:val="center"/>
              <w:rPr>
                <w:rFonts w:ascii="宋体" w:eastAsia="宋体" w:hAnsi="宋体" w:cs="宋体"/>
                <w:color w:val="000000"/>
                <w:kern w:val="0"/>
                <w:sz w:val="28"/>
                <w:szCs w:val="28"/>
              </w:rPr>
            </w:pPr>
            <w:r w:rsidRPr="007672DA">
              <w:rPr>
                <w:rFonts w:ascii="宋体" w:eastAsia="宋体" w:hAnsi="宋体" w:cs="宋体" w:hint="eastAsia"/>
                <w:color w:val="000000"/>
                <w:kern w:val="0"/>
                <w:sz w:val="28"/>
                <w:szCs w:val="28"/>
              </w:rPr>
              <w:t>货币基金管理人</w:t>
            </w:r>
          </w:p>
        </w:tc>
        <w:tc>
          <w:tcPr>
            <w:tcW w:w="1111"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3家</w:t>
            </w:r>
          </w:p>
        </w:tc>
      </w:tr>
      <w:tr w:rsidR="005F475E" w:rsidRPr="007672DA" w:rsidTr="000A57D4">
        <w:trPr>
          <w:trHeight w:val="270"/>
        </w:trPr>
        <w:tc>
          <w:tcPr>
            <w:tcW w:w="3889" w:type="pct"/>
            <w:noWrap/>
            <w:hideMark/>
          </w:tcPr>
          <w:p w:rsidR="005F475E" w:rsidRPr="007672DA" w:rsidRDefault="005F475E" w:rsidP="000A57D4">
            <w:pPr>
              <w:widowControl/>
              <w:adjustRightInd w:val="0"/>
              <w:snapToGrid w:val="0"/>
              <w:jc w:val="center"/>
              <w:rPr>
                <w:rFonts w:ascii="宋体" w:eastAsia="宋体" w:hAnsi="宋体" w:cs="宋体"/>
                <w:color w:val="000000"/>
                <w:kern w:val="0"/>
                <w:sz w:val="28"/>
                <w:szCs w:val="28"/>
              </w:rPr>
            </w:pPr>
            <w:r w:rsidRPr="007672DA">
              <w:rPr>
                <w:rFonts w:ascii="宋体" w:eastAsia="宋体" w:hAnsi="宋体" w:cs="宋体" w:hint="eastAsia"/>
                <w:color w:val="000000"/>
                <w:kern w:val="0"/>
                <w:sz w:val="28"/>
                <w:szCs w:val="28"/>
              </w:rPr>
              <w:t>最大一家管理人投资金额</w:t>
            </w:r>
          </w:p>
        </w:tc>
        <w:tc>
          <w:tcPr>
            <w:tcW w:w="1111"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80,520.21</w:t>
            </w:r>
          </w:p>
        </w:tc>
      </w:tr>
      <w:tr w:rsidR="005F475E" w:rsidRPr="007672DA" w:rsidTr="000A57D4">
        <w:trPr>
          <w:trHeight w:val="270"/>
        </w:trPr>
        <w:tc>
          <w:tcPr>
            <w:tcW w:w="3889" w:type="pct"/>
            <w:noWrap/>
            <w:hideMark/>
          </w:tcPr>
          <w:p w:rsidR="005F475E" w:rsidRPr="007672DA" w:rsidRDefault="005F475E" w:rsidP="000A57D4">
            <w:pPr>
              <w:widowControl/>
              <w:adjustRightInd w:val="0"/>
              <w:snapToGrid w:val="0"/>
              <w:jc w:val="center"/>
              <w:rPr>
                <w:rFonts w:ascii="宋体" w:eastAsia="宋体" w:hAnsi="宋体" w:cs="宋体"/>
                <w:color w:val="000000"/>
                <w:kern w:val="0"/>
                <w:sz w:val="28"/>
                <w:szCs w:val="28"/>
              </w:rPr>
            </w:pPr>
            <w:r w:rsidRPr="007672DA">
              <w:rPr>
                <w:rFonts w:ascii="宋体" w:eastAsia="宋体" w:hAnsi="宋体" w:cs="宋体" w:hint="eastAsia"/>
                <w:color w:val="000000"/>
                <w:kern w:val="0"/>
                <w:sz w:val="28"/>
                <w:szCs w:val="28"/>
              </w:rPr>
              <w:t>最小一家管理人投资金额</w:t>
            </w:r>
          </w:p>
        </w:tc>
        <w:tc>
          <w:tcPr>
            <w:tcW w:w="1111" w:type="pct"/>
            <w:noWrap/>
            <w:vAlign w:val="center"/>
            <w:hideMark/>
          </w:tcPr>
          <w:p w:rsidR="005F475E" w:rsidRPr="007672DA" w:rsidRDefault="005F475E" w:rsidP="007672DA">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10,005.06</w:t>
            </w:r>
          </w:p>
        </w:tc>
      </w:tr>
    </w:tbl>
    <w:p w:rsidR="000A1803" w:rsidRPr="007672DA" w:rsidRDefault="004D26FE" w:rsidP="002E04D0">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6.市场风险限额</w:t>
      </w:r>
    </w:p>
    <w:tbl>
      <w:tblPr>
        <w:tblStyle w:val="a3"/>
        <w:tblW w:w="9073" w:type="dxa"/>
        <w:tblInd w:w="-318" w:type="dxa"/>
        <w:tblLook w:val="04A0" w:firstRow="1" w:lastRow="0" w:firstColumn="1" w:lastColumn="0" w:noHBand="0" w:noVBand="1"/>
      </w:tblPr>
      <w:tblGrid>
        <w:gridCol w:w="4254"/>
        <w:gridCol w:w="1701"/>
        <w:gridCol w:w="3118"/>
      </w:tblGrid>
      <w:tr w:rsidR="004D26FE" w:rsidRPr="0031419A" w:rsidTr="009C27A1">
        <w:tc>
          <w:tcPr>
            <w:tcW w:w="4254" w:type="dxa"/>
          </w:tcPr>
          <w:p w:rsidR="004D26FE" w:rsidRPr="0031419A" w:rsidRDefault="004D26FE" w:rsidP="00ED1466">
            <w:pPr>
              <w:adjustRightInd w:val="0"/>
              <w:snapToGrid w:val="0"/>
              <w:jc w:val="center"/>
              <w:rPr>
                <w:rFonts w:asciiTheme="minorEastAsia" w:hAnsiTheme="minorEastAsia" w:cs="Times New Roman"/>
                <w:b/>
                <w:sz w:val="28"/>
                <w:szCs w:val="28"/>
              </w:rPr>
            </w:pPr>
            <w:r w:rsidRPr="0031419A">
              <w:rPr>
                <w:rFonts w:asciiTheme="minorEastAsia" w:hAnsiTheme="minorEastAsia" w:cs="Times New Roman"/>
                <w:b/>
                <w:sz w:val="28"/>
                <w:szCs w:val="28"/>
              </w:rPr>
              <w:t>指标名称</w:t>
            </w:r>
          </w:p>
        </w:tc>
        <w:tc>
          <w:tcPr>
            <w:tcW w:w="1701" w:type="dxa"/>
          </w:tcPr>
          <w:p w:rsidR="004D26FE" w:rsidRPr="0031419A" w:rsidRDefault="004D26FE" w:rsidP="00ED1466">
            <w:pPr>
              <w:adjustRightInd w:val="0"/>
              <w:snapToGrid w:val="0"/>
              <w:jc w:val="center"/>
              <w:rPr>
                <w:rFonts w:asciiTheme="minorEastAsia" w:hAnsiTheme="minorEastAsia" w:cs="Times New Roman"/>
                <w:b/>
                <w:sz w:val="28"/>
                <w:szCs w:val="28"/>
              </w:rPr>
            </w:pPr>
            <w:r w:rsidRPr="0031419A">
              <w:rPr>
                <w:rFonts w:asciiTheme="minorEastAsia" w:hAnsiTheme="minorEastAsia" w:cs="Times New Roman"/>
                <w:b/>
                <w:sz w:val="28"/>
                <w:szCs w:val="28"/>
              </w:rPr>
              <w:t>指标值</w:t>
            </w:r>
          </w:p>
        </w:tc>
        <w:tc>
          <w:tcPr>
            <w:tcW w:w="3118" w:type="dxa"/>
          </w:tcPr>
          <w:p w:rsidR="004D26FE" w:rsidRPr="0031419A" w:rsidRDefault="004D26FE" w:rsidP="00ED1466">
            <w:pPr>
              <w:adjustRightInd w:val="0"/>
              <w:snapToGrid w:val="0"/>
              <w:jc w:val="center"/>
              <w:rPr>
                <w:rFonts w:asciiTheme="minorEastAsia" w:hAnsiTheme="minorEastAsia" w:cs="Times New Roman"/>
                <w:b/>
                <w:sz w:val="28"/>
                <w:szCs w:val="28"/>
              </w:rPr>
            </w:pPr>
            <w:r w:rsidRPr="0031419A">
              <w:rPr>
                <w:rFonts w:asciiTheme="minorEastAsia" w:hAnsiTheme="minorEastAsia" w:cs="Times New Roman"/>
                <w:b/>
                <w:sz w:val="28"/>
                <w:szCs w:val="28"/>
              </w:rPr>
              <w:t>指标要求</w:t>
            </w:r>
          </w:p>
        </w:tc>
      </w:tr>
      <w:tr w:rsidR="004D26FE" w:rsidRPr="0031419A" w:rsidTr="009C27A1">
        <w:tc>
          <w:tcPr>
            <w:tcW w:w="4254" w:type="dxa"/>
          </w:tcPr>
          <w:p w:rsidR="004D26FE" w:rsidRPr="0031419A" w:rsidRDefault="002110F8" w:rsidP="00ED1466">
            <w:pPr>
              <w:adjustRightInd w:val="0"/>
              <w:snapToGrid w:val="0"/>
              <w:rPr>
                <w:rFonts w:asciiTheme="minorEastAsia" w:hAnsiTheme="minorEastAsia" w:cs="Times New Roman"/>
                <w:sz w:val="28"/>
                <w:szCs w:val="28"/>
              </w:rPr>
            </w:pPr>
            <w:r w:rsidRPr="0031419A">
              <w:rPr>
                <w:rFonts w:asciiTheme="minorEastAsia" w:hAnsiTheme="minorEastAsia" w:cs="Times New Roman"/>
                <w:sz w:val="28"/>
                <w:szCs w:val="28"/>
              </w:rPr>
              <w:t>自营资金投资债券</w:t>
            </w:r>
            <w:proofErr w:type="gramStart"/>
            <w:r w:rsidR="004D26FE" w:rsidRPr="0031419A">
              <w:rPr>
                <w:rFonts w:asciiTheme="minorEastAsia" w:hAnsiTheme="minorEastAsia" w:cs="Times New Roman"/>
                <w:sz w:val="28"/>
                <w:szCs w:val="28"/>
              </w:rPr>
              <w:t>组合久期</w:t>
            </w:r>
            <w:proofErr w:type="gramEnd"/>
          </w:p>
        </w:tc>
        <w:tc>
          <w:tcPr>
            <w:tcW w:w="1701" w:type="dxa"/>
            <w:vAlign w:val="center"/>
          </w:tcPr>
          <w:p w:rsidR="004D26FE" w:rsidRPr="0031419A" w:rsidRDefault="009E1FBD" w:rsidP="0031419A">
            <w:pPr>
              <w:adjustRightInd w:val="0"/>
              <w:snapToGrid w:val="0"/>
              <w:jc w:val="center"/>
              <w:rPr>
                <w:rFonts w:asciiTheme="minorEastAsia" w:hAnsiTheme="minorEastAsia" w:cs="Times New Roman"/>
                <w:sz w:val="28"/>
                <w:szCs w:val="28"/>
              </w:rPr>
            </w:pPr>
            <w:r w:rsidRPr="0031419A">
              <w:rPr>
                <w:rFonts w:asciiTheme="minorEastAsia" w:hAnsiTheme="minorEastAsia" w:hint="eastAsia"/>
                <w:color w:val="000000"/>
                <w:sz w:val="28"/>
                <w:szCs w:val="28"/>
              </w:rPr>
              <w:t>3.</w:t>
            </w:r>
            <w:r w:rsidR="0039704E" w:rsidRPr="0031419A">
              <w:rPr>
                <w:rFonts w:asciiTheme="minorEastAsia" w:hAnsiTheme="minorEastAsia" w:hint="eastAsia"/>
                <w:color w:val="000000"/>
                <w:sz w:val="28"/>
                <w:szCs w:val="28"/>
              </w:rPr>
              <w:t>2</w:t>
            </w:r>
            <w:r w:rsidR="0031419A" w:rsidRPr="0031419A">
              <w:rPr>
                <w:rFonts w:asciiTheme="minorEastAsia" w:hAnsiTheme="minorEastAsia" w:hint="eastAsia"/>
                <w:color w:val="000000"/>
                <w:sz w:val="28"/>
                <w:szCs w:val="28"/>
              </w:rPr>
              <w:t>5</w:t>
            </w:r>
            <w:r w:rsidR="00FD2AB9" w:rsidRPr="0031419A">
              <w:rPr>
                <w:rFonts w:asciiTheme="minorEastAsia" w:hAnsiTheme="minorEastAsia" w:hint="eastAsia"/>
                <w:color w:val="000000"/>
                <w:sz w:val="28"/>
                <w:szCs w:val="28"/>
              </w:rPr>
              <w:t>年</w:t>
            </w:r>
          </w:p>
        </w:tc>
        <w:tc>
          <w:tcPr>
            <w:tcW w:w="3118" w:type="dxa"/>
            <w:vAlign w:val="center"/>
          </w:tcPr>
          <w:p w:rsidR="004D26FE" w:rsidRPr="0031419A" w:rsidRDefault="004D26FE" w:rsidP="00ED1466">
            <w:pPr>
              <w:adjustRightInd w:val="0"/>
              <w:snapToGrid w:val="0"/>
              <w:jc w:val="center"/>
              <w:rPr>
                <w:rFonts w:asciiTheme="minorEastAsia" w:hAnsiTheme="minorEastAsia" w:cs="Times New Roman"/>
                <w:sz w:val="28"/>
                <w:szCs w:val="28"/>
              </w:rPr>
            </w:pPr>
            <w:r w:rsidRPr="0031419A">
              <w:rPr>
                <w:rFonts w:asciiTheme="minorEastAsia" w:hAnsiTheme="minorEastAsia" w:cs="Times New Roman" w:hint="eastAsia"/>
                <w:sz w:val="28"/>
                <w:szCs w:val="28"/>
              </w:rPr>
              <w:t>≤5年</w:t>
            </w:r>
          </w:p>
        </w:tc>
      </w:tr>
      <w:tr w:rsidR="004D26FE" w:rsidRPr="0031419A" w:rsidTr="009C27A1">
        <w:tc>
          <w:tcPr>
            <w:tcW w:w="4254" w:type="dxa"/>
          </w:tcPr>
          <w:p w:rsidR="004D26FE" w:rsidRPr="0031419A" w:rsidRDefault="002110F8" w:rsidP="00ED1466">
            <w:pPr>
              <w:adjustRightInd w:val="0"/>
              <w:snapToGrid w:val="0"/>
              <w:rPr>
                <w:rFonts w:asciiTheme="minorEastAsia" w:hAnsiTheme="minorEastAsia" w:cs="Times New Roman"/>
                <w:sz w:val="28"/>
                <w:szCs w:val="28"/>
              </w:rPr>
            </w:pPr>
            <w:r w:rsidRPr="0031419A">
              <w:rPr>
                <w:rFonts w:asciiTheme="minorEastAsia" w:hAnsiTheme="minorEastAsia" w:cs="Times New Roman"/>
                <w:sz w:val="28"/>
                <w:szCs w:val="28"/>
              </w:rPr>
              <w:t>理财资金投资债券</w:t>
            </w:r>
            <w:proofErr w:type="gramStart"/>
            <w:r w:rsidR="004D26FE" w:rsidRPr="0031419A">
              <w:rPr>
                <w:rFonts w:asciiTheme="minorEastAsia" w:hAnsiTheme="minorEastAsia" w:cs="Times New Roman"/>
                <w:sz w:val="28"/>
                <w:szCs w:val="28"/>
              </w:rPr>
              <w:t>组合久期</w:t>
            </w:r>
            <w:proofErr w:type="gramEnd"/>
          </w:p>
        </w:tc>
        <w:tc>
          <w:tcPr>
            <w:tcW w:w="1701" w:type="dxa"/>
            <w:vAlign w:val="center"/>
          </w:tcPr>
          <w:p w:rsidR="004D26FE" w:rsidRPr="0031419A" w:rsidRDefault="00601B05" w:rsidP="0031419A">
            <w:pPr>
              <w:adjustRightInd w:val="0"/>
              <w:snapToGrid w:val="0"/>
              <w:jc w:val="center"/>
              <w:rPr>
                <w:rFonts w:asciiTheme="minorEastAsia" w:hAnsiTheme="minorEastAsia" w:cs="Times New Roman"/>
                <w:sz w:val="28"/>
                <w:szCs w:val="28"/>
              </w:rPr>
            </w:pPr>
            <w:r w:rsidRPr="0031419A">
              <w:rPr>
                <w:rFonts w:asciiTheme="minorEastAsia" w:hAnsiTheme="minorEastAsia" w:hint="eastAsia"/>
                <w:color w:val="000000"/>
                <w:sz w:val="28"/>
                <w:szCs w:val="28"/>
              </w:rPr>
              <w:t>2.</w:t>
            </w:r>
            <w:r w:rsidR="0031419A" w:rsidRPr="0031419A">
              <w:rPr>
                <w:rFonts w:asciiTheme="minorEastAsia" w:hAnsiTheme="minorEastAsia" w:hint="eastAsia"/>
                <w:color w:val="000000"/>
                <w:sz w:val="28"/>
                <w:szCs w:val="28"/>
              </w:rPr>
              <w:t>14</w:t>
            </w:r>
            <w:r w:rsidR="004D26FE" w:rsidRPr="0031419A">
              <w:rPr>
                <w:rFonts w:asciiTheme="minorEastAsia" w:hAnsiTheme="minorEastAsia" w:cs="Times New Roman" w:hint="eastAsia"/>
                <w:sz w:val="28"/>
                <w:szCs w:val="28"/>
              </w:rPr>
              <w:t>年</w:t>
            </w:r>
          </w:p>
        </w:tc>
        <w:tc>
          <w:tcPr>
            <w:tcW w:w="3118" w:type="dxa"/>
            <w:vAlign w:val="center"/>
          </w:tcPr>
          <w:p w:rsidR="004D26FE" w:rsidRPr="0031419A" w:rsidRDefault="004D26FE" w:rsidP="00ED1466">
            <w:pPr>
              <w:adjustRightInd w:val="0"/>
              <w:snapToGrid w:val="0"/>
              <w:jc w:val="center"/>
              <w:rPr>
                <w:rFonts w:asciiTheme="minorEastAsia" w:hAnsiTheme="minorEastAsia" w:cs="Times New Roman"/>
                <w:sz w:val="28"/>
                <w:szCs w:val="28"/>
              </w:rPr>
            </w:pPr>
            <w:r w:rsidRPr="0031419A">
              <w:rPr>
                <w:rFonts w:asciiTheme="minorEastAsia" w:hAnsiTheme="minorEastAsia" w:cs="Times New Roman" w:hint="eastAsia"/>
                <w:sz w:val="28"/>
                <w:szCs w:val="28"/>
              </w:rPr>
              <w:t>≤5年</w:t>
            </w:r>
          </w:p>
        </w:tc>
      </w:tr>
      <w:tr w:rsidR="004D26FE" w:rsidRPr="0031419A" w:rsidTr="009C27A1">
        <w:tc>
          <w:tcPr>
            <w:tcW w:w="4254" w:type="dxa"/>
          </w:tcPr>
          <w:p w:rsidR="004D26FE" w:rsidRPr="0031419A" w:rsidRDefault="002110F8" w:rsidP="00ED1466">
            <w:pPr>
              <w:adjustRightInd w:val="0"/>
              <w:snapToGrid w:val="0"/>
              <w:rPr>
                <w:rFonts w:asciiTheme="minorEastAsia" w:hAnsiTheme="minorEastAsia" w:cs="Times New Roman"/>
                <w:sz w:val="28"/>
                <w:szCs w:val="28"/>
              </w:rPr>
            </w:pPr>
            <w:r w:rsidRPr="0031419A">
              <w:rPr>
                <w:rFonts w:asciiTheme="minorEastAsia" w:hAnsiTheme="minorEastAsia" w:cs="Times New Roman"/>
                <w:sz w:val="28"/>
                <w:szCs w:val="28"/>
              </w:rPr>
              <w:t>自营债券回购</w:t>
            </w:r>
            <w:r w:rsidR="00FA6657" w:rsidRPr="0031419A">
              <w:rPr>
                <w:rFonts w:asciiTheme="minorEastAsia" w:hAnsiTheme="minorEastAsia" w:cs="Times New Roman"/>
                <w:sz w:val="28"/>
                <w:szCs w:val="28"/>
              </w:rPr>
              <w:t>杠杆率</w:t>
            </w:r>
          </w:p>
        </w:tc>
        <w:tc>
          <w:tcPr>
            <w:tcW w:w="1701" w:type="dxa"/>
            <w:vAlign w:val="center"/>
          </w:tcPr>
          <w:p w:rsidR="004D26FE" w:rsidRPr="0031419A" w:rsidRDefault="00F0547F" w:rsidP="00E61BD4">
            <w:pPr>
              <w:adjustRightInd w:val="0"/>
              <w:snapToGrid w:val="0"/>
              <w:jc w:val="center"/>
              <w:rPr>
                <w:rFonts w:asciiTheme="minorEastAsia" w:hAnsiTheme="minorEastAsia" w:cs="Times New Roman"/>
                <w:sz w:val="28"/>
                <w:szCs w:val="28"/>
              </w:rPr>
            </w:pPr>
            <w:r w:rsidRPr="0031419A">
              <w:rPr>
                <w:rFonts w:asciiTheme="minorEastAsia" w:hAnsiTheme="minorEastAsia" w:cs="Times New Roman" w:hint="eastAsia"/>
                <w:sz w:val="28"/>
                <w:szCs w:val="28"/>
              </w:rPr>
              <w:t>≤</w:t>
            </w:r>
            <w:r w:rsidR="0031419A" w:rsidRPr="0031419A">
              <w:rPr>
                <w:rFonts w:ascii="宋体" w:eastAsia="宋体" w:hAnsi="宋体" w:cs="宋体"/>
                <w:color w:val="000000"/>
                <w:kern w:val="0"/>
                <w:sz w:val="28"/>
              </w:rPr>
              <w:t>33.66</w:t>
            </w:r>
            <w:r w:rsidR="00601B05" w:rsidRPr="0031419A">
              <w:rPr>
                <w:rFonts w:ascii="宋体" w:eastAsia="宋体" w:hAnsi="宋体" w:cs="宋体"/>
                <w:color w:val="000000"/>
                <w:kern w:val="0"/>
                <w:sz w:val="28"/>
              </w:rPr>
              <w:t>%</w:t>
            </w:r>
          </w:p>
        </w:tc>
        <w:tc>
          <w:tcPr>
            <w:tcW w:w="3118" w:type="dxa"/>
            <w:vAlign w:val="center"/>
          </w:tcPr>
          <w:p w:rsidR="004D26FE" w:rsidRPr="0031419A" w:rsidRDefault="000A315B" w:rsidP="00ED1466">
            <w:pPr>
              <w:adjustRightInd w:val="0"/>
              <w:snapToGrid w:val="0"/>
              <w:jc w:val="center"/>
              <w:rPr>
                <w:rFonts w:asciiTheme="minorEastAsia" w:hAnsiTheme="minorEastAsia" w:cs="Times New Roman"/>
                <w:sz w:val="28"/>
                <w:szCs w:val="28"/>
              </w:rPr>
            </w:pPr>
            <w:r w:rsidRPr="0031419A">
              <w:rPr>
                <w:rFonts w:asciiTheme="minorEastAsia" w:hAnsiTheme="minorEastAsia" w:cs="Times New Roman" w:hint="eastAsia"/>
                <w:sz w:val="28"/>
                <w:szCs w:val="28"/>
              </w:rPr>
              <w:t>≤上季末净资产的80%</w:t>
            </w:r>
          </w:p>
        </w:tc>
      </w:tr>
      <w:tr w:rsidR="00C95532" w:rsidRPr="0031419A" w:rsidTr="009C27A1">
        <w:tc>
          <w:tcPr>
            <w:tcW w:w="4254" w:type="dxa"/>
            <w:tcBorders>
              <w:bottom w:val="single" w:sz="4" w:space="0" w:color="auto"/>
            </w:tcBorders>
          </w:tcPr>
          <w:p w:rsidR="00C95532" w:rsidRPr="0031419A" w:rsidRDefault="00C95532" w:rsidP="00ED1466">
            <w:pPr>
              <w:adjustRightInd w:val="0"/>
              <w:snapToGrid w:val="0"/>
              <w:rPr>
                <w:rFonts w:asciiTheme="minorEastAsia" w:hAnsiTheme="minorEastAsia" w:cs="Times New Roman"/>
                <w:sz w:val="28"/>
                <w:szCs w:val="28"/>
              </w:rPr>
            </w:pPr>
            <w:r w:rsidRPr="0031419A">
              <w:rPr>
                <w:rFonts w:asciiTheme="minorEastAsia" w:hAnsiTheme="minorEastAsia" w:cs="Times New Roman" w:hint="eastAsia"/>
                <w:sz w:val="28"/>
                <w:szCs w:val="28"/>
              </w:rPr>
              <w:t>交易价格偏离度</w:t>
            </w:r>
            <w:r w:rsidR="00D45D1B" w:rsidRPr="0031419A">
              <w:rPr>
                <w:rFonts w:asciiTheme="minorEastAsia" w:hAnsiTheme="minorEastAsia" w:cs="Times New Roman" w:hint="eastAsia"/>
                <w:sz w:val="28"/>
                <w:szCs w:val="28"/>
              </w:rPr>
              <w:t>绝对值</w:t>
            </w:r>
          </w:p>
        </w:tc>
        <w:tc>
          <w:tcPr>
            <w:tcW w:w="1701" w:type="dxa"/>
            <w:tcBorders>
              <w:bottom w:val="single" w:sz="4" w:space="0" w:color="auto"/>
            </w:tcBorders>
            <w:vAlign w:val="center"/>
          </w:tcPr>
          <w:p w:rsidR="00C95532" w:rsidRPr="0031419A" w:rsidRDefault="00C95532" w:rsidP="0031419A">
            <w:pPr>
              <w:adjustRightInd w:val="0"/>
              <w:snapToGrid w:val="0"/>
              <w:jc w:val="center"/>
              <w:rPr>
                <w:rFonts w:asciiTheme="minorEastAsia" w:hAnsiTheme="minorEastAsia" w:cs="Times New Roman"/>
                <w:sz w:val="28"/>
                <w:szCs w:val="28"/>
              </w:rPr>
            </w:pPr>
            <w:r w:rsidRPr="0031419A">
              <w:rPr>
                <w:rFonts w:asciiTheme="minorEastAsia" w:hAnsiTheme="minorEastAsia" w:cs="Times New Roman" w:hint="eastAsia"/>
                <w:sz w:val="28"/>
                <w:szCs w:val="28"/>
              </w:rPr>
              <w:t>≤</w:t>
            </w:r>
            <w:r w:rsidR="00FA60F2" w:rsidRPr="0031419A">
              <w:rPr>
                <w:rFonts w:asciiTheme="minorEastAsia" w:hAnsiTheme="minorEastAsia" w:cs="Times New Roman"/>
                <w:sz w:val="28"/>
                <w:szCs w:val="28"/>
              </w:rPr>
              <w:t>0.</w:t>
            </w:r>
            <w:r w:rsidR="0031419A" w:rsidRPr="0031419A">
              <w:rPr>
                <w:rFonts w:asciiTheme="minorEastAsia" w:hAnsiTheme="minorEastAsia" w:cs="Times New Roman" w:hint="eastAsia"/>
                <w:sz w:val="28"/>
                <w:szCs w:val="28"/>
              </w:rPr>
              <w:t>15</w:t>
            </w:r>
            <w:r w:rsidR="00FA60F2" w:rsidRPr="0031419A">
              <w:rPr>
                <w:rFonts w:asciiTheme="minorEastAsia" w:hAnsiTheme="minorEastAsia" w:cs="Times New Roman"/>
                <w:sz w:val="28"/>
                <w:szCs w:val="28"/>
              </w:rPr>
              <w:t>%</w:t>
            </w:r>
          </w:p>
        </w:tc>
        <w:tc>
          <w:tcPr>
            <w:tcW w:w="3118" w:type="dxa"/>
            <w:tcBorders>
              <w:bottom w:val="single" w:sz="4" w:space="0" w:color="auto"/>
            </w:tcBorders>
            <w:vAlign w:val="center"/>
          </w:tcPr>
          <w:p w:rsidR="00C95532" w:rsidRPr="0031419A" w:rsidRDefault="00C95532" w:rsidP="00ED1466">
            <w:pPr>
              <w:adjustRightInd w:val="0"/>
              <w:snapToGrid w:val="0"/>
              <w:jc w:val="center"/>
              <w:rPr>
                <w:rFonts w:asciiTheme="minorEastAsia" w:hAnsiTheme="minorEastAsia" w:cs="Times New Roman"/>
                <w:sz w:val="28"/>
                <w:szCs w:val="28"/>
              </w:rPr>
            </w:pPr>
            <w:r w:rsidRPr="0031419A">
              <w:rPr>
                <w:rFonts w:asciiTheme="minorEastAsia" w:hAnsiTheme="minorEastAsia" w:cs="Times New Roman" w:hint="eastAsia"/>
                <w:sz w:val="28"/>
                <w:szCs w:val="28"/>
              </w:rPr>
              <w:t>≤1.5%</w:t>
            </w:r>
          </w:p>
        </w:tc>
      </w:tr>
    </w:tbl>
    <w:p w:rsidR="006A1724" w:rsidRPr="007672DA" w:rsidRDefault="00910A0A" w:rsidP="002E04D0">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7.</w:t>
      </w:r>
      <w:r w:rsidR="006A1724" w:rsidRPr="007672DA">
        <w:rPr>
          <w:rFonts w:ascii="仿宋_GB2312" w:eastAsia="仿宋_GB2312" w:hAnsi="Calibri" w:cs="Times New Roman" w:hint="eastAsia"/>
          <w:b/>
          <w:sz w:val="32"/>
          <w:szCs w:val="32"/>
        </w:rPr>
        <w:t>单</w:t>
      </w:r>
      <w:proofErr w:type="gramStart"/>
      <w:r w:rsidR="006A1724" w:rsidRPr="007672DA">
        <w:rPr>
          <w:rFonts w:ascii="仿宋_GB2312" w:eastAsia="仿宋_GB2312" w:hAnsi="Calibri" w:cs="Times New Roman" w:hint="eastAsia"/>
          <w:b/>
          <w:sz w:val="32"/>
          <w:szCs w:val="32"/>
        </w:rPr>
        <w:t>券</w:t>
      </w:r>
      <w:proofErr w:type="gramEnd"/>
      <w:r w:rsidR="006A1724" w:rsidRPr="007672DA">
        <w:rPr>
          <w:rFonts w:ascii="仿宋_GB2312" w:eastAsia="仿宋_GB2312" w:hAnsi="Calibri" w:cs="Times New Roman" w:hint="eastAsia"/>
          <w:b/>
          <w:sz w:val="32"/>
          <w:szCs w:val="32"/>
        </w:rPr>
        <w:t>止损限额</w:t>
      </w:r>
    </w:p>
    <w:tbl>
      <w:tblPr>
        <w:tblStyle w:val="a3"/>
        <w:tblW w:w="9217" w:type="dxa"/>
        <w:jc w:val="center"/>
        <w:tblInd w:w="-642" w:type="dxa"/>
        <w:tblLayout w:type="fixed"/>
        <w:tblLook w:val="04A0" w:firstRow="1" w:lastRow="0" w:firstColumn="1" w:lastColumn="0" w:noHBand="0" w:noVBand="1"/>
      </w:tblPr>
      <w:tblGrid>
        <w:gridCol w:w="2623"/>
        <w:gridCol w:w="1890"/>
        <w:gridCol w:w="1529"/>
        <w:gridCol w:w="1474"/>
        <w:gridCol w:w="1701"/>
      </w:tblGrid>
      <w:tr w:rsidR="006A1724" w:rsidRPr="007672DA" w:rsidTr="006A1724">
        <w:trPr>
          <w:jc w:val="center"/>
        </w:trPr>
        <w:tc>
          <w:tcPr>
            <w:tcW w:w="2623" w:type="dxa"/>
            <w:vAlign w:val="center"/>
          </w:tcPr>
          <w:p w:rsidR="006A1724" w:rsidRPr="007672DA" w:rsidRDefault="006A1724" w:rsidP="00782110">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b/>
                <w:sz w:val="28"/>
                <w:szCs w:val="28"/>
              </w:rPr>
              <w:t>债券名称</w:t>
            </w:r>
          </w:p>
        </w:tc>
        <w:tc>
          <w:tcPr>
            <w:tcW w:w="1890" w:type="dxa"/>
          </w:tcPr>
          <w:p w:rsidR="006A1724" w:rsidRPr="007672DA" w:rsidRDefault="006A1724" w:rsidP="00782110">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业务部门</w:t>
            </w:r>
          </w:p>
        </w:tc>
        <w:tc>
          <w:tcPr>
            <w:tcW w:w="1529" w:type="dxa"/>
            <w:vAlign w:val="center"/>
          </w:tcPr>
          <w:p w:rsidR="006A1724" w:rsidRPr="007672DA" w:rsidRDefault="006A1724" w:rsidP="00782110">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指标值</w:t>
            </w:r>
          </w:p>
        </w:tc>
        <w:tc>
          <w:tcPr>
            <w:tcW w:w="1474" w:type="dxa"/>
            <w:vAlign w:val="center"/>
          </w:tcPr>
          <w:p w:rsidR="006A1724" w:rsidRPr="007672DA" w:rsidRDefault="006A1724" w:rsidP="00782110">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b/>
                <w:sz w:val="28"/>
                <w:szCs w:val="28"/>
              </w:rPr>
              <w:t>指标要求</w:t>
            </w:r>
          </w:p>
        </w:tc>
        <w:tc>
          <w:tcPr>
            <w:tcW w:w="1701" w:type="dxa"/>
          </w:tcPr>
          <w:p w:rsidR="006A1724" w:rsidRPr="007672DA" w:rsidRDefault="006A1724" w:rsidP="00782110">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hint="eastAsia"/>
                <w:b/>
                <w:sz w:val="28"/>
                <w:szCs w:val="28"/>
              </w:rPr>
              <w:t>备注</w:t>
            </w:r>
          </w:p>
        </w:tc>
      </w:tr>
      <w:tr w:rsidR="006A1724" w:rsidRPr="007672DA" w:rsidTr="006A1724">
        <w:trPr>
          <w:jc w:val="center"/>
        </w:trPr>
        <w:tc>
          <w:tcPr>
            <w:tcW w:w="2623" w:type="dxa"/>
            <w:tcBorders>
              <w:bottom w:val="single" w:sz="4" w:space="0" w:color="auto"/>
            </w:tcBorders>
            <w:vAlign w:val="center"/>
          </w:tcPr>
          <w:p w:rsidR="006A1724" w:rsidRPr="007672DA" w:rsidRDefault="006A1724" w:rsidP="00782110">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16</w:t>
            </w:r>
            <w:proofErr w:type="gramStart"/>
            <w:r w:rsidRPr="007672DA">
              <w:rPr>
                <w:rFonts w:asciiTheme="minorEastAsia" w:hAnsiTheme="minorEastAsia" w:cs="Times New Roman" w:hint="eastAsia"/>
                <w:sz w:val="28"/>
                <w:szCs w:val="28"/>
              </w:rPr>
              <w:t>青国投</w:t>
            </w:r>
            <w:proofErr w:type="gramEnd"/>
            <w:r w:rsidRPr="007672DA">
              <w:rPr>
                <w:rFonts w:asciiTheme="minorEastAsia" w:hAnsiTheme="minorEastAsia" w:cs="Times New Roman" w:hint="eastAsia"/>
                <w:sz w:val="28"/>
                <w:szCs w:val="28"/>
              </w:rPr>
              <w:t>MTN001</w:t>
            </w:r>
          </w:p>
        </w:tc>
        <w:tc>
          <w:tcPr>
            <w:tcW w:w="1890" w:type="dxa"/>
            <w:tcBorders>
              <w:bottom w:val="single" w:sz="4" w:space="0" w:color="auto"/>
            </w:tcBorders>
          </w:tcPr>
          <w:p w:rsidR="006A1724" w:rsidRPr="007672DA" w:rsidRDefault="006A1724" w:rsidP="00782110">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理财事业部</w:t>
            </w:r>
          </w:p>
        </w:tc>
        <w:tc>
          <w:tcPr>
            <w:tcW w:w="1529" w:type="dxa"/>
            <w:tcBorders>
              <w:bottom w:val="single" w:sz="4" w:space="0" w:color="auto"/>
            </w:tcBorders>
            <w:vAlign w:val="center"/>
          </w:tcPr>
          <w:p w:rsidR="006A1724" w:rsidRPr="007672DA" w:rsidRDefault="005F475E" w:rsidP="00D25F2E">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53.14</w:t>
            </w:r>
            <w:r w:rsidR="002B565E" w:rsidRPr="007672DA">
              <w:rPr>
                <w:rFonts w:asciiTheme="minorEastAsia" w:hAnsiTheme="minorEastAsia" w:cs="Times New Roman"/>
                <w:sz w:val="28"/>
                <w:szCs w:val="28"/>
              </w:rPr>
              <w:t>%</w:t>
            </w:r>
          </w:p>
        </w:tc>
        <w:tc>
          <w:tcPr>
            <w:tcW w:w="1474" w:type="dxa"/>
            <w:tcBorders>
              <w:bottom w:val="single" w:sz="4" w:space="0" w:color="auto"/>
            </w:tcBorders>
            <w:vAlign w:val="center"/>
          </w:tcPr>
          <w:p w:rsidR="006A1724" w:rsidRPr="007672DA" w:rsidRDefault="006A1724" w:rsidP="00782110">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≤16%</w:t>
            </w:r>
          </w:p>
        </w:tc>
        <w:tc>
          <w:tcPr>
            <w:tcW w:w="1701" w:type="dxa"/>
            <w:tcBorders>
              <w:bottom w:val="single" w:sz="4" w:space="0" w:color="auto"/>
            </w:tcBorders>
          </w:tcPr>
          <w:p w:rsidR="006A1724" w:rsidRPr="007672DA" w:rsidRDefault="008E30FC" w:rsidP="00782110">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已上会审议</w:t>
            </w:r>
          </w:p>
        </w:tc>
      </w:tr>
      <w:tr w:rsidR="00A6525E" w:rsidRPr="007672DA" w:rsidTr="008738B6">
        <w:trPr>
          <w:jc w:val="center"/>
        </w:trPr>
        <w:tc>
          <w:tcPr>
            <w:tcW w:w="9217" w:type="dxa"/>
            <w:gridSpan w:val="5"/>
            <w:tcBorders>
              <w:left w:val="nil"/>
              <w:bottom w:val="nil"/>
              <w:right w:val="nil"/>
            </w:tcBorders>
            <w:vAlign w:val="center"/>
          </w:tcPr>
          <w:p w:rsidR="00A6525E" w:rsidRPr="007672DA" w:rsidRDefault="00A6525E" w:rsidP="006A1724">
            <w:pPr>
              <w:adjustRightInd w:val="0"/>
              <w:snapToGrid w:val="0"/>
              <w:rPr>
                <w:rFonts w:ascii="仿宋" w:eastAsia="仿宋" w:hAnsi="仿宋" w:cs="宋体"/>
                <w:color w:val="000000"/>
                <w:kern w:val="0"/>
                <w:sz w:val="24"/>
              </w:rPr>
            </w:pPr>
            <w:r w:rsidRPr="007672DA">
              <w:rPr>
                <w:rFonts w:ascii="仿宋" w:eastAsia="仿宋" w:hAnsi="仿宋" w:cs="宋体" w:hint="eastAsia"/>
                <w:color w:val="000000"/>
                <w:kern w:val="0"/>
                <w:sz w:val="24"/>
              </w:rPr>
              <w:t>数据来源：理财资产管理系统</w:t>
            </w:r>
            <w:r w:rsidR="001A717C" w:rsidRPr="007672DA">
              <w:rPr>
                <w:rFonts w:ascii="仿宋" w:eastAsia="仿宋" w:hAnsi="仿宋" w:cs="宋体" w:hint="eastAsia"/>
                <w:color w:val="000000"/>
                <w:kern w:val="0"/>
                <w:sz w:val="24"/>
                <w:szCs w:val="24"/>
              </w:rPr>
              <w:t>、兆</w:t>
            </w:r>
            <w:proofErr w:type="gramStart"/>
            <w:r w:rsidR="001A717C" w:rsidRPr="007672DA">
              <w:rPr>
                <w:rFonts w:ascii="仿宋" w:eastAsia="仿宋" w:hAnsi="仿宋" w:cs="宋体" w:hint="eastAsia"/>
                <w:color w:val="000000"/>
                <w:kern w:val="0"/>
                <w:sz w:val="24"/>
                <w:szCs w:val="24"/>
              </w:rPr>
              <w:t>尹</w:t>
            </w:r>
            <w:proofErr w:type="gramEnd"/>
            <w:r w:rsidR="001A717C" w:rsidRPr="007672DA">
              <w:rPr>
                <w:rFonts w:ascii="仿宋" w:eastAsia="仿宋" w:hAnsi="仿宋" w:cs="宋体" w:hint="eastAsia"/>
                <w:color w:val="000000"/>
                <w:kern w:val="0"/>
                <w:sz w:val="24"/>
                <w:szCs w:val="24"/>
              </w:rPr>
              <w:t>系统</w:t>
            </w:r>
            <w:r w:rsidRPr="007672DA">
              <w:rPr>
                <w:rFonts w:ascii="仿宋" w:eastAsia="仿宋" w:hAnsi="仿宋" w:cs="宋体" w:hint="eastAsia"/>
                <w:color w:val="000000"/>
                <w:kern w:val="0"/>
                <w:sz w:val="24"/>
              </w:rPr>
              <w:t>、COMSTAR系统</w:t>
            </w:r>
            <w:r w:rsidR="0022695A" w:rsidRPr="007672DA">
              <w:rPr>
                <w:rFonts w:ascii="仿宋" w:eastAsia="仿宋" w:hAnsi="仿宋" w:cs="宋体" w:hint="eastAsia"/>
                <w:color w:val="000000"/>
                <w:kern w:val="0"/>
                <w:sz w:val="24"/>
              </w:rPr>
              <w:t>、</w:t>
            </w:r>
            <w:r w:rsidR="0022695A" w:rsidRPr="007672DA">
              <w:rPr>
                <w:rFonts w:ascii="仿宋" w:eastAsia="仿宋" w:hAnsi="仿宋" w:cs="宋体" w:hint="eastAsia"/>
                <w:color w:val="000000"/>
                <w:kern w:val="0"/>
                <w:sz w:val="24"/>
                <w:szCs w:val="24"/>
              </w:rPr>
              <w:t>资金业务管理系统，尚未</w:t>
            </w:r>
            <w:proofErr w:type="gramStart"/>
            <w:r w:rsidR="0022695A" w:rsidRPr="007672DA">
              <w:rPr>
                <w:rFonts w:ascii="仿宋" w:eastAsia="仿宋" w:hAnsi="仿宋" w:cs="宋体" w:hint="eastAsia"/>
                <w:color w:val="000000"/>
                <w:kern w:val="0"/>
                <w:sz w:val="24"/>
                <w:szCs w:val="24"/>
              </w:rPr>
              <w:t>涵盖省联社</w:t>
            </w:r>
            <w:proofErr w:type="gramEnd"/>
            <w:r w:rsidR="0022695A" w:rsidRPr="007672DA">
              <w:rPr>
                <w:rFonts w:ascii="仿宋" w:eastAsia="仿宋" w:hAnsi="仿宋" w:cs="宋体" w:hint="eastAsia"/>
                <w:color w:val="000000"/>
                <w:kern w:val="0"/>
                <w:sz w:val="24"/>
                <w:szCs w:val="24"/>
              </w:rPr>
              <w:t>资金统一平台数据</w:t>
            </w:r>
          </w:p>
          <w:p w:rsidR="00A6525E" w:rsidRPr="007672DA" w:rsidRDefault="00A6525E" w:rsidP="006A1724">
            <w:pPr>
              <w:adjustRightInd w:val="0"/>
              <w:snapToGrid w:val="0"/>
              <w:rPr>
                <w:rFonts w:ascii="仿宋" w:eastAsia="仿宋" w:hAnsi="仿宋" w:cs="宋体"/>
                <w:color w:val="000000"/>
                <w:kern w:val="0"/>
                <w:sz w:val="24"/>
              </w:rPr>
            </w:pPr>
            <w:r w:rsidRPr="007672DA">
              <w:rPr>
                <w:rFonts w:ascii="仿宋" w:eastAsia="仿宋" w:hAnsi="仿宋" w:cs="宋体" w:hint="eastAsia"/>
                <w:color w:val="000000"/>
                <w:kern w:val="0"/>
                <w:sz w:val="24"/>
              </w:rPr>
              <w:t>注：17</w:t>
            </w:r>
            <w:proofErr w:type="gramStart"/>
            <w:r w:rsidRPr="007672DA">
              <w:rPr>
                <w:rFonts w:ascii="仿宋" w:eastAsia="仿宋" w:hAnsi="仿宋" w:cs="宋体" w:hint="eastAsia"/>
                <w:color w:val="000000"/>
                <w:kern w:val="0"/>
                <w:sz w:val="24"/>
              </w:rPr>
              <w:t>平租</w:t>
            </w:r>
            <w:proofErr w:type="gramEnd"/>
            <w:r w:rsidRPr="007672DA">
              <w:rPr>
                <w:rFonts w:ascii="仿宋" w:eastAsia="仿宋" w:hAnsi="仿宋" w:cs="宋体" w:hint="eastAsia"/>
                <w:color w:val="000000"/>
                <w:kern w:val="0"/>
                <w:sz w:val="24"/>
              </w:rPr>
              <w:t>B</w:t>
            </w:r>
            <w:r w:rsidR="00794C16" w:rsidRPr="007672DA">
              <w:rPr>
                <w:rFonts w:ascii="仿宋" w:eastAsia="仿宋" w:hAnsi="仿宋" w:cs="宋体" w:hint="eastAsia"/>
                <w:color w:val="000000"/>
                <w:kern w:val="0"/>
                <w:sz w:val="24"/>
              </w:rPr>
              <w:t>、21</w:t>
            </w:r>
            <w:proofErr w:type="gramStart"/>
            <w:r w:rsidR="00794C16" w:rsidRPr="007672DA">
              <w:rPr>
                <w:rFonts w:ascii="仿宋" w:eastAsia="仿宋" w:hAnsi="仿宋" w:cs="宋体" w:hint="eastAsia"/>
                <w:color w:val="000000"/>
                <w:kern w:val="0"/>
                <w:sz w:val="24"/>
              </w:rPr>
              <w:t>鑫</w:t>
            </w:r>
            <w:proofErr w:type="gramEnd"/>
            <w:r w:rsidR="00794C16" w:rsidRPr="007672DA">
              <w:rPr>
                <w:rFonts w:ascii="仿宋" w:eastAsia="仿宋" w:hAnsi="仿宋" w:cs="宋体" w:hint="eastAsia"/>
                <w:color w:val="000000"/>
                <w:kern w:val="0"/>
                <w:sz w:val="24"/>
              </w:rPr>
              <w:t>乾1A</w:t>
            </w:r>
            <w:r w:rsidRPr="007672DA">
              <w:rPr>
                <w:rFonts w:ascii="仿宋" w:eastAsia="仿宋" w:hAnsi="仿宋" w:cs="宋体" w:hint="eastAsia"/>
                <w:color w:val="000000"/>
                <w:kern w:val="0"/>
                <w:sz w:val="24"/>
              </w:rPr>
              <w:t>无估值数据，暂不计算止损限额</w:t>
            </w:r>
          </w:p>
          <w:p w:rsidR="00A6525E" w:rsidRPr="007672DA" w:rsidRDefault="00A6525E" w:rsidP="006A1724">
            <w:pPr>
              <w:adjustRightInd w:val="0"/>
              <w:snapToGrid w:val="0"/>
              <w:rPr>
                <w:rFonts w:ascii="仿宋" w:eastAsia="仿宋" w:hAnsi="仿宋" w:cs="宋体"/>
                <w:color w:val="000000"/>
                <w:kern w:val="0"/>
                <w:sz w:val="24"/>
              </w:rPr>
            </w:pPr>
            <w:r w:rsidRPr="007672DA">
              <w:rPr>
                <w:rFonts w:ascii="仿宋" w:eastAsia="仿宋" w:hAnsi="仿宋" w:cs="宋体" w:hint="eastAsia"/>
                <w:color w:val="000000"/>
                <w:kern w:val="0"/>
                <w:sz w:val="24"/>
              </w:rPr>
              <w:t>注：违约债券不再更新估值数据，故不再计算止损限额</w:t>
            </w:r>
          </w:p>
        </w:tc>
      </w:tr>
    </w:tbl>
    <w:p w:rsidR="00597A9A" w:rsidRPr="007672DA" w:rsidRDefault="006A1724" w:rsidP="002E04D0">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8.</w:t>
      </w:r>
      <w:r w:rsidR="00D63925" w:rsidRPr="007672DA">
        <w:rPr>
          <w:rFonts w:ascii="仿宋_GB2312" w:eastAsia="仿宋_GB2312" w:hAnsi="Calibri" w:cs="Times New Roman" w:hint="eastAsia"/>
          <w:b/>
          <w:sz w:val="32"/>
          <w:szCs w:val="32"/>
        </w:rPr>
        <w:t>信用风险限额</w:t>
      </w:r>
    </w:p>
    <w:tbl>
      <w:tblPr>
        <w:tblStyle w:val="a3"/>
        <w:tblW w:w="0" w:type="auto"/>
        <w:jc w:val="center"/>
        <w:tblInd w:w="1" w:type="dxa"/>
        <w:tblLook w:val="04A0" w:firstRow="1" w:lastRow="0" w:firstColumn="1" w:lastColumn="0" w:noHBand="0" w:noVBand="1"/>
      </w:tblPr>
      <w:tblGrid>
        <w:gridCol w:w="3837"/>
        <w:gridCol w:w="1417"/>
        <w:gridCol w:w="2432"/>
      </w:tblGrid>
      <w:tr w:rsidR="00D63925" w:rsidRPr="007672DA" w:rsidTr="00423AFC">
        <w:trPr>
          <w:jc w:val="center"/>
        </w:trPr>
        <w:tc>
          <w:tcPr>
            <w:tcW w:w="3837" w:type="dxa"/>
          </w:tcPr>
          <w:p w:rsidR="00D63925" w:rsidRPr="007672DA" w:rsidRDefault="00D63925" w:rsidP="00A55FC1">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b/>
                <w:sz w:val="28"/>
                <w:szCs w:val="28"/>
              </w:rPr>
              <w:t>指标名称</w:t>
            </w:r>
          </w:p>
        </w:tc>
        <w:tc>
          <w:tcPr>
            <w:tcW w:w="1417" w:type="dxa"/>
          </w:tcPr>
          <w:p w:rsidR="00D63925" w:rsidRPr="007672DA" w:rsidRDefault="00D63925" w:rsidP="00A55FC1">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b/>
                <w:sz w:val="28"/>
                <w:szCs w:val="28"/>
              </w:rPr>
              <w:t>指标值</w:t>
            </w:r>
          </w:p>
        </w:tc>
        <w:tc>
          <w:tcPr>
            <w:tcW w:w="2432" w:type="dxa"/>
          </w:tcPr>
          <w:p w:rsidR="00D63925" w:rsidRPr="007672DA" w:rsidRDefault="00D63925" w:rsidP="00A55FC1">
            <w:pPr>
              <w:adjustRightInd w:val="0"/>
              <w:snapToGrid w:val="0"/>
              <w:jc w:val="center"/>
              <w:rPr>
                <w:rFonts w:asciiTheme="minorEastAsia" w:hAnsiTheme="minorEastAsia" w:cs="Times New Roman"/>
                <w:b/>
                <w:sz w:val="28"/>
                <w:szCs w:val="28"/>
              </w:rPr>
            </w:pPr>
            <w:r w:rsidRPr="007672DA">
              <w:rPr>
                <w:rFonts w:asciiTheme="minorEastAsia" w:hAnsiTheme="minorEastAsia" w:cs="Times New Roman"/>
                <w:b/>
                <w:sz w:val="28"/>
                <w:szCs w:val="28"/>
              </w:rPr>
              <w:t>指标要求</w:t>
            </w:r>
          </w:p>
        </w:tc>
      </w:tr>
      <w:tr w:rsidR="00D63925" w:rsidRPr="007672DA" w:rsidTr="00423AFC">
        <w:trPr>
          <w:jc w:val="center"/>
        </w:trPr>
        <w:tc>
          <w:tcPr>
            <w:tcW w:w="3837" w:type="dxa"/>
            <w:tcBorders>
              <w:bottom w:val="single" w:sz="4" w:space="0" w:color="auto"/>
            </w:tcBorders>
          </w:tcPr>
          <w:p w:rsidR="00D63925" w:rsidRPr="007672DA" w:rsidRDefault="00D63925" w:rsidP="00A55FC1">
            <w:pPr>
              <w:adjustRightInd w:val="0"/>
              <w:snapToGrid w:val="0"/>
              <w:rPr>
                <w:rFonts w:asciiTheme="minorEastAsia" w:hAnsiTheme="minorEastAsia" w:cs="Times New Roman"/>
                <w:sz w:val="28"/>
                <w:szCs w:val="28"/>
              </w:rPr>
            </w:pPr>
            <w:r w:rsidRPr="007672DA">
              <w:rPr>
                <w:rFonts w:asciiTheme="minorEastAsia" w:hAnsiTheme="minorEastAsia" w:cs="Times New Roman"/>
                <w:sz w:val="28"/>
                <w:szCs w:val="28"/>
              </w:rPr>
              <w:t>非金融企业债券</w:t>
            </w:r>
            <w:r w:rsidR="00423AFC" w:rsidRPr="007672DA">
              <w:rPr>
                <w:rFonts w:asciiTheme="minorEastAsia" w:hAnsiTheme="minorEastAsia" w:cs="Times New Roman" w:hint="eastAsia"/>
                <w:sz w:val="28"/>
                <w:szCs w:val="28"/>
              </w:rPr>
              <w:t>单</w:t>
            </w:r>
            <w:proofErr w:type="gramStart"/>
            <w:r w:rsidR="00423AFC" w:rsidRPr="007672DA">
              <w:rPr>
                <w:rFonts w:asciiTheme="minorEastAsia" w:hAnsiTheme="minorEastAsia" w:cs="Times New Roman" w:hint="eastAsia"/>
                <w:sz w:val="28"/>
                <w:szCs w:val="28"/>
              </w:rPr>
              <w:t>券</w:t>
            </w:r>
            <w:proofErr w:type="gramEnd"/>
            <w:r w:rsidRPr="007672DA">
              <w:rPr>
                <w:rFonts w:asciiTheme="minorEastAsia" w:hAnsiTheme="minorEastAsia" w:cs="Times New Roman"/>
                <w:sz w:val="28"/>
                <w:szCs w:val="28"/>
              </w:rPr>
              <w:t>集中度</w:t>
            </w:r>
          </w:p>
        </w:tc>
        <w:tc>
          <w:tcPr>
            <w:tcW w:w="1417" w:type="dxa"/>
            <w:tcBorders>
              <w:bottom w:val="single" w:sz="4" w:space="0" w:color="auto"/>
            </w:tcBorders>
            <w:vAlign w:val="center"/>
          </w:tcPr>
          <w:p w:rsidR="00D63925" w:rsidRPr="007672DA" w:rsidRDefault="00943945" w:rsidP="00455EE6">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w:t>
            </w:r>
            <w:r w:rsidR="00455EE6" w:rsidRPr="007672DA">
              <w:rPr>
                <w:rFonts w:asciiTheme="minorEastAsia" w:hAnsiTheme="minorEastAsia" w:cs="宋体" w:hint="eastAsia"/>
                <w:color w:val="000000"/>
                <w:kern w:val="0"/>
                <w:sz w:val="28"/>
                <w:szCs w:val="28"/>
              </w:rPr>
              <w:t>20</w:t>
            </w:r>
            <w:r w:rsidRPr="007672DA">
              <w:rPr>
                <w:rFonts w:asciiTheme="minorEastAsia" w:hAnsiTheme="minorEastAsia" w:cs="宋体"/>
                <w:color w:val="000000"/>
                <w:kern w:val="0"/>
                <w:sz w:val="28"/>
                <w:szCs w:val="28"/>
              </w:rPr>
              <w:t>%</w:t>
            </w:r>
          </w:p>
        </w:tc>
        <w:tc>
          <w:tcPr>
            <w:tcW w:w="2432" w:type="dxa"/>
            <w:tcBorders>
              <w:bottom w:val="single" w:sz="4" w:space="0" w:color="auto"/>
            </w:tcBorders>
            <w:vAlign w:val="center"/>
          </w:tcPr>
          <w:p w:rsidR="00D63925" w:rsidRPr="007672DA" w:rsidRDefault="00D63925" w:rsidP="00D63925">
            <w:pPr>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≤30%</w:t>
            </w:r>
          </w:p>
        </w:tc>
      </w:tr>
      <w:tr w:rsidR="00D63925" w:rsidRPr="007672DA" w:rsidTr="00423AFC">
        <w:trPr>
          <w:jc w:val="center"/>
        </w:trPr>
        <w:tc>
          <w:tcPr>
            <w:tcW w:w="7686" w:type="dxa"/>
            <w:gridSpan w:val="3"/>
            <w:tcBorders>
              <w:left w:val="nil"/>
              <w:bottom w:val="nil"/>
              <w:right w:val="nil"/>
            </w:tcBorders>
            <w:vAlign w:val="center"/>
          </w:tcPr>
          <w:p w:rsidR="00D63925" w:rsidRPr="007672DA" w:rsidRDefault="00D63925" w:rsidP="00D63925">
            <w:pPr>
              <w:adjustRightInd w:val="0"/>
              <w:snapToGrid w:val="0"/>
              <w:rPr>
                <w:rFonts w:asciiTheme="minorEastAsia" w:hAnsiTheme="minorEastAsia" w:cs="Times New Roman"/>
                <w:sz w:val="28"/>
                <w:szCs w:val="28"/>
              </w:rPr>
            </w:pPr>
            <w:r w:rsidRPr="007672DA">
              <w:rPr>
                <w:rFonts w:ascii="仿宋" w:eastAsia="仿宋" w:hAnsi="仿宋" w:cs="宋体" w:hint="eastAsia"/>
                <w:color w:val="000000"/>
                <w:kern w:val="0"/>
                <w:sz w:val="24"/>
                <w:szCs w:val="28"/>
              </w:rPr>
              <w:t>备注：非金融企业债券集中度不含ABS</w:t>
            </w:r>
          </w:p>
        </w:tc>
      </w:tr>
    </w:tbl>
    <w:p w:rsidR="00B5386E" w:rsidRPr="005F475E" w:rsidRDefault="006A1724" w:rsidP="002E04D0">
      <w:pPr>
        <w:spacing w:line="560" w:lineRule="exact"/>
        <w:ind w:firstLineChars="200" w:firstLine="643"/>
        <w:rPr>
          <w:rFonts w:ascii="仿宋_GB2312" w:eastAsia="仿宋_GB2312" w:hAnsi="Calibri" w:cs="Times New Roman"/>
          <w:b/>
          <w:sz w:val="32"/>
          <w:szCs w:val="32"/>
        </w:rPr>
      </w:pPr>
      <w:r w:rsidRPr="005F475E">
        <w:rPr>
          <w:rFonts w:ascii="仿宋_GB2312" w:eastAsia="仿宋_GB2312" w:hAnsi="Calibri" w:cs="Times New Roman" w:hint="eastAsia"/>
          <w:b/>
          <w:sz w:val="32"/>
          <w:szCs w:val="32"/>
        </w:rPr>
        <w:t>9</w:t>
      </w:r>
      <w:r w:rsidR="00B5386E" w:rsidRPr="005F475E">
        <w:rPr>
          <w:rFonts w:ascii="仿宋_GB2312" w:eastAsia="仿宋_GB2312" w:hAnsi="Calibri" w:cs="Times New Roman" w:hint="eastAsia"/>
          <w:b/>
          <w:sz w:val="32"/>
          <w:szCs w:val="32"/>
        </w:rPr>
        <w:t>.匿名客户集中度</w:t>
      </w:r>
    </w:p>
    <w:tbl>
      <w:tblPr>
        <w:tblStyle w:val="a3"/>
        <w:tblW w:w="7903" w:type="dxa"/>
        <w:jc w:val="center"/>
        <w:tblInd w:w="5" w:type="dxa"/>
        <w:tblLook w:val="04A0" w:firstRow="1" w:lastRow="0" w:firstColumn="1" w:lastColumn="0" w:noHBand="0" w:noVBand="1"/>
      </w:tblPr>
      <w:tblGrid>
        <w:gridCol w:w="2285"/>
        <w:gridCol w:w="3030"/>
        <w:gridCol w:w="2588"/>
      </w:tblGrid>
      <w:tr w:rsidR="008B4040" w:rsidRPr="005F475E" w:rsidTr="001A717C">
        <w:trPr>
          <w:trHeight w:val="270"/>
          <w:jc w:val="center"/>
        </w:trPr>
        <w:tc>
          <w:tcPr>
            <w:tcW w:w="2285" w:type="dxa"/>
            <w:tcBorders>
              <w:top w:val="nil"/>
              <w:left w:val="nil"/>
              <w:right w:val="nil"/>
            </w:tcBorders>
          </w:tcPr>
          <w:p w:rsidR="008B4040" w:rsidRPr="005F475E" w:rsidRDefault="008B4040" w:rsidP="00B5386E">
            <w:pPr>
              <w:widowControl/>
              <w:jc w:val="right"/>
              <w:rPr>
                <w:rFonts w:ascii="仿宋_GB2312" w:eastAsia="仿宋_GB2312" w:hAnsi="Calibri" w:cs="Times New Roman"/>
                <w:sz w:val="24"/>
                <w:szCs w:val="32"/>
              </w:rPr>
            </w:pPr>
          </w:p>
        </w:tc>
        <w:tc>
          <w:tcPr>
            <w:tcW w:w="5618" w:type="dxa"/>
            <w:gridSpan w:val="2"/>
            <w:tcBorders>
              <w:top w:val="nil"/>
              <w:left w:val="nil"/>
              <w:right w:val="nil"/>
            </w:tcBorders>
            <w:noWrap/>
            <w:vAlign w:val="center"/>
          </w:tcPr>
          <w:p w:rsidR="008B4040" w:rsidRPr="005F475E" w:rsidRDefault="008B4040" w:rsidP="00B5386E">
            <w:pPr>
              <w:widowControl/>
              <w:jc w:val="right"/>
              <w:rPr>
                <w:rFonts w:ascii="宋体" w:eastAsia="宋体" w:hAnsi="宋体" w:cs="宋体"/>
                <w:color w:val="000000"/>
                <w:kern w:val="0"/>
                <w:sz w:val="22"/>
              </w:rPr>
            </w:pPr>
            <w:r w:rsidRPr="005F475E">
              <w:rPr>
                <w:rFonts w:ascii="仿宋_GB2312" w:eastAsia="仿宋_GB2312" w:hAnsi="Calibri" w:cs="Times New Roman" w:hint="eastAsia"/>
                <w:sz w:val="24"/>
                <w:szCs w:val="32"/>
              </w:rPr>
              <w:t>单位：万元</w:t>
            </w:r>
          </w:p>
        </w:tc>
      </w:tr>
      <w:tr w:rsidR="00041D28" w:rsidRPr="005F475E" w:rsidTr="001A717C">
        <w:trPr>
          <w:trHeight w:val="270"/>
          <w:jc w:val="center"/>
        </w:trPr>
        <w:tc>
          <w:tcPr>
            <w:tcW w:w="5315" w:type="dxa"/>
            <w:gridSpan w:val="2"/>
            <w:vAlign w:val="center"/>
          </w:tcPr>
          <w:p w:rsidR="00041D28" w:rsidRPr="005F475E" w:rsidRDefault="00041D28" w:rsidP="00B5386E">
            <w:pPr>
              <w:widowControl/>
              <w:adjustRightInd w:val="0"/>
              <w:snapToGrid w:val="0"/>
              <w:jc w:val="center"/>
              <w:rPr>
                <w:rFonts w:ascii="宋体" w:eastAsia="宋体" w:hAnsi="宋体" w:cs="宋体"/>
                <w:b/>
                <w:color w:val="000000"/>
                <w:kern w:val="0"/>
                <w:sz w:val="28"/>
                <w:szCs w:val="28"/>
              </w:rPr>
            </w:pPr>
            <w:r w:rsidRPr="005F475E">
              <w:rPr>
                <w:rFonts w:ascii="宋体" w:eastAsia="宋体" w:hAnsi="宋体" w:cs="宋体" w:hint="eastAsia"/>
                <w:b/>
                <w:color w:val="000000"/>
                <w:kern w:val="0"/>
                <w:sz w:val="28"/>
                <w:szCs w:val="28"/>
              </w:rPr>
              <w:t>类别</w:t>
            </w:r>
          </w:p>
        </w:tc>
        <w:tc>
          <w:tcPr>
            <w:tcW w:w="2588" w:type="dxa"/>
            <w:noWrap/>
          </w:tcPr>
          <w:p w:rsidR="00041D28" w:rsidRPr="005F475E" w:rsidRDefault="00041D28" w:rsidP="00B5386E">
            <w:pPr>
              <w:widowControl/>
              <w:adjustRightInd w:val="0"/>
              <w:snapToGrid w:val="0"/>
              <w:jc w:val="center"/>
              <w:rPr>
                <w:rFonts w:ascii="宋体" w:eastAsia="宋体" w:hAnsi="宋体" w:cs="宋体"/>
                <w:b/>
                <w:color w:val="000000"/>
                <w:kern w:val="0"/>
                <w:sz w:val="28"/>
                <w:szCs w:val="28"/>
              </w:rPr>
            </w:pPr>
            <w:r w:rsidRPr="005F475E">
              <w:rPr>
                <w:rFonts w:ascii="宋体" w:eastAsia="宋体" w:hAnsi="宋体" w:cs="宋体" w:hint="eastAsia"/>
                <w:b/>
                <w:color w:val="000000"/>
                <w:kern w:val="0"/>
                <w:sz w:val="28"/>
                <w:szCs w:val="28"/>
              </w:rPr>
              <w:t>金额</w:t>
            </w:r>
          </w:p>
        </w:tc>
      </w:tr>
      <w:tr w:rsidR="00B515CC" w:rsidRPr="005F475E" w:rsidTr="001A717C">
        <w:trPr>
          <w:trHeight w:val="270"/>
          <w:jc w:val="center"/>
        </w:trPr>
        <w:tc>
          <w:tcPr>
            <w:tcW w:w="2285" w:type="dxa"/>
            <w:vMerge w:val="restart"/>
            <w:vAlign w:val="center"/>
          </w:tcPr>
          <w:p w:rsidR="00B515CC" w:rsidRPr="005F475E" w:rsidRDefault="00B515CC" w:rsidP="008B4040">
            <w:pPr>
              <w:widowControl/>
              <w:adjustRightInd w:val="0"/>
              <w:snapToGrid w:val="0"/>
              <w:jc w:val="center"/>
              <w:rPr>
                <w:rFonts w:ascii="宋体" w:eastAsia="宋体" w:hAnsi="宋体" w:cs="宋体"/>
                <w:color w:val="000000"/>
                <w:kern w:val="0"/>
                <w:sz w:val="28"/>
                <w:szCs w:val="28"/>
              </w:rPr>
            </w:pPr>
            <w:r w:rsidRPr="005F475E">
              <w:rPr>
                <w:rFonts w:ascii="宋体" w:eastAsia="宋体" w:hAnsi="宋体" w:cs="宋体" w:hint="eastAsia"/>
                <w:color w:val="000000"/>
                <w:kern w:val="0"/>
                <w:sz w:val="28"/>
                <w:szCs w:val="28"/>
              </w:rPr>
              <w:t>细分类别</w:t>
            </w:r>
          </w:p>
        </w:tc>
        <w:tc>
          <w:tcPr>
            <w:tcW w:w="3030" w:type="dxa"/>
            <w:noWrap/>
            <w:hideMark/>
          </w:tcPr>
          <w:p w:rsidR="00B515CC" w:rsidRPr="005F475E" w:rsidRDefault="00B515CC" w:rsidP="00B5386E">
            <w:pPr>
              <w:widowControl/>
              <w:adjustRightInd w:val="0"/>
              <w:snapToGrid w:val="0"/>
              <w:jc w:val="center"/>
              <w:rPr>
                <w:rFonts w:ascii="宋体" w:eastAsia="宋体" w:hAnsi="宋体" w:cs="宋体"/>
                <w:color w:val="000000"/>
                <w:kern w:val="0"/>
                <w:sz w:val="28"/>
                <w:szCs w:val="28"/>
              </w:rPr>
            </w:pPr>
            <w:proofErr w:type="gramStart"/>
            <w:r w:rsidRPr="005F475E">
              <w:rPr>
                <w:rFonts w:ascii="宋体" w:eastAsia="宋体" w:hAnsi="宋体" w:cs="宋体" w:hint="eastAsia"/>
                <w:color w:val="000000"/>
                <w:kern w:val="0"/>
                <w:sz w:val="28"/>
                <w:szCs w:val="28"/>
              </w:rPr>
              <w:t>华融优</w:t>
            </w:r>
            <w:proofErr w:type="gramEnd"/>
            <w:r w:rsidRPr="005F475E">
              <w:rPr>
                <w:rFonts w:ascii="宋体" w:eastAsia="宋体" w:hAnsi="宋体" w:cs="宋体" w:hint="eastAsia"/>
                <w:color w:val="000000"/>
                <w:kern w:val="0"/>
                <w:sz w:val="28"/>
                <w:szCs w:val="28"/>
              </w:rPr>
              <w:t>智</w:t>
            </w:r>
          </w:p>
        </w:tc>
        <w:tc>
          <w:tcPr>
            <w:tcW w:w="2588" w:type="dxa"/>
            <w:noWrap/>
            <w:vAlign w:val="center"/>
            <w:hideMark/>
          </w:tcPr>
          <w:p w:rsidR="00B515CC" w:rsidRPr="005F475E" w:rsidRDefault="006B5ED7" w:rsidP="006B5ED7">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3</w:t>
            </w:r>
            <w:r w:rsidR="009F44FC" w:rsidRPr="005F475E">
              <w:rPr>
                <w:rFonts w:asciiTheme="minorEastAsia" w:hAnsiTheme="minorEastAsia" w:cs="Times New Roman" w:hint="eastAsia"/>
                <w:sz w:val="28"/>
                <w:szCs w:val="28"/>
              </w:rPr>
              <w:t>,</w:t>
            </w:r>
            <w:r w:rsidRPr="005F475E">
              <w:rPr>
                <w:rFonts w:asciiTheme="minorEastAsia" w:hAnsiTheme="minorEastAsia" w:cs="Times New Roman" w:hint="eastAsia"/>
                <w:sz w:val="28"/>
                <w:szCs w:val="28"/>
              </w:rPr>
              <w:t>373</w:t>
            </w:r>
            <w:r w:rsidR="00F042A4" w:rsidRPr="005F475E">
              <w:rPr>
                <w:rFonts w:asciiTheme="minorEastAsia" w:hAnsiTheme="minorEastAsia" w:cs="Times New Roman" w:hint="eastAsia"/>
                <w:sz w:val="28"/>
                <w:szCs w:val="28"/>
              </w:rPr>
              <w:t>.</w:t>
            </w:r>
            <w:r w:rsidRPr="005F475E">
              <w:rPr>
                <w:rFonts w:asciiTheme="minorEastAsia" w:hAnsiTheme="minorEastAsia" w:cs="Times New Roman" w:hint="eastAsia"/>
                <w:sz w:val="28"/>
                <w:szCs w:val="28"/>
              </w:rPr>
              <w:t>26</w:t>
            </w:r>
          </w:p>
        </w:tc>
      </w:tr>
      <w:tr w:rsidR="00B515CC" w:rsidRPr="005F475E" w:rsidTr="001A717C">
        <w:trPr>
          <w:trHeight w:val="270"/>
          <w:jc w:val="center"/>
        </w:trPr>
        <w:tc>
          <w:tcPr>
            <w:tcW w:w="2285" w:type="dxa"/>
            <w:vMerge/>
            <w:vAlign w:val="center"/>
          </w:tcPr>
          <w:p w:rsidR="00B515CC" w:rsidRPr="005F475E" w:rsidRDefault="00B515CC" w:rsidP="008B4040">
            <w:pPr>
              <w:widowControl/>
              <w:adjustRightInd w:val="0"/>
              <w:snapToGrid w:val="0"/>
              <w:jc w:val="center"/>
              <w:rPr>
                <w:rFonts w:ascii="宋体" w:eastAsia="宋体" w:hAnsi="宋体" w:cs="宋体"/>
                <w:color w:val="000000"/>
                <w:kern w:val="0"/>
                <w:sz w:val="28"/>
                <w:szCs w:val="28"/>
              </w:rPr>
            </w:pPr>
          </w:p>
        </w:tc>
        <w:tc>
          <w:tcPr>
            <w:tcW w:w="3030" w:type="dxa"/>
            <w:noWrap/>
          </w:tcPr>
          <w:p w:rsidR="00B515CC" w:rsidRPr="005F475E" w:rsidRDefault="00B515CC" w:rsidP="00B5386E">
            <w:pPr>
              <w:widowControl/>
              <w:adjustRightInd w:val="0"/>
              <w:snapToGrid w:val="0"/>
              <w:jc w:val="center"/>
              <w:rPr>
                <w:rFonts w:ascii="宋体" w:eastAsia="宋体" w:hAnsi="宋体" w:cs="宋体"/>
                <w:color w:val="000000"/>
                <w:kern w:val="0"/>
                <w:sz w:val="28"/>
                <w:szCs w:val="28"/>
              </w:rPr>
            </w:pPr>
            <w:r w:rsidRPr="005F475E">
              <w:rPr>
                <w:rFonts w:ascii="宋体" w:eastAsia="宋体" w:hAnsi="宋体" w:cs="宋体" w:hint="eastAsia"/>
                <w:color w:val="000000"/>
                <w:kern w:val="0"/>
                <w:sz w:val="28"/>
                <w:szCs w:val="28"/>
              </w:rPr>
              <w:t>货币基金</w:t>
            </w:r>
          </w:p>
        </w:tc>
        <w:tc>
          <w:tcPr>
            <w:tcW w:w="2588" w:type="dxa"/>
            <w:noWrap/>
            <w:vAlign w:val="center"/>
          </w:tcPr>
          <w:p w:rsidR="00B515CC" w:rsidRPr="005F475E" w:rsidRDefault="00D25F2E" w:rsidP="0058445A">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117,692.08</w:t>
            </w:r>
          </w:p>
        </w:tc>
      </w:tr>
      <w:tr w:rsidR="00B515CC" w:rsidRPr="005F475E" w:rsidTr="001A717C">
        <w:trPr>
          <w:trHeight w:val="270"/>
          <w:jc w:val="center"/>
        </w:trPr>
        <w:tc>
          <w:tcPr>
            <w:tcW w:w="2285" w:type="dxa"/>
            <w:vMerge/>
          </w:tcPr>
          <w:p w:rsidR="00B515CC" w:rsidRPr="005F475E" w:rsidRDefault="00B515CC" w:rsidP="00B5386E">
            <w:pPr>
              <w:widowControl/>
              <w:adjustRightInd w:val="0"/>
              <w:snapToGrid w:val="0"/>
              <w:jc w:val="center"/>
              <w:rPr>
                <w:rFonts w:ascii="宋体" w:eastAsia="宋体" w:hAnsi="宋体" w:cs="宋体"/>
                <w:color w:val="000000"/>
                <w:kern w:val="0"/>
                <w:sz w:val="28"/>
                <w:szCs w:val="28"/>
              </w:rPr>
            </w:pPr>
          </w:p>
        </w:tc>
        <w:tc>
          <w:tcPr>
            <w:tcW w:w="3030" w:type="dxa"/>
            <w:noWrap/>
            <w:hideMark/>
          </w:tcPr>
          <w:p w:rsidR="00B515CC" w:rsidRPr="005F475E" w:rsidRDefault="00B515CC" w:rsidP="00B5386E">
            <w:pPr>
              <w:widowControl/>
              <w:adjustRightInd w:val="0"/>
              <w:snapToGrid w:val="0"/>
              <w:jc w:val="center"/>
              <w:rPr>
                <w:rFonts w:ascii="宋体" w:eastAsia="宋体" w:hAnsi="宋体" w:cs="宋体"/>
                <w:color w:val="000000"/>
                <w:kern w:val="0"/>
                <w:sz w:val="28"/>
                <w:szCs w:val="28"/>
              </w:rPr>
            </w:pPr>
            <w:r w:rsidRPr="005F475E">
              <w:rPr>
                <w:rFonts w:ascii="宋体" w:eastAsia="宋体" w:hAnsi="宋体" w:cs="宋体" w:hint="eastAsia"/>
                <w:color w:val="000000"/>
                <w:kern w:val="0"/>
                <w:sz w:val="28"/>
                <w:szCs w:val="28"/>
              </w:rPr>
              <w:t>资产支持证券</w:t>
            </w:r>
          </w:p>
        </w:tc>
        <w:tc>
          <w:tcPr>
            <w:tcW w:w="2588" w:type="dxa"/>
            <w:noWrap/>
            <w:vAlign w:val="center"/>
            <w:hideMark/>
          </w:tcPr>
          <w:p w:rsidR="00B515CC" w:rsidRPr="005F475E" w:rsidRDefault="00D25F2E" w:rsidP="003853F4">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5,700.00</w:t>
            </w:r>
          </w:p>
        </w:tc>
      </w:tr>
      <w:tr w:rsidR="00B515CC" w:rsidRPr="005F475E" w:rsidTr="001A717C">
        <w:trPr>
          <w:trHeight w:val="270"/>
          <w:jc w:val="center"/>
        </w:trPr>
        <w:tc>
          <w:tcPr>
            <w:tcW w:w="5315" w:type="dxa"/>
            <w:gridSpan w:val="2"/>
          </w:tcPr>
          <w:p w:rsidR="00B515CC" w:rsidRPr="005F475E" w:rsidRDefault="00B515CC" w:rsidP="00B5386E">
            <w:pPr>
              <w:widowControl/>
              <w:adjustRightInd w:val="0"/>
              <w:snapToGrid w:val="0"/>
              <w:jc w:val="center"/>
              <w:rPr>
                <w:rFonts w:ascii="宋体" w:eastAsia="宋体" w:hAnsi="宋体" w:cs="宋体"/>
                <w:color w:val="000000"/>
                <w:kern w:val="0"/>
                <w:sz w:val="28"/>
                <w:szCs w:val="28"/>
              </w:rPr>
            </w:pPr>
            <w:r w:rsidRPr="005F475E">
              <w:rPr>
                <w:rFonts w:ascii="宋体" w:eastAsia="宋体" w:hAnsi="宋体" w:cs="宋体" w:hint="eastAsia"/>
                <w:color w:val="000000"/>
                <w:kern w:val="0"/>
                <w:sz w:val="28"/>
                <w:szCs w:val="28"/>
              </w:rPr>
              <w:t>合计</w:t>
            </w:r>
          </w:p>
        </w:tc>
        <w:tc>
          <w:tcPr>
            <w:tcW w:w="2588" w:type="dxa"/>
            <w:noWrap/>
            <w:vAlign w:val="center"/>
            <w:hideMark/>
          </w:tcPr>
          <w:p w:rsidR="00B515CC" w:rsidRPr="005F475E" w:rsidRDefault="006B5ED7" w:rsidP="003853F4">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126,765.34</w:t>
            </w:r>
          </w:p>
        </w:tc>
      </w:tr>
      <w:tr w:rsidR="00B515CC" w:rsidRPr="005F475E" w:rsidTr="001A717C">
        <w:trPr>
          <w:trHeight w:val="270"/>
          <w:jc w:val="center"/>
        </w:trPr>
        <w:tc>
          <w:tcPr>
            <w:tcW w:w="5315" w:type="dxa"/>
            <w:gridSpan w:val="2"/>
          </w:tcPr>
          <w:p w:rsidR="00B515CC" w:rsidRPr="005F475E" w:rsidRDefault="00B515CC" w:rsidP="00B5386E">
            <w:pPr>
              <w:widowControl/>
              <w:adjustRightInd w:val="0"/>
              <w:snapToGrid w:val="0"/>
              <w:jc w:val="center"/>
              <w:rPr>
                <w:rFonts w:ascii="宋体" w:eastAsia="宋体" w:hAnsi="宋体" w:cs="宋体"/>
                <w:color w:val="000000"/>
                <w:kern w:val="0"/>
                <w:sz w:val="28"/>
                <w:szCs w:val="28"/>
              </w:rPr>
            </w:pPr>
            <w:r w:rsidRPr="005F475E">
              <w:rPr>
                <w:rFonts w:ascii="宋体" w:eastAsia="宋体" w:hAnsi="宋体" w:cs="宋体" w:hint="eastAsia"/>
                <w:color w:val="000000"/>
                <w:kern w:val="0"/>
                <w:sz w:val="28"/>
                <w:szCs w:val="28"/>
              </w:rPr>
              <w:t>一级资本净额</w:t>
            </w:r>
          </w:p>
        </w:tc>
        <w:tc>
          <w:tcPr>
            <w:tcW w:w="2588" w:type="dxa"/>
            <w:noWrap/>
            <w:vAlign w:val="center"/>
            <w:hideMark/>
          </w:tcPr>
          <w:p w:rsidR="00B515CC" w:rsidRPr="005F475E" w:rsidRDefault="006B5ED7" w:rsidP="0058445A">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sz w:val="28"/>
                <w:szCs w:val="28"/>
              </w:rPr>
              <w:t>1,008,200.00</w:t>
            </w:r>
          </w:p>
        </w:tc>
      </w:tr>
      <w:tr w:rsidR="00B515CC" w:rsidRPr="005F475E" w:rsidTr="001A717C">
        <w:trPr>
          <w:trHeight w:val="270"/>
          <w:jc w:val="center"/>
        </w:trPr>
        <w:tc>
          <w:tcPr>
            <w:tcW w:w="5315" w:type="dxa"/>
            <w:gridSpan w:val="2"/>
          </w:tcPr>
          <w:p w:rsidR="00B515CC" w:rsidRPr="005F475E" w:rsidRDefault="00B515CC" w:rsidP="00B5386E">
            <w:pPr>
              <w:widowControl/>
              <w:adjustRightInd w:val="0"/>
              <w:snapToGrid w:val="0"/>
              <w:jc w:val="center"/>
              <w:rPr>
                <w:rFonts w:ascii="宋体" w:eastAsia="宋体" w:hAnsi="宋体" w:cs="宋体"/>
                <w:b/>
                <w:color w:val="000000"/>
                <w:kern w:val="0"/>
                <w:sz w:val="28"/>
                <w:szCs w:val="28"/>
              </w:rPr>
            </w:pPr>
            <w:r w:rsidRPr="005F475E">
              <w:rPr>
                <w:rFonts w:ascii="宋体" w:eastAsia="宋体" w:hAnsi="宋体" w:cs="宋体" w:hint="eastAsia"/>
                <w:b/>
                <w:color w:val="000000"/>
                <w:kern w:val="0"/>
                <w:sz w:val="28"/>
                <w:szCs w:val="28"/>
              </w:rPr>
              <w:t>占比</w:t>
            </w:r>
          </w:p>
        </w:tc>
        <w:tc>
          <w:tcPr>
            <w:tcW w:w="2588" w:type="dxa"/>
            <w:noWrap/>
            <w:vAlign w:val="center"/>
            <w:hideMark/>
          </w:tcPr>
          <w:p w:rsidR="00B515CC" w:rsidRPr="005F475E" w:rsidRDefault="006B5ED7" w:rsidP="00122FA3">
            <w:pPr>
              <w:adjustRightInd w:val="0"/>
              <w:snapToGrid w:val="0"/>
              <w:jc w:val="center"/>
              <w:rPr>
                <w:rFonts w:asciiTheme="minorEastAsia" w:hAnsiTheme="minorEastAsia" w:cs="Times New Roman"/>
                <w:b/>
                <w:sz w:val="28"/>
                <w:szCs w:val="28"/>
              </w:rPr>
            </w:pPr>
            <w:r w:rsidRPr="005F475E">
              <w:rPr>
                <w:rFonts w:asciiTheme="minorEastAsia" w:hAnsiTheme="minorEastAsia" w:cs="Times New Roman"/>
                <w:b/>
                <w:sz w:val="28"/>
                <w:szCs w:val="28"/>
              </w:rPr>
              <w:t>12.57%</w:t>
            </w:r>
          </w:p>
        </w:tc>
      </w:tr>
      <w:tr w:rsidR="00BD2338" w:rsidRPr="005F475E" w:rsidTr="001A717C">
        <w:trPr>
          <w:trHeight w:val="270"/>
          <w:jc w:val="center"/>
        </w:trPr>
        <w:tc>
          <w:tcPr>
            <w:tcW w:w="5315" w:type="dxa"/>
            <w:gridSpan w:val="2"/>
            <w:tcBorders>
              <w:bottom w:val="single" w:sz="4" w:space="0" w:color="auto"/>
            </w:tcBorders>
          </w:tcPr>
          <w:p w:rsidR="00BD2338" w:rsidRPr="005F475E" w:rsidRDefault="00BD2338" w:rsidP="00B5386E">
            <w:pPr>
              <w:widowControl/>
              <w:adjustRightInd w:val="0"/>
              <w:snapToGrid w:val="0"/>
              <w:jc w:val="center"/>
              <w:rPr>
                <w:rFonts w:ascii="宋体" w:eastAsia="宋体" w:hAnsi="宋体" w:cs="宋体"/>
                <w:color w:val="000000"/>
                <w:kern w:val="0"/>
                <w:sz w:val="28"/>
                <w:szCs w:val="28"/>
              </w:rPr>
            </w:pPr>
            <w:r w:rsidRPr="005F475E">
              <w:rPr>
                <w:rFonts w:ascii="宋体" w:eastAsia="宋体" w:hAnsi="宋体" w:cs="宋体" w:hint="eastAsia"/>
                <w:color w:val="000000"/>
                <w:kern w:val="0"/>
                <w:sz w:val="28"/>
                <w:szCs w:val="28"/>
              </w:rPr>
              <w:t>限额</w:t>
            </w:r>
          </w:p>
        </w:tc>
        <w:tc>
          <w:tcPr>
            <w:tcW w:w="2588" w:type="dxa"/>
            <w:tcBorders>
              <w:bottom w:val="single" w:sz="4" w:space="0" w:color="auto"/>
            </w:tcBorders>
            <w:noWrap/>
            <w:vAlign w:val="center"/>
            <w:hideMark/>
          </w:tcPr>
          <w:p w:rsidR="00BD2338" w:rsidRPr="005F475E" w:rsidRDefault="00BD2338" w:rsidP="00C16D76">
            <w:pPr>
              <w:adjustRightInd w:val="0"/>
              <w:snapToGrid w:val="0"/>
              <w:jc w:val="center"/>
              <w:rPr>
                <w:rFonts w:asciiTheme="minorEastAsia" w:hAnsiTheme="minorEastAsia" w:cs="Times New Roman"/>
                <w:sz w:val="28"/>
                <w:szCs w:val="28"/>
              </w:rPr>
            </w:pPr>
            <w:r w:rsidRPr="005F475E">
              <w:rPr>
                <w:rFonts w:asciiTheme="minorEastAsia" w:hAnsiTheme="minorEastAsia" w:cs="Times New Roman" w:hint="eastAsia"/>
                <w:sz w:val="28"/>
                <w:szCs w:val="28"/>
              </w:rPr>
              <w:t>15%</w:t>
            </w:r>
          </w:p>
        </w:tc>
      </w:tr>
      <w:tr w:rsidR="008B4040" w:rsidRPr="005F475E" w:rsidTr="001A717C">
        <w:trPr>
          <w:trHeight w:val="270"/>
          <w:jc w:val="center"/>
        </w:trPr>
        <w:tc>
          <w:tcPr>
            <w:tcW w:w="7903" w:type="dxa"/>
            <w:gridSpan w:val="3"/>
            <w:tcBorders>
              <w:left w:val="nil"/>
              <w:bottom w:val="nil"/>
              <w:right w:val="nil"/>
            </w:tcBorders>
            <w:vAlign w:val="center"/>
          </w:tcPr>
          <w:p w:rsidR="008B4040" w:rsidRPr="005F475E" w:rsidRDefault="008B4040" w:rsidP="0022695A">
            <w:pPr>
              <w:widowControl/>
              <w:adjustRightInd w:val="0"/>
              <w:snapToGrid w:val="0"/>
              <w:rPr>
                <w:rFonts w:ascii="宋体" w:eastAsia="宋体" w:hAnsi="宋体" w:cs="宋体"/>
                <w:color w:val="000000"/>
                <w:kern w:val="0"/>
                <w:sz w:val="28"/>
                <w:szCs w:val="28"/>
              </w:rPr>
            </w:pPr>
            <w:r w:rsidRPr="005F475E">
              <w:rPr>
                <w:rFonts w:ascii="仿宋" w:eastAsia="仿宋" w:hAnsi="仿宋" w:cs="宋体" w:hint="eastAsia"/>
                <w:color w:val="000000"/>
                <w:kern w:val="0"/>
                <w:sz w:val="24"/>
              </w:rPr>
              <w:t>数据来源：理财资产管理系统</w:t>
            </w:r>
            <w:r w:rsidR="001A717C" w:rsidRPr="005F475E">
              <w:rPr>
                <w:rFonts w:ascii="仿宋" w:eastAsia="仿宋" w:hAnsi="仿宋" w:cs="宋体" w:hint="eastAsia"/>
                <w:color w:val="000000"/>
                <w:kern w:val="0"/>
                <w:sz w:val="24"/>
                <w:szCs w:val="24"/>
              </w:rPr>
              <w:t>、兆</w:t>
            </w:r>
            <w:proofErr w:type="gramStart"/>
            <w:r w:rsidR="001A717C" w:rsidRPr="005F475E">
              <w:rPr>
                <w:rFonts w:ascii="仿宋" w:eastAsia="仿宋" w:hAnsi="仿宋" w:cs="宋体" w:hint="eastAsia"/>
                <w:color w:val="000000"/>
                <w:kern w:val="0"/>
                <w:sz w:val="24"/>
                <w:szCs w:val="24"/>
              </w:rPr>
              <w:t>尹</w:t>
            </w:r>
            <w:proofErr w:type="gramEnd"/>
            <w:r w:rsidR="001A717C" w:rsidRPr="005F475E">
              <w:rPr>
                <w:rFonts w:ascii="仿宋" w:eastAsia="仿宋" w:hAnsi="仿宋" w:cs="宋体" w:hint="eastAsia"/>
                <w:color w:val="000000"/>
                <w:kern w:val="0"/>
                <w:sz w:val="24"/>
                <w:szCs w:val="24"/>
              </w:rPr>
              <w:t>系统</w:t>
            </w:r>
            <w:r w:rsidRPr="005F475E">
              <w:rPr>
                <w:rFonts w:ascii="仿宋" w:eastAsia="仿宋" w:hAnsi="仿宋" w:cs="宋体" w:hint="eastAsia"/>
                <w:color w:val="000000"/>
                <w:kern w:val="0"/>
                <w:sz w:val="24"/>
              </w:rPr>
              <w:t>、COMSTAR系统</w:t>
            </w:r>
            <w:r w:rsidR="0022695A" w:rsidRPr="005F475E">
              <w:rPr>
                <w:rFonts w:ascii="仿宋" w:eastAsia="仿宋" w:hAnsi="仿宋" w:cs="宋体" w:hint="eastAsia"/>
                <w:color w:val="000000"/>
                <w:kern w:val="0"/>
                <w:sz w:val="24"/>
              </w:rPr>
              <w:t>、</w:t>
            </w:r>
            <w:r w:rsidR="0022695A" w:rsidRPr="005F475E">
              <w:rPr>
                <w:rFonts w:ascii="仿宋" w:eastAsia="仿宋" w:hAnsi="仿宋" w:cs="宋体" w:hint="eastAsia"/>
                <w:color w:val="000000"/>
                <w:kern w:val="0"/>
                <w:sz w:val="24"/>
                <w:szCs w:val="24"/>
              </w:rPr>
              <w:t>资金业务管理系统，尚未</w:t>
            </w:r>
            <w:proofErr w:type="gramStart"/>
            <w:r w:rsidR="0022695A" w:rsidRPr="005F475E">
              <w:rPr>
                <w:rFonts w:ascii="仿宋" w:eastAsia="仿宋" w:hAnsi="仿宋" w:cs="宋体" w:hint="eastAsia"/>
                <w:color w:val="000000"/>
                <w:kern w:val="0"/>
                <w:sz w:val="24"/>
                <w:szCs w:val="24"/>
              </w:rPr>
              <w:t>涵盖省联社</w:t>
            </w:r>
            <w:proofErr w:type="gramEnd"/>
            <w:r w:rsidR="0022695A" w:rsidRPr="005F475E">
              <w:rPr>
                <w:rFonts w:ascii="仿宋" w:eastAsia="仿宋" w:hAnsi="仿宋" w:cs="宋体" w:hint="eastAsia"/>
                <w:color w:val="000000"/>
                <w:kern w:val="0"/>
                <w:sz w:val="24"/>
                <w:szCs w:val="24"/>
              </w:rPr>
              <w:t>资金统一平台数据</w:t>
            </w:r>
          </w:p>
        </w:tc>
      </w:tr>
      <w:tr w:rsidR="008B4040" w:rsidRPr="005F475E" w:rsidTr="001A717C">
        <w:trPr>
          <w:trHeight w:val="270"/>
          <w:jc w:val="center"/>
        </w:trPr>
        <w:tc>
          <w:tcPr>
            <w:tcW w:w="7903" w:type="dxa"/>
            <w:gridSpan w:val="3"/>
            <w:tcBorders>
              <w:top w:val="nil"/>
              <w:left w:val="nil"/>
              <w:bottom w:val="nil"/>
              <w:right w:val="nil"/>
            </w:tcBorders>
            <w:vAlign w:val="center"/>
          </w:tcPr>
          <w:p w:rsidR="008B4040" w:rsidRPr="005F475E" w:rsidRDefault="008B4040" w:rsidP="00A32E73">
            <w:pPr>
              <w:widowControl/>
              <w:adjustRightInd w:val="0"/>
              <w:snapToGrid w:val="0"/>
              <w:rPr>
                <w:rFonts w:ascii="仿宋" w:eastAsia="仿宋" w:hAnsi="仿宋" w:cs="宋体"/>
                <w:color w:val="000000"/>
                <w:kern w:val="0"/>
                <w:sz w:val="24"/>
              </w:rPr>
            </w:pPr>
            <w:r w:rsidRPr="005F475E">
              <w:rPr>
                <w:rFonts w:ascii="仿宋" w:eastAsia="仿宋" w:hAnsi="仿宋" w:cs="宋体" w:hint="eastAsia"/>
                <w:color w:val="000000"/>
                <w:kern w:val="0"/>
                <w:sz w:val="24"/>
              </w:rPr>
              <w:t>备注1：一级资本净额采用202</w:t>
            </w:r>
            <w:r w:rsidR="00A32E73" w:rsidRPr="005F475E">
              <w:rPr>
                <w:rFonts w:ascii="仿宋" w:eastAsia="仿宋" w:hAnsi="仿宋" w:cs="宋体" w:hint="eastAsia"/>
                <w:color w:val="000000"/>
                <w:kern w:val="0"/>
                <w:sz w:val="24"/>
              </w:rPr>
              <w:t>1</w:t>
            </w:r>
            <w:r w:rsidRPr="005F475E">
              <w:rPr>
                <w:rFonts w:ascii="仿宋" w:eastAsia="仿宋" w:hAnsi="仿宋" w:cs="宋体" w:hint="eastAsia"/>
                <w:color w:val="000000"/>
                <w:kern w:val="0"/>
                <w:sz w:val="24"/>
              </w:rPr>
              <w:t>年</w:t>
            </w:r>
            <w:r w:rsidR="00A32E73" w:rsidRPr="005F475E">
              <w:rPr>
                <w:rFonts w:ascii="仿宋" w:eastAsia="仿宋" w:hAnsi="仿宋" w:cs="宋体" w:hint="eastAsia"/>
                <w:color w:val="000000"/>
                <w:kern w:val="0"/>
                <w:sz w:val="24"/>
              </w:rPr>
              <w:t>3</w:t>
            </w:r>
            <w:r w:rsidRPr="005F475E">
              <w:rPr>
                <w:rFonts w:ascii="仿宋" w:eastAsia="仿宋" w:hAnsi="仿宋" w:cs="宋体" w:hint="eastAsia"/>
                <w:color w:val="000000"/>
                <w:kern w:val="0"/>
                <w:sz w:val="24"/>
              </w:rPr>
              <w:t>月3</w:t>
            </w:r>
            <w:r w:rsidR="00550BF9" w:rsidRPr="005F475E">
              <w:rPr>
                <w:rFonts w:ascii="仿宋" w:eastAsia="仿宋" w:hAnsi="仿宋" w:cs="宋体" w:hint="eastAsia"/>
                <w:color w:val="000000"/>
                <w:kern w:val="0"/>
                <w:sz w:val="24"/>
              </w:rPr>
              <w:t>1</w:t>
            </w:r>
            <w:r w:rsidRPr="005F475E">
              <w:rPr>
                <w:rFonts w:ascii="仿宋" w:eastAsia="仿宋" w:hAnsi="仿宋" w:cs="宋体" w:hint="eastAsia"/>
                <w:color w:val="000000"/>
                <w:kern w:val="0"/>
                <w:sz w:val="24"/>
              </w:rPr>
              <w:t>日数据</w:t>
            </w:r>
          </w:p>
        </w:tc>
      </w:tr>
      <w:tr w:rsidR="008B4040" w:rsidRPr="005F475E" w:rsidTr="001A717C">
        <w:trPr>
          <w:trHeight w:val="270"/>
          <w:jc w:val="center"/>
        </w:trPr>
        <w:tc>
          <w:tcPr>
            <w:tcW w:w="7903" w:type="dxa"/>
            <w:gridSpan w:val="3"/>
            <w:tcBorders>
              <w:top w:val="nil"/>
              <w:left w:val="nil"/>
              <w:bottom w:val="nil"/>
              <w:right w:val="nil"/>
            </w:tcBorders>
            <w:vAlign w:val="center"/>
          </w:tcPr>
          <w:p w:rsidR="008B4040" w:rsidRPr="005F475E" w:rsidRDefault="008B4040" w:rsidP="00E85891">
            <w:pPr>
              <w:widowControl/>
              <w:adjustRightInd w:val="0"/>
              <w:snapToGrid w:val="0"/>
              <w:rPr>
                <w:rFonts w:ascii="仿宋" w:eastAsia="仿宋" w:hAnsi="仿宋" w:cs="宋体"/>
                <w:color w:val="000000"/>
                <w:kern w:val="0"/>
                <w:sz w:val="24"/>
              </w:rPr>
            </w:pPr>
            <w:r w:rsidRPr="005F475E">
              <w:rPr>
                <w:rFonts w:ascii="仿宋" w:eastAsia="仿宋" w:hAnsi="仿宋" w:cs="宋体" w:hint="eastAsia"/>
                <w:color w:val="000000"/>
                <w:kern w:val="0"/>
                <w:sz w:val="24"/>
              </w:rPr>
              <w:t>备注</w:t>
            </w:r>
            <w:r w:rsidR="00E85891" w:rsidRPr="005F475E">
              <w:rPr>
                <w:rFonts w:ascii="仿宋" w:eastAsia="仿宋" w:hAnsi="仿宋" w:cs="宋体" w:hint="eastAsia"/>
                <w:color w:val="000000"/>
                <w:kern w:val="0"/>
                <w:sz w:val="24"/>
              </w:rPr>
              <w:t>2</w:t>
            </w:r>
            <w:r w:rsidRPr="005F475E">
              <w:rPr>
                <w:rFonts w:ascii="仿宋" w:eastAsia="仿宋" w:hAnsi="仿宋" w:cs="宋体" w:hint="eastAsia"/>
                <w:color w:val="000000"/>
                <w:kern w:val="0"/>
                <w:sz w:val="24"/>
              </w:rPr>
              <w:t>：货币基金、资产支持证券计算依据WIND分类数据，与人工识别可能存在差异，计算结果供参考</w:t>
            </w:r>
          </w:p>
        </w:tc>
      </w:tr>
    </w:tbl>
    <w:p w:rsidR="00192DAB" w:rsidRPr="007672DA" w:rsidRDefault="00192DAB" w:rsidP="002E04D0">
      <w:pPr>
        <w:spacing w:line="560" w:lineRule="exact"/>
        <w:ind w:firstLineChars="200" w:firstLine="643"/>
        <w:rPr>
          <w:rFonts w:ascii="仿宋_GB2312" w:eastAsia="仿宋_GB2312" w:hAnsi="Calibri" w:cs="Times New Roman"/>
          <w:b/>
          <w:sz w:val="32"/>
          <w:szCs w:val="32"/>
        </w:rPr>
      </w:pPr>
      <w:r w:rsidRPr="007672DA">
        <w:rPr>
          <w:rFonts w:ascii="仿宋_GB2312" w:eastAsia="仿宋_GB2312" w:hAnsi="Calibri" w:cs="Times New Roman" w:hint="eastAsia"/>
          <w:b/>
          <w:sz w:val="32"/>
          <w:szCs w:val="32"/>
        </w:rPr>
        <w:t>10.沪深300ETF</w:t>
      </w:r>
    </w:p>
    <w:p w:rsidR="005B1EAF" w:rsidRPr="007672DA" w:rsidRDefault="005B1EAF" w:rsidP="005B1EAF">
      <w:pPr>
        <w:wordWrap w:val="0"/>
        <w:ind w:firstLineChars="200" w:firstLine="480"/>
        <w:jc w:val="right"/>
        <w:rPr>
          <w:rFonts w:ascii="仿宋_GB2312" w:eastAsia="仿宋_GB2312" w:hAnsi="Calibri" w:cs="Times New Roman"/>
          <w:b/>
          <w:sz w:val="32"/>
          <w:szCs w:val="32"/>
        </w:rPr>
      </w:pPr>
      <w:r w:rsidRPr="007672DA">
        <w:rPr>
          <w:rFonts w:ascii="仿宋_GB2312" w:eastAsia="仿宋_GB2312" w:hAnsi="Calibri" w:cs="Times New Roman" w:hint="eastAsia"/>
          <w:sz w:val="24"/>
          <w:szCs w:val="32"/>
        </w:rPr>
        <w:t>单位：亿元、年</w:t>
      </w:r>
    </w:p>
    <w:tbl>
      <w:tblPr>
        <w:tblStyle w:val="a3"/>
        <w:tblW w:w="0" w:type="auto"/>
        <w:tblLayout w:type="fixed"/>
        <w:tblLook w:val="04A0" w:firstRow="1" w:lastRow="0" w:firstColumn="1" w:lastColumn="0" w:noHBand="0" w:noVBand="1"/>
      </w:tblPr>
      <w:tblGrid>
        <w:gridCol w:w="3436"/>
        <w:gridCol w:w="2545"/>
        <w:gridCol w:w="2541"/>
      </w:tblGrid>
      <w:tr w:rsidR="005B1EAF" w:rsidRPr="007672DA" w:rsidTr="00045135">
        <w:trPr>
          <w:trHeight w:val="270"/>
        </w:trPr>
        <w:tc>
          <w:tcPr>
            <w:tcW w:w="3436" w:type="dxa"/>
            <w:noWrap/>
            <w:hideMark/>
          </w:tcPr>
          <w:p w:rsidR="005B1EAF" w:rsidRPr="007672DA" w:rsidRDefault="005B1EAF" w:rsidP="00045135">
            <w:pPr>
              <w:widowControl/>
              <w:adjustRightInd w:val="0"/>
              <w:snapToGrid w:val="0"/>
              <w:jc w:val="center"/>
              <w:rPr>
                <w:rFonts w:ascii="宋体" w:eastAsia="宋体" w:hAnsi="宋体" w:cs="宋体"/>
                <w:b/>
                <w:color w:val="000000"/>
                <w:kern w:val="0"/>
                <w:sz w:val="28"/>
              </w:rPr>
            </w:pPr>
            <w:r w:rsidRPr="007672DA">
              <w:rPr>
                <w:rFonts w:ascii="宋体" w:eastAsia="宋体" w:hAnsi="宋体" w:cs="宋体" w:hint="eastAsia"/>
                <w:b/>
                <w:color w:val="000000"/>
                <w:kern w:val="0"/>
                <w:sz w:val="28"/>
              </w:rPr>
              <w:t>指标名称</w:t>
            </w:r>
          </w:p>
        </w:tc>
        <w:tc>
          <w:tcPr>
            <w:tcW w:w="2545" w:type="dxa"/>
            <w:tcBorders>
              <w:bottom w:val="single" w:sz="4" w:space="0" w:color="auto"/>
            </w:tcBorders>
            <w:noWrap/>
            <w:hideMark/>
          </w:tcPr>
          <w:p w:rsidR="005B1EAF" w:rsidRPr="007672DA" w:rsidRDefault="005B1EAF" w:rsidP="00045135">
            <w:pPr>
              <w:widowControl/>
              <w:adjustRightInd w:val="0"/>
              <w:snapToGrid w:val="0"/>
              <w:jc w:val="center"/>
              <w:rPr>
                <w:rFonts w:ascii="宋体" w:eastAsia="宋体" w:hAnsi="宋体" w:cs="宋体"/>
                <w:b/>
                <w:color w:val="000000"/>
                <w:kern w:val="0"/>
                <w:sz w:val="28"/>
              </w:rPr>
            </w:pPr>
            <w:r w:rsidRPr="007672DA">
              <w:rPr>
                <w:rFonts w:ascii="宋体" w:eastAsia="宋体" w:hAnsi="宋体" w:cs="宋体" w:hint="eastAsia"/>
                <w:b/>
                <w:color w:val="000000"/>
                <w:kern w:val="0"/>
                <w:sz w:val="28"/>
              </w:rPr>
              <w:t>实际值</w:t>
            </w:r>
          </w:p>
        </w:tc>
        <w:tc>
          <w:tcPr>
            <w:tcW w:w="2541" w:type="dxa"/>
          </w:tcPr>
          <w:p w:rsidR="005B1EAF" w:rsidRPr="007672DA" w:rsidRDefault="005B1EAF" w:rsidP="00045135">
            <w:pPr>
              <w:widowControl/>
              <w:adjustRightInd w:val="0"/>
              <w:snapToGrid w:val="0"/>
              <w:jc w:val="center"/>
              <w:rPr>
                <w:rFonts w:ascii="宋体" w:eastAsia="宋体" w:hAnsi="宋体" w:cs="宋体"/>
                <w:b/>
                <w:color w:val="000000"/>
                <w:kern w:val="0"/>
                <w:sz w:val="28"/>
              </w:rPr>
            </w:pPr>
            <w:r w:rsidRPr="007672DA">
              <w:rPr>
                <w:rFonts w:ascii="宋体" w:eastAsia="宋体" w:hAnsi="宋体" w:cs="宋体" w:hint="eastAsia"/>
                <w:b/>
                <w:color w:val="000000"/>
                <w:kern w:val="0"/>
                <w:sz w:val="28"/>
              </w:rPr>
              <w:t>审批条件</w:t>
            </w:r>
          </w:p>
        </w:tc>
      </w:tr>
      <w:tr w:rsidR="005B1EAF" w:rsidRPr="007672DA" w:rsidTr="00045135">
        <w:trPr>
          <w:trHeight w:val="270"/>
        </w:trPr>
        <w:tc>
          <w:tcPr>
            <w:tcW w:w="3436" w:type="dxa"/>
            <w:noWrap/>
            <w:hideMark/>
          </w:tcPr>
          <w:p w:rsidR="005B1EAF" w:rsidRPr="007672DA" w:rsidRDefault="005B1EAF" w:rsidP="00045135">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沪深300ETF持仓总额</w:t>
            </w:r>
          </w:p>
        </w:tc>
        <w:tc>
          <w:tcPr>
            <w:tcW w:w="2545" w:type="dxa"/>
            <w:noWrap/>
            <w:vAlign w:val="center"/>
            <w:hideMark/>
          </w:tcPr>
          <w:p w:rsidR="005B1EAF" w:rsidRPr="007672DA" w:rsidRDefault="005F475E" w:rsidP="00D25F2E">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0.0</w:t>
            </w:r>
            <w:r w:rsidR="00D25F2E" w:rsidRPr="007672DA">
              <w:rPr>
                <w:rFonts w:ascii="宋体" w:eastAsia="宋体" w:hAnsi="宋体" w:cs="宋体" w:hint="eastAsia"/>
                <w:color w:val="000000"/>
                <w:kern w:val="0"/>
                <w:sz w:val="28"/>
              </w:rPr>
              <w:t>4</w:t>
            </w:r>
          </w:p>
        </w:tc>
        <w:tc>
          <w:tcPr>
            <w:tcW w:w="2541" w:type="dxa"/>
          </w:tcPr>
          <w:p w:rsidR="005B1EAF" w:rsidRPr="007672DA" w:rsidRDefault="005B1EAF" w:rsidP="00045135">
            <w:pPr>
              <w:widowControl/>
              <w:adjustRightInd w:val="0"/>
              <w:snapToGrid w:val="0"/>
              <w:jc w:val="center"/>
              <w:rPr>
                <w:rFonts w:ascii="宋体" w:eastAsia="宋体" w:hAnsi="宋体" w:cs="宋体"/>
                <w:color w:val="000000"/>
                <w:kern w:val="0"/>
                <w:sz w:val="28"/>
              </w:rPr>
            </w:pPr>
            <w:r w:rsidRPr="007672DA">
              <w:rPr>
                <w:rFonts w:asciiTheme="minorEastAsia" w:hAnsiTheme="minorEastAsia" w:cs="Times New Roman" w:hint="eastAsia"/>
                <w:sz w:val="28"/>
                <w:szCs w:val="28"/>
              </w:rPr>
              <w:t>≤3.00</w:t>
            </w:r>
          </w:p>
        </w:tc>
      </w:tr>
      <w:tr w:rsidR="005B1EAF" w:rsidRPr="007672DA" w:rsidTr="00045135">
        <w:trPr>
          <w:trHeight w:val="270"/>
        </w:trPr>
        <w:tc>
          <w:tcPr>
            <w:tcW w:w="3436" w:type="dxa"/>
            <w:noWrap/>
          </w:tcPr>
          <w:p w:rsidR="005B1EAF" w:rsidRPr="007672DA" w:rsidRDefault="005B1EAF" w:rsidP="00045135">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单笔沪深300ETF金额</w:t>
            </w:r>
          </w:p>
        </w:tc>
        <w:tc>
          <w:tcPr>
            <w:tcW w:w="2545" w:type="dxa"/>
            <w:tcBorders>
              <w:bottom w:val="single" w:sz="4" w:space="0" w:color="auto"/>
            </w:tcBorders>
            <w:noWrap/>
            <w:vAlign w:val="center"/>
          </w:tcPr>
          <w:p w:rsidR="005B1EAF" w:rsidRPr="007672DA" w:rsidRDefault="005B1EAF" w:rsidP="00045135">
            <w:pPr>
              <w:widowControl/>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≤0.30</w:t>
            </w:r>
          </w:p>
        </w:tc>
        <w:tc>
          <w:tcPr>
            <w:tcW w:w="2541" w:type="dxa"/>
          </w:tcPr>
          <w:p w:rsidR="005B1EAF" w:rsidRPr="007672DA" w:rsidRDefault="005B1EAF" w:rsidP="00045135">
            <w:pPr>
              <w:widowControl/>
              <w:adjustRightInd w:val="0"/>
              <w:snapToGrid w:val="0"/>
              <w:jc w:val="center"/>
              <w:rPr>
                <w:rFonts w:ascii="宋体" w:eastAsia="宋体" w:hAnsi="宋体" w:cs="宋体"/>
                <w:color w:val="000000"/>
                <w:kern w:val="0"/>
                <w:sz w:val="28"/>
              </w:rPr>
            </w:pPr>
            <w:r w:rsidRPr="007672DA">
              <w:rPr>
                <w:rFonts w:asciiTheme="minorEastAsia" w:hAnsiTheme="minorEastAsia" w:cs="Times New Roman" w:hint="eastAsia"/>
                <w:sz w:val="28"/>
                <w:szCs w:val="28"/>
              </w:rPr>
              <w:t>≤0.30</w:t>
            </w:r>
          </w:p>
        </w:tc>
      </w:tr>
      <w:tr w:rsidR="005B1EAF" w:rsidRPr="007672DA" w:rsidTr="00045135">
        <w:trPr>
          <w:trHeight w:val="270"/>
        </w:trPr>
        <w:tc>
          <w:tcPr>
            <w:tcW w:w="3436" w:type="dxa"/>
            <w:noWrap/>
          </w:tcPr>
          <w:p w:rsidR="005B1EAF" w:rsidRPr="007672DA" w:rsidRDefault="005B1EAF" w:rsidP="00045135">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单笔沪深300ETF持有期限</w:t>
            </w:r>
          </w:p>
        </w:tc>
        <w:tc>
          <w:tcPr>
            <w:tcW w:w="2545" w:type="dxa"/>
            <w:tcBorders>
              <w:bottom w:val="single" w:sz="4" w:space="0" w:color="auto"/>
            </w:tcBorders>
            <w:noWrap/>
            <w:vAlign w:val="center"/>
          </w:tcPr>
          <w:p w:rsidR="005B1EAF" w:rsidRPr="007672DA" w:rsidRDefault="005B1EAF" w:rsidP="00045135">
            <w:pPr>
              <w:widowControl/>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w:t>
            </w:r>
          </w:p>
        </w:tc>
        <w:tc>
          <w:tcPr>
            <w:tcW w:w="2541" w:type="dxa"/>
          </w:tcPr>
          <w:p w:rsidR="005B1EAF" w:rsidRPr="007672DA" w:rsidRDefault="005B1EAF" w:rsidP="00045135">
            <w:pPr>
              <w:widowControl/>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w:t>
            </w:r>
          </w:p>
        </w:tc>
      </w:tr>
      <w:tr w:rsidR="005B1EAF" w:rsidRPr="007672DA" w:rsidTr="00045135">
        <w:trPr>
          <w:trHeight w:val="270"/>
        </w:trPr>
        <w:tc>
          <w:tcPr>
            <w:tcW w:w="3436" w:type="dxa"/>
            <w:noWrap/>
          </w:tcPr>
          <w:p w:rsidR="005B1EAF" w:rsidRPr="007672DA" w:rsidRDefault="005B1EAF" w:rsidP="00045135">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单只理财持仓比例</w:t>
            </w:r>
          </w:p>
        </w:tc>
        <w:tc>
          <w:tcPr>
            <w:tcW w:w="2545" w:type="dxa"/>
            <w:tcBorders>
              <w:bottom w:val="single" w:sz="4" w:space="0" w:color="auto"/>
            </w:tcBorders>
            <w:noWrap/>
            <w:vAlign w:val="center"/>
          </w:tcPr>
          <w:p w:rsidR="005B1EAF" w:rsidRPr="007672DA" w:rsidRDefault="005B1EAF" w:rsidP="007672DA">
            <w:pPr>
              <w:widowControl/>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w:t>
            </w:r>
            <w:r w:rsidR="00E236B4" w:rsidRPr="007672DA">
              <w:rPr>
                <w:rFonts w:asciiTheme="minorEastAsia" w:hAnsiTheme="minorEastAsia" w:cs="Times New Roman" w:hint="eastAsia"/>
                <w:sz w:val="28"/>
                <w:szCs w:val="28"/>
              </w:rPr>
              <w:t>0.</w:t>
            </w:r>
            <w:r w:rsidR="007672DA" w:rsidRPr="007672DA">
              <w:rPr>
                <w:rFonts w:asciiTheme="minorEastAsia" w:hAnsiTheme="minorEastAsia" w:cs="Times New Roman" w:hint="eastAsia"/>
                <w:sz w:val="28"/>
                <w:szCs w:val="28"/>
              </w:rPr>
              <w:t>10</w:t>
            </w:r>
            <w:r w:rsidRPr="007672DA">
              <w:rPr>
                <w:rFonts w:asciiTheme="minorEastAsia" w:hAnsiTheme="minorEastAsia" w:cs="Times New Roman" w:hint="eastAsia"/>
                <w:sz w:val="28"/>
                <w:szCs w:val="28"/>
              </w:rPr>
              <w:t>%</w:t>
            </w:r>
          </w:p>
        </w:tc>
        <w:tc>
          <w:tcPr>
            <w:tcW w:w="2541" w:type="dxa"/>
          </w:tcPr>
          <w:p w:rsidR="005B1EAF" w:rsidRPr="007672DA" w:rsidRDefault="005B1EAF" w:rsidP="00045135">
            <w:pPr>
              <w:widowControl/>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≤净资产的5%</w:t>
            </w:r>
          </w:p>
        </w:tc>
      </w:tr>
      <w:tr w:rsidR="005B1EAF" w:rsidRPr="007672DA" w:rsidTr="00045135">
        <w:trPr>
          <w:trHeight w:val="270"/>
        </w:trPr>
        <w:tc>
          <w:tcPr>
            <w:tcW w:w="3436" w:type="dxa"/>
            <w:noWrap/>
          </w:tcPr>
          <w:p w:rsidR="005B1EAF" w:rsidRPr="007672DA" w:rsidRDefault="005B1EAF" w:rsidP="00045135">
            <w:pPr>
              <w:widowControl/>
              <w:adjustRightInd w:val="0"/>
              <w:snapToGrid w:val="0"/>
              <w:jc w:val="center"/>
              <w:rPr>
                <w:rFonts w:ascii="宋体" w:eastAsia="宋体" w:hAnsi="宋体" w:cs="宋体"/>
                <w:color w:val="000000"/>
                <w:kern w:val="0"/>
                <w:sz w:val="28"/>
              </w:rPr>
            </w:pPr>
            <w:r w:rsidRPr="007672DA">
              <w:rPr>
                <w:rFonts w:ascii="宋体" w:eastAsia="宋体" w:hAnsi="宋体" w:cs="宋体" w:hint="eastAsia"/>
                <w:color w:val="000000"/>
                <w:kern w:val="0"/>
                <w:sz w:val="28"/>
              </w:rPr>
              <w:t>浮亏比例</w:t>
            </w:r>
          </w:p>
        </w:tc>
        <w:tc>
          <w:tcPr>
            <w:tcW w:w="2545" w:type="dxa"/>
            <w:tcBorders>
              <w:bottom w:val="single" w:sz="4" w:space="0" w:color="auto"/>
            </w:tcBorders>
            <w:noWrap/>
            <w:vAlign w:val="center"/>
          </w:tcPr>
          <w:p w:rsidR="005B1EAF" w:rsidRPr="007672DA" w:rsidRDefault="00594A96" w:rsidP="005F475E">
            <w:pPr>
              <w:widowControl/>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w:t>
            </w:r>
            <w:r w:rsidR="005F475E" w:rsidRPr="007672DA">
              <w:rPr>
                <w:rFonts w:asciiTheme="minorEastAsia" w:hAnsiTheme="minorEastAsia" w:cs="Times New Roman" w:hint="eastAsia"/>
                <w:sz w:val="28"/>
                <w:szCs w:val="28"/>
              </w:rPr>
              <w:t>0.40</w:t>
            </w:r>
            <w:r w:rsidR="005B1EAF" w:rsidRPr="007672DA">
              <w:rPr>
                <w:rFonts w:asciiTheme="minorEastAsia" w:hAnsiTheme="minorEastAsia" w:cs="Times New Roman" w:hint="eastAsia"/>
                <w:sz w:val="28"/>
                <w:szCs w:val="28"/>
              </w:rPr>
              <w:t>%</w:t>
            </w:r>
          </w:p>
        </w:tc>
        <w:tc>
          <w:tcPr>
            <w:tcW w:w="2541" w:type="dxa"/>
          </w:tcPr>
          <w:p w:rsidR="005B1EAF" w:rsidRPr="007672DA" w:rsidRDefault="005B1EAF" w:rsidP="00045135">
            <w:pPr>
              <w:widowControl/>
              <w:adjustRightInd w:val="0"/>
              <w:snapToGrid w:val="0"/>
              <w:jc w:val="center"/>
              <w:rPr>
                <w:rFonts w:asciiTheme="minorEastAsia" w:hAnsiTheme="minorEastAsia" w:cs="Times New Roman"/>
                <w:sz w:val="28"/>
                <w:szCs w:val="28"/>
              </w:rPr>
            </w:pPr>
            <w:r w:rsidRPr="007672DA">
              <w:rPr>
                <w:rFonts w:asciiTheme="minorEastAsia" w:hAnsiTheme="minorEastAsia" w:cs="Times New Roman" w:hint="eastAsia"/>
                <w:sz w:val="28"/>
                <w:szCs w:val="28"/>
              </w:rPr>
              <w:t>≤10%</w:t>
            </w:r>
          </w:p>
        </w:tc>
      </w:tr>
      <w:tr w:rsidR="005B1EAF" w:rsidRPr="007672DA" w:rsidTr="00045135">
        <w:trPr>
          <w:trHeight w:val="270"/>
        </w:trPr>
        <w:tc>
          <w:tcPr>
            <w:tcW w:w="8522" w:type="dxa"/>
            <w:gridSpan w:val="3"/>
            <w:tcBorders>
              <w:left w:val="nil"/>
              <w:bottom w:val="nil"/>
              <w:right w:val="nil"/>
            </w:tcBorders>
            <w:noWrap/>
          </w:tcPr>
          <w:p w:rsidR="005B1EAF" w:rsidRPr="007672DA" w:rsidRDefault="005B1EAF" w:rsidP="00045135">
            <w:pPr>
              <w:widowControl/>
              <w:adjustRightInd w:val="0"/>
              <w:snapToGrid w:val="0"/>
              <w:jc w:val="left"/>
              <w:rPr>
                <w:rFonts w:ascii="仿宋" w:eastAsia="仿宋" w:hAnsi="仿宋" w:cs="宋体"/>
                <w:color w:val="000000"/>
                <w:kern w:val="0"/>
                <w:sz w:val="28"/>
              </w:rPr>
            </w:pPr>
            <w:r w:rsidRPr="007672DA">
              <w:rPr>
                <w:rFonts w:ascii="仿宋" w:eastAsia="仿宋" w:hAnsi="仿宋" w:cs="宋体" w:hint="eastAsia"/>
                <w:color w:val="000000"/>
                <w:kern w:val="0"/>
                <w:sz w:val="24"/>
              </w:rPr>
              <w:t>数据来源：理财资产管理系统</w:t>
            </w:r>
            <w:r w:rsidRPr="007672DA">
              <w:rPr>
                <w:rFonts w:ascii="仿宋" w:eastAsia="仿宋" w:hAnsi="仿宋" w:cs="宋体" w:hint="eastAsia"/>
                <w:color w:val="000000"/>
                <w:kern w:val="0"/>
                <w:sz w:val="24"/>
                <w:szCs w:val="24"/>
              </w:rPr>
              <w:t>、兆</w:t>
            </w:r>
            <w:proofErr w:type="gramStart"/>
            <w:r w:rsidRPr="007672DA">
              <w:rPr>
                <w:rFonts w:ascii="仿宋" w:eastAsia="仿宋" w:hAnsi="仿宋" w:cs="宋体" w:hint="eastAsia"/>
                <w:color w:val="000000"/>
                <w:kern w:val="0"/>
                <w:sz w:val="24"/>
                <w:szCs w:val="24"/>
              </w:rPr>
              <w:t>尹</w:t>
            </w:r>
            <w:proofErr w:type="gramEnd"/>
            <w:r w:rsidRPr="007672DA">
              <w:rPr>
                <w:rFonts w:ascii="仿宋" w:eastAsia="仿宋" w:hAnsi="仿宋" w:cs="宋体" w:hint="eastAsia"/>
                <w:color w:val="000000"/>
                <w:kern w:val="0"/>
                <w:sz w:val="24"/>
                <w:szCs w:val="24"/>
              </w:rPr>
              <w:t>系统</w:t>
            </w:r>
          </w:p>
        </w:tc>
      </w:tr>
    </w:tbl>
    <w:p w:rsidR="002E04D0" w:rsidRPr="0031419A" w:rsidRDefault="00164675" w:rsidP="002E04D0">
      <w:pPr>
        <w:spacing w:line="560" w:lineRule="exact"/>
        <w:ind w:firstLineChars="200" w:firstLine="643"/>
        <w:rPr>
          <w:rFonts w:ascii="仿宋_GB2312" w:eastAsia="仿宋_GB2312" w:hAnsi="Calibri" w:cs="Times New Roman"/>
          <w:b/>
          <w:sz w:val="32"/>
          <w:szCs w:val="32"/>
        </w:rPr>
      </w:pPr>
      <w:r w:rsidRPr="0031419A">
        <w:rPr>
          <w:rFonts w:ascii="仿宋_GB2312" w:eastAsia="仿宋_GB2312" w:hAnsi="Calibri" w:cs="Times New Roman" w:hint="eastAsia"/>
          <w:b/>
          <w:sz w:val="32"/>
          <w:szCs w:val="32"/>
        </w:rPr>
        <w:t>（</w:t>
      </w:r>
      <w:r w:rsidR="009E2131" w:rsidRPr="0031419A">
        <w:rPr>
          <w:rFonts w:ascii="仿宋_GB2312" w:eastAsia="仿宋_GB2312" w:hAnsi="Calibri" w:cs="Times New Roman" w:hint="eastAsia"/>
          <w:b/>
          <w:sz w:val="32"/>
          <w:szCs w:val="32"/>
        </w:rPr>
        <w:t>二</w:t>
      </w:r>
      <w:r w:rsidRPr="0031419A">
        <w:rPr>
          <w:rFonts w:ascii="仿宋_GB2312" w:eastAsia="仿宋_GB2312" w:hAnsi="Calibri" w:cs="Times New Roman" w:hint="eastAsia"/>
          <w:b/>
          <w:sz w:val="32"/>
          <w:szCs w:val="32"/>
        </w:rPr>
        <w:t>）</w:t>
      </w:r>
      <w:r w:rsidR="00E550BD" w:rsidRPr="0031419A">
        <w:rPr>
          <w:rFonts w:ascii="仿宋_GB2312" w:eastAsia="仿宋_GB2312" w:hAnsi="Calibri" w:cs="Times New Roman" w:hint="eastAsia"/>
          <w:b/>
          <w:sz w:val="32"/>
          <w:szCs w:val="32"/>
        </w:rPr>
        <w:t>交易</w:t>
      </w:r>
      <w:r w:rsidR="00E1535E" w:rsidRPr="0031419A">
        <w:rPr>
          <w:rFonts w:ascii="仿宋_GB2312" w:eastAsia="仿宋_GB2312" w:hAnsi="Calibri" w:cs="Times New Roman" w:hint="eastAsia"/>
          <w:b/>
          <w:sz w:val="32"/>
          <w:szCs w:val="32"/>
        </w:rPr>
        <w:t>行为</w:t>
      </w:r>
      <w:r w:rsidR="002E04D0" w:rsidRPr="0031419A">
        <w:rPr>
          <w:rFonts w:ascii="仿宋_GB2312" w:eastAsia="仿宋_GB2312" w:hAnsi="Calibri" w:cs="Times New Roman" w:hint="eastAsia"/>
          <w:b/>
          <w:sz w:val="32"/>
          <w:szCs w:val="32"/>
        </w:rPr>
        <w:t>监测</w:t>
      </w:r>
    </w:p>
    <w:p w:rsidR="002E04D0" w:rsidRPr="0031419A" w:rsidRDefault="00AD5871" w:rsidP="000E0811">
      <w:pPr>
        <w:spacing w:line="560" w:lineRule="exact"/>
        <w:ind w:firstLineChars="200" w:firstLine="643"/>
        <w:rPr>
          <w:rFonts w:ascii="仿宋_GB2312" w:eastAsia="仿宋_GB2312" w:hAnsi="Calibri" w:cs="Times New Roman"/>
          <w:b/>
          <w:sz w:val="32"/>
          <w:szCs w:val="32"/>
        </w:rPr>
      </w:pPr>
      <w:r w:rsidRPr="0031419A">
        <w:rPr>
          <w:rFonts w:ascii="仿宋_GB2312" w:eastAsia="仿宋_GB2312" w:hAnsi="Calibri" w:cs="Times New Roman" w:hint="eastAsia"/>
          <w:b/>
          <w:sz w:val="32"/>
          <w:szCs w:val="32"/>
        </w:rPr>
        <w:t>1</w:t>
      </w:r>
      <w:r w:rsidR="009D17AA" w:rsidRPr="0031419A">
        <w:rPr>
          <w:rFonts w:ascii="仿宋_GB2312" w:eastAsia="仿宋_GB2312" w:hAnsi="Calibri" w:cs="Times New Roman" w:hint="eastAsia"/>
          <w:b/>
          <w:sz w:val="32"/>
          <w:szCs w:val="32"/>
        </w:rPr>
        <w:t>.</w:t>
      </w:r>
      <w:r w:rsidR="00866599" w:rsidRPr="0031419A">
        <w:rPr>
          <w:rFonts w:ascii="仿宋_GB2312" w:eastAsia="仿宋_GB2312" w:hAnsi="Calibri" w:cs="Times New Roman" w:hint="eastAsia"/>
          <w:b/>
          <w:sz w:val="32"/>
          <w:szCs w:val="32"/>
        </w:rPr>
        <w:t>过</w:t>
      </w:r>
      <w:proofErr w:type="gramStart"/>
      <w:r w:rsidR="00866599" w:rsidRPr="0031419A">
        <w:rPr>
          <w:rFonts w:ascii="仿宋_GB2312" w:eastAsia="仿宋_GB2312" w:hAnsi="Calibri" w:cs="Times New Roman" w:hint="eastAsia"/>
          <w:b/>
          <w:sz w:val="32"/>
          <w:szCs w:val="32"/>
        </w:rPr>
        <w:t>券</w:t>
      </w:r>
      <w:proofErr w:type="gramEnd"/>
      <w:r w:rsidR="00866599" w:rsidRPr="0031419A">
        <w:rPr>
          <w:rFonts w:ascii="仿宋_GB2312" w:eastAsia="仿宋_GB2312" w:hAnsi="Calibri" w:cs="Times New Roman" w:hint="eastAsia"/>
          <w:b/>
          <w:sz w:val="32"/>
          <w:szCs w:val="32"/>
        </w:rPr>
        <w:t>交易</w:t>
      </w:r>
    </w:p>
    <w:p w:rsidR="00866599" w:rsidRPr="0031419A" w:rsidRDefault="008E4D4F" w:rsidP="008E4D4F">
      <w:pPr>
        <w:spacing w:line="560" w:lineRule="exact"/>
        <w:ind w:firstLineChars="200" w:firstLine="640"/>
        <w:rPr>
          <w:rFonts w:ascii="仿宋_GB2312" w:eastAsia="仿宋_GB2312" w:hAnsi="Calibri" w:cs="Times New Roman"/>
          <w:sz w:val="32"/>
          <w:szCs w:val="32"/>
        </w:rPr>
      </w:pPr>
      <w:r w:rsidRPr="0031419A">
        <w:rPr>
          <w:rFonts w:ascii="仿宋_GB2312" w:eastAsia="仿宋_GB2312" w:hAnsi="Calibri" w:cs="Times New Roman" w:hint="eastAsia"/>
          <w:sz w:val="32"/>
          <w:szCs w:val="32"/>
        </w:rPr>
        <w:t>本次监测对</w:t>
      </w:r>
      <w:r w:rsidR="00CB065D" w:rsidRPr="0031419A">
        <w:rPr>
          <w:rFonts w:ascii="仿宋_GB2312" w:eastAsia="仿宋_GB2312" w:hAnsi="Calibri" w:cs="Times New Roman" w:hint="eastAsia"/>
          <w:sz w:val="32"/>
          <w:szCs w:val="32"/>
        </w:rPr>
        <w:t>2021年</w:t>
      </w:r>
      <w:r w:rsidR="007672DA" w:rsidRPr="0031419A">
        <w:rPr>
          <w:rFonts w:ascii="仿宋_GB2312" w:eastAsia="仿宋_GB2312" w:hAnsi="Calibri" w:cs="Times New Roman" w:hint="eastAsia"/>
          <w:sz w:val="32"/>
          <w:szCs w:val="32"/>
        </w:rPr>
        <w:t>5</w:t>
      </w:r>
      <w:r w:rsidR="00CB065D" w:rsidRPr="0031419A">
        <w:rPr>
          <w:rFonts w:ascii="仿宋_GB2312" w:eastAsia="仿宋_GB2312" w:hAnsi="Calibri" w:cs="Times New Roman" w:hint="eastAsia"/>
          <w:sz w:val="32"/>
          <w:szCs w:val="32"/>
        </w:rPr>
        <w:t>月</w:t>
      </w:r>
      <w:r w:rsidR="007672DA" w:rsidRPr="0031419A">
        <w:rPr>
          <w:rFonts w:ascii="仿宋_GB2312" w:eastAsia="仿宋_GB2312" w:hAnsi="Calibri" w:cs="Times New Roman" w:hint="eastAsia"/>
          <w:sz w:val="32"/>
          <w:szCs w:val="32"/>
        </w:rPr>
        <w:t>6</w:t>
      </w:r>
      <w:r w:rsidR="00CB065D" w:rsidRPr="0031419A">
        <w:rPr>
          <w:rFonts w:ascii="仿宋_GB2312" w:eastAsia="仿宋_GB2312" w:hAnsi="Calibri" w:cs="Times New Roman" w:hint="eastAsia"/>
          <w:sz w:val="32"/>
          <w:szCs w:val="32"/>
        </w:rPr>
        <w:t>日至2021年</w:t>
      </w:r>
      <w:r w:rsidR="007672DA" w:rsidRPr="0031419A">
        <w:rPr>
          <w:rFonts w:ascii="仿宋_GB2312" w:eastAsia="仿宋_GB2312" w:hAnsi="Calibri" w:cs="Times New Roman" w:hint="eastAsia"/>
          <w:sz w:val="32"/>
          <w:szCs w:val="32"/>
        </w:rPr>
        <w:t>5</w:t>
      </w:r>
      <w:r w:rsidR="00CB065D" w:rsidRPr="0031419A">
        <w:rPr>
          <w:rFonts w:ascii="仿宋_GB2312" w:eastAsia="仿宋_GB2312" w:hAnsi="Calibri" w:cs="Times New Roman" w:hint="eastAsia"/>
          <w:sz w:val="32"/>
          <w:szCs w:val="32"/>
        </w:rPr>
        <w:t>月</w:t>
      </w:r>
      <w:r w:rsidR="007672DA" w:rsidRPr="0031419A">
        <w:rPr>
          <w:rFonts w:ascii="仿宋_GB2312" w:eastAsia="仿宋_GB2312" w:hAnsi="Calibri" w:cs="Times New Roman" w:hint="eastAsia"/>
          <w:sz w:val="32"/>
          <w:szCs w:val="32"/>
        </w:rPr>
        <w:t>8</w:t>
      </w:r>
      <w:r w:rsidR="00CB065D" w:rsidRPr="0031419A">
        <w:rPr>
          <w:rFonts w:ascii="仿宋_GB2312" w:eastAsia="仿宋_GB2312" w:hAnsi="Calibri" w:cs="Times New Roman" w:hint="eastAsia"/>
          <w:sz w:val="32"/>
          <w:szCs w:val="32"/>
        </w:rPr>
        <w:t>日</w:t>
      </w:r>
      <w:r w:rsidRPr="0031419A">
        <w:rPr>
          <w:rFonts w:ascii="仿宋_GB2312" w:eastAsia="仿宋_GB2312" w:hAnsi="Calibri" w:cs="Times New Roman" w:hint="eastAsia"/>
          <w:sz w:val="32"/>
          <w:szCs w:val="32"/>
        </w:rPr>
        <w:t>期间同业业务中心COMSTAR系统</w:t>
      </w:r>
      <w:r w:rsidR="00046CD6" w:rsidRPr="0031419A">
        <w:rPr>
          <w:rFonts w:ascii="仿宋_GB2312" w:eastAsia="仿宋_GB2312" w:hAnsi="Calibri" w:cs="Times New Roman" w:hint="eastAsia"/>
          <w:sz w:val="32"/>
          <w:szCs w:val="32"/>
        </w:rPr>
        <w:t>和</w:t>
      </w:r>
      <w:r w:rsidR="0022695A" w:rsidRPr="0031419A">
        <w:rPr>
          <w:rFonts w:ascii="仿宋_GB2312" w:eastAsia="仿宋_GB2312" w:hAnsi="Calibri" w:cs="Times New Roman" w:hint="eastAsia"/>
          <w:sz w:val="32"/>
          <w:szCs w:val="32"/>
        </w:rPr>
        <w:t>资金业务管理系统</w:t>
      </w:r>
      <w:r w:rsidR="001476BB" w:rsidRPr="0031419A">
        <w:rPr>
          <w:rFonts w:ascii="仿宋_GB2312" w:eastAsia="仿宋_GB2312" w:hAnsi="Calibri" w:cs="Times New Roman" w:hint="eastAsia"/>
          <w:sz w:val="32"/>
          <w:szCs w:val="32"/>
        </w:rPr>
        <w:t>，以及</w:t>
      </w:r>
      <w:r w:rsidR="0022695A" w:rsidRPr="0031419A">
        <w:rPr>
          <w:rFonts w:ascii="仿宋_GB2312" w:eastAsia="仿宋_GB2312" w:hAnsi="Calibri" w:cs="Times New Roman" w:hint="eastAsia"/>
          <w:sz w:val="32"/>
          <w:szCs w:val="32"/>
        </w:rPr>
        <w:t>理财资产管理系统</w:t>
      </w:r>
      <w:r w:rsidR="006C0063" w:rsidRPr="0031419A">
        <w:rPr>
          <w:rFonts w:ascii="仿宋_GB2312" w:eastAsia="仿宋_GB2312" w:hAnsi="Calibri" w:cs="Times New Roman" w:hint="eastAsia"/>
          <w:sz w:val="32"/>
          <w:szCs w:val="32"/>
        </w:rPr>
        <w:t>、兆</w:t>
      </w:r>
      <w:proofErr w:type="gramStart"/>
      <w:r w:rsidR="006C0063" w:rsidRPr="0031419A">
        <w:rPr>
          <w:rFonts w:ascii="仿宋_GB2312" w:eastAsia="仿宋_GB2312" w:hAnsi="Calibri" w:cs="Times New Roman" w:hint="eastAsia"/>
          <w:sz w:val="32"/>
          <w:szCs w:val="32"/>
        </w:rPr>
        <w:t>尹</w:t>
      </w:r>
      <w:proofErr w:type="gramEnd"/>
      <w:r w:rsidR="006C0063" w:rsidRPr="0031419A">
        <w:rPr>
          <w:rFonts w:ascii="仿宋_GB2312" w:eastAsia="仿宋_GB2312" w:hAnsi="Calibri" w:cs="Times New Roman" w:hint="eastAsia"/>
          <w:sz w:val="32"/>
          <w:szCs w:val="32"/>
        </w:rPr>
        <w:t>系统</w:t>
      </w:r>
      <w:r w:rsidRPr="0031419A">
        <w:rPr>
          <w:rFonts w:ascii="仿宋_GB2312" w:eastAsia="仿宋_GB2312" w:hAnsi="Calibri" w:cs="Times New Roman" w:hint="eastAsia"/>
          <w:sz w:val="32"/>
          <w:szCs w:val="32"/>
        </w:rPr>
        <w:t>中存在单日同一债券反向交易行为进行监测，</w:t>
      </w:r>
      <w:r w:rsidR="0046402A" w:rsidRPr="0031419A">
        <w:rPr>
          <w:rFonts w:ascii="仿宋_GB2312" w:eastAsia="仿宋_GB2312" w:hAnsi="Calibri" w:cs="Times New Roman" w:hint="eastAsia"/>
          <w:sz w:val="32"/>
          <w:szCs w:val="32"/>
        </w:rPr>
        <w:t>除理财转</w:t>
      </w:r>
      <w:proofErr w:type="gramStart"/>
      <w:r w:rsidR="0046402A" w:rsidRPr="0031419A">
        <w:rPr>
          <w:rFonts w:ascii="仿宋_GB2312" w:eastAsia="仿宋_GB2312" w:hAnsi="Calibri" w:cs="Times New Roman" w:hint="eastAsia"/>
          <w:sz w:val="32"/>
          <w:szCs w:val="32"/>
        </w:rPr>
        <w:t>仓交易</w:t>
      </w:r>
      <w:proofErr w:type="gramEnd"/>
      <w:r w:rsidR="0046402A" w:rsidRPr="0031419A">
        <w:rPr>
          <w:rFonts w:ascii="仿宋_GB2312" w:eastAsia="仿宋_GB2312" w:hAnsi="Calibri" w:cs="Times New Roman" w:hint="eastAsia"/>
          <w:sz w:val="32"/>
          <w:szCs w:val="32"/>
        </w:rPr>
        <w:t>外，</w:t>
      </w:r>
      <w:r w:rsidRPr="0031419A">
        <w:rPr>
          <w:rFonts w:ascii="仿宋_GB2312" w:eastAsia="仿宋_GB2312" w:hAnsi="Calibri" w:cs="Times New Roman" w:hint="eastAsia"/>
          <w:sz w:val="32"/>
          <w:szCs w:val="32"/>
        </w:rPr>
        <w:t>未发现新增监测事项。</w:t>
      </w:r>
    </w:p>
    <w:p w:rsidR="00866599" w:rsidRPr="0031419A" w:rsidRDefault="007260A8" w:rsidP="00866599">
      <w:pPr>
        <w:spacing w:line="560" w:lineRule="exact"/>
        <w:ind w:firstLineChars="200" w:firstLine="643"/>
        <w:rPr>
          <w:rFonts w:ascii="仿宋_GB2312" w:eastAsia="仿宋_GB2312" w:hAnsi="Calibri" w:cs="Times New Roman"/>
          <w:b/>
          <w:sz w:val="32"/>
          <w:szCs w:val="32"/>
        </w:rPr>
      </w:pPr>
      <w:r w:rsidRPr="0031419A">
        <w:rPr>
          <w:rFonts w:ascii="仿宋_GB2312" w:eastAsia="仿宋_GB2312" w:hAnsi="Calibri" w:cs="Times New Roman" w:hint="eastAsia"/>
          <w:b/>
          <w:sz w:val="32"/>
          <w:szCs w:val="32"/>
        </w:rPr>
        <w:t>2</w:t>
      </w:r>
      <w:r w:rsidR="00866599" w:rsidRPr="0031419A">
        <w:rPr>
          <w:rFonts w:ascii="仿宋_GB2312" w:eastAsia="仿宋_GB2312" w:hAnsi="Calibri" w:cs="Times New Roman" w:hint="eastAsia"/>
          <w:b/>
          <w:sz w:val="32"/>
          <w:szCs w:val="32"/>
        </w:rPr>
        <w:t>.</w:t>
      </w:r>
      <w:proofErr w:type="gramStart"/>
      <w:r w:rsidR="00866599" w:rsidRPr="0031419A">
        <w:rPr>
          <w:rFonts w:ascii="仿宋_GB2312" w:eastAsia="仿宋_GB2312" w:hAnsi="Calibri" w:cs="Times New Roman" w:hint="eastAsia"/>
          <w:b/>
          <w:sz w:val="32"/>
          <w:szCs w:val="32"/>
        </w:rPr>
        <w:t>代持交易</w:t>
      </w:r>
      <w:proofErr w:type="gramEnd"/>
    </w:p>
    <w:p w:rsidR="00F92E31" w:rsidRPr="0031419A" w:rsidRDefault="00B007AB" w:rsidP="00556E8D">
      <w:pPr>
        <w:spacing w:line="560" w:lineRule="exact"/>
        <w:ind w:firstLineChars="200" w:firstLine="640"/>
        <w:rPr>
          <w:rFonts w:ascii="仿宋_GB2312" w:eastAsia="仿宋_GB2312" w:hAnsi="Calibri" w:cs="Times New Roman"/>
          <w:sz w:val="32"/>
          <w:szCs w:val="32"/>
        </w:rPr>
      </w:pPr>
      <w:r w:rsidRPr="0031419A">
        <w:rPr>
          <w:rFonts w:ascii="仿宋_GB2312" w:eastAsia="仿宋_GB2312" w:hAnsi="Calibri" w:cs="Times New Roman" w:hint="eastAsia"/>
          <w:sz w:val="32"/>
          <w:szCs w:val="32"/>
        </w:rPr>
        <w:t>本次监测范围为COMSTAR系统</w:t>
      </w:r>
      <w:r w:rsidR="00046CD6" w:rsidRPr="0031419A">
        <w:rPr>
          <w:rFonts w:ascii="仿宋_GB2312" w:eastAsia="仿宋_GB2312" w:hAnsi="Calibri" w:cs="Times New Roman" w:hint="eastAsia"/>
          <w:sz w:val="32"/>
          <w:szCs w:val="32"/>
        </w:rPr>
        <w:t>和</w:t>
      </w:r>
      <w:r w:rsidR="0022695A" w:rsidRPr="0031419A">
        <w:rPr>
          <w:rFonts w:ascii="仿宋_GB2312" w:eastAsia="仿宋_GB2312" w:hAnsi="Calibri" w:cs="Times New Roman" w:hint="eastAsia"/>
          <w:sz w:val="32"/>
          <w:szCs w:val="32"/>
        </w:rPr>
        <w:t>资金业务管理系统</w:t>
      </w:r>
      <w:r w:rsidR="001476BB" w:rsidRPr="0031419A">
        <w:rPr>
          <w:rFonts w:ascii="仿宋_GB2312" w:eastAsia="仿宋_GB2312" w:hAnsi="Calibri" w:cs="Times New Roman" w:hint="eastAsia"/>
          <w:sz w:val="32"/>
          <w:szCs w:val="32"/>
        </w:rPr>
        <w:t>，以及</w:t>
      </w:r>
      <w:r w:rsidR="0022695A" w:rsidRPr="0031419A">
        <w:rPr>
          <w:rFonts w:ascii="仿宋_GB2312" w:eastAsia="仿宋_GB2312" w:hAnsi="Calibri" w:cs="Times New Roman" w:hint="eastAsia"/>
          <w:sz w:val="32"/>
          <w:szCs w:val="32"/>
        </w:rPr>
        <w:t>理财资产管理系统</w:t>
      </w:r>
      <w:r w:rsidR="006C0063" w:rsidRPr="0031419A">
        <w:rPr>
          <w:rFonts w:ascii="仿宋_GB2312" w:eastAsia="仿宋_GB2312" w:hAnsi="Calibri" w:cs="Times New Roman" w:hint="eastAsia"/>
          <w:sz w:val="32"/>
          <w:szCs w:val="32"/>
        </w:rPr>
        <w:t>、兆</w:t>
      </w:r>
      <w:proofErr w:type="gramStart"/>
      <w:r w:rsidR="006C0063" w:rsidRPr="0031419A">
        <w:rPr>
          <w:rFonts w:ascii="仿宋_GB2312" w:eastAsia="仿宋_GB2312" w:hAnsi="Calibri" w:cs="Times New Roman" w:hint="eastAsia"/>
          <w:sz w:val="32"/>
          <w:szCs w:val="32"/>
        </w:rPr>
        <w:t>尹</w:t>
      </w:r>
      <w:proofErr w:type="gramEnd"/>
      <w:r w:rsidR="006C0063" w:rsidRPr="0031419A">
        <w:rPr>
          <w:rFonts w:ascii="仿宋_GB2312" w:eastAsia="仿宋_GB2312" w:hAnsi="Calibri" w:cs="Times New Roman" w:hint="eastAsia"/>
          <w:sz w:val="32"/>
          <w:szCs w:val="32"/>
        </w:rPr>
        <w:t>系统</w:t>
      </w:r>
      <w:r w:rsidRPr="0031419A">
        <w:rPr>
          <w:rFonts w:ascii="仿宋_GB2312" w:eastAsia="仿宋_GB2312" w:hAnsi="Calibri" w:cs="Times New Roman" w:hint="eastAsia"/>
          <w:sz w:val="32"/>
          <w:szCs w:val="32"/>
        </w:rPr>
        <w:t>中</w:t>
      </w:r>
      <w:r w:rsidR="00C4321F" w:rsidRPr="0031419A">
        <w:rPr>
          <w:rFonts w:ascii="仿宋_GB2312" w:eastAsia="仿宋_GB2312" w:hAnsi="Calibri" w:cs="Times New Roman" w:hint="eastAsia"/>
          <w:sz w:val="32"/>
          <w:szCs w:val="32"/>
        </w:rPr>
        <w:t>2021年</w:t>
      </w:r>
      <w:r w:rsidR="007672DA" w:rsidRPr="0031419A">
        <w:rPr>
          <w:rFonts w:ascii="仿宋_GB2312" w:eastAsia="仿宋_GB2312" w:hAnsi="Calibri" w:cs="Times New Roman" w:hint="eastAsia"/>
          <w:sz w:val="32"/>
          <w:szCs w:val="32"/>
        </w:rPr>
        <w:t>5</w:t>
      </w:r>
      <w:r w:rsidR="00C4321F" w:rsidRPr="0031419A">
        <w:rPr>
          <w:rFonts w:ascii="仿宋_GB2312" w:eastAsia="仿宋_GB2312" w:hAnsi="Calibri" w:cs="Times New Roman" w:hint="eastAsia"/>
          <w:sz w:val="32"/>
          <w:szCs w:val="32"/>
        </w:rPr>
        <w:t>月</w:t>
      </w:r>
      <w:r w:rsidR="007672DA" w:rsidRPr="0031419A">
        <w:rPr>
          <w:rFonts w:ascii="仿宋_GB2312" w:eastAsia="仿宋_GB2312" w:hAnsi="Calibri" w:cs="Times New Roman" w:hint="eastAsia"/>
          <w:sz w:val="32"/>
          <w:szCs w:val="32"/>
        </w:rPr>
        <w:t>6</w:t>
      </w:r>
      <w:r w:rsidR="00C4321F" w:rsidRPr="0031419A">
        <w:rPr>
          <w:rFonts w:ascii="仿宋_GB2312" w:eastAsia="仿宋_GB2312" w:hAnsi="Calibri" w:cs="Times New Roman" w:hint="eastAsia"/>
          <w:sz w:val="32"/>
          <w:szCs w:val="32"/>
        </w:rPr>
        <w:t>日至2021年</w:t>
      </w:r>
      <w:r w:rsidR="007672DA" w:rsidRPr="0031419A">
        <w:rPr>
          <w:rFonts w:ascii="仿宋_GB2312" w:eastAsia="仿宋_GB2312" w:hAnsi="Calibri" w:cs="Times New Roman" w:hint="eastAsia"/>
          <w:sz w:val="32"/>
          <w:szCs w:val="32"/>
        </w:rPr>
        <w:t>5</w:t>
      </w:r>
      <w:r w:rsidR="00C4321F" w:rsidRPr="0031419A">
        <w:rPr>
          <w:rFonts w:ascii="仿宋_GB2312" w:eastAsia="仿宋_GB2312" w:hAnsi="Calibri" w:cs="Times New Roman" w:hint="eastAsia"/>
          <w:sz w:val="32"/>
          <w:szCs w:val="32"/>
        </w:rPr>
        <w:t>月</w:t>
      </w:r>
      <w:r w:rsidR="007672DA" w:rsidRPr="0031419A">
        <w:rPr>
          <w:rFonts w:ascii="仿宋_GB2312" w:eastAsia="仿宋_GB2312" w:hAnsi="Calibri" w:cs="Times New Roman" w:hint="eastAsia"/>
          <w:sz w:val="32"/>
          <w:szCs w:val="32"/>
        </w:rPr>
        <w:t>8</w:t>
      </w:r>
      <w:r w:rsidR="00C4321F" w:rsidRPr="0031419A">
        <w:rPr>
          <w:rFonts w:ascii="仿宋_GB2312" w:eastAsia="仿宋_GB2312" w:hAnsi="Calibri" w:cs="Times New Roman" w:hint="eastAsia"/>
          <w:sz w:val="32"/>
          <w:szCs w:val="32"/>
        </w:rPr>
        <w:t>日</w:t>
      </w:r>
      <w:r w:rsidRPr="0031419A">
        <w:rPr>
          <w:rFonts w:ascii="仿宋_GB2312" w:eastAsia="仿宋_GB2312" w:hAnsi="Calibri" w:cs="Times New Roman" w:hint="eastAsia"/>
          <w:sz w:val="32"/>
          <w:szCs w:val="32"/>
        </w:rPr>
        <w:t>期间与同一交易对手同券种同金额反向交易行为，未发现新增监测事项。</w:t>
      </w:r>
    </w:p>
    <w:p w:rsidR="00E37074" w:rsidRPr="00E7080C" w:rsidRDefault="00E4241B" w:rsidP="00D12E03">
      <w:pPr>
        <w:spacing w:line="560" w:lineRule="exact"/>
        <w:ind w:firstLineChars="200" w:firstLine="643"/>
        <w:rPr>
          <w:rFonts w:ascii="仿宋_GB2312" w:eastAsia="仿宋_GB2312" w:hAnsi="Calibri" w:cs="Times New Roman"/>
          <w:b/>
          <w:sz w:val="32"/>
          <w:szCs w:val="32"/>
        </w:rPr>
      </w:pPr>
      <w:r w:rsidRPr="00E7080C">
        <w:rPr>
          <w:rFonts w:ascii="仿宋_GB2312" w:eastAsia="仿宋_GB2312" w:hAnsi="Calibri" w:cs="Times New Roman" w:hint="eastAsia"/>
          <w:b/>
          <w:sz w:val="32"/>
          <w:szCs w:val="32"/>
        </w:rPr>
        <w:t>（</w:t>
      </w:r>
      <w:r w:rsidR="009C1B08" w:rsidRPr="00E7080C">
        <w:rPr>
          <w:rFonts w:ascii="仿宋_GB2312" w:eastAsia="仿宋_GB2312" w:hAnsi="Calibri" w:cs="Times New Roman" w:hint="eastAsia"/>
          <w:b/>
          <w:sz w:val="32"/>
          <w:szCs w:val="32"/>
        </w:rPr>
        <w:t>三</w:t>
      </w:r>
      <w:r w:rsidRPr="00E7080C">
        <w:rPr>
          <w:rFonts w:ascii="仿宋_GB2312" w:eastAsia="仿宋_GB2312" w:hAnsi="Calibri" w:cs="Times New Roman" w:hint="eastAsia"/>
          <w:b/>
          <w:sz w:val="32"/>
          <w:szCs w:val="32"/>
        </w:rPr>
        <w:t>）</w:t>
      </w:r>
      <w:r w:rsidR="002E04D0" w:rsidRPr="00E7080C">
        <w:rPr>
          <w:rFonts w:ascii="仿宋_GB2312" w:eastAsia="仿宋_GB2312" w:hAnsi="Calibri" w:cs="Times New Roman" w:hint="eastAsia"/>
          <w:b/>
          <w:sz w:val="32"/>
          <w:szCs w:val="32"/>
        </w:rPr>
        <w:t>负面舆情监测</w:t>
      </w:r>
    </w:p>
    <w:p w:rsidR="00E7080C" w:rsidRPr="00E7080C" w:rsidRDefault="00E7080C" w:rsidP="00E7080C">
      <w:pPr>
        <w:spacing w:line="560" w:lineRule="exact"/>
        <w:ind w:firstLineChars="200" w:firstLine="640"/>
        <w:rPr>
          <w:rFonts w:ascii="仿宋_GB2312" w:eastAsia="仿宋_GB2312" w:hAnsi="Calibri" w:cs="Times New Roman"/>
          <w:sz w:val="32"/>
          <w:szCs w:val="32"/>
        </w:rPr>
      </w:pPr>
      <w:r w:rsidRPr="00E7080C">
        <w:rPr>
          <w:rFonts w:ascii="仿宋_GB2312" w:eastAsia="仿宋_GB2312" w:hAnsi="Calibri" w:cs="Times New Roman" w:hint="eastAsia"/>
          <w:sz w:val="32"/>
          <w:szCs w:val="32"/>
        </w:rPr>
        <w:lastRenderedPageBreak/>
        <w:t>自媒体报道称因“中信信托</w:t>
      </w:r>
      <w:r w:rsidRPr="00E7080C">
        <w:rPr>
          <w:rFonts w:ascii="宋体" w:eastAsia="宋体" w:hAnsi="宋体" w:cs="宋体" w:hint="eastAsia"/>
          <w:sz w:val="32"/>
          <w:szCs w:val="32"/>
        </w:rPr>
        <w:t>•</w:t>
      </w:r>
      <w:r w:rsidRPr="00E7080C">
        <w:rPr>
          <w:rFonts w:ascii="仿宋" w:eastAsia="仿宋" w:hAnsi="仿宋" w:cs="仿宋" w:hint="eastAsia"/>
          <w:sz w:val="32"/>
          <w:szCs w:val="32"/>
        </w:rPr>
        <w:t>贵州遵义播州区国投应收账款流动化信托二期”已逾期超过</w:t>
      </w:r>
      <w:r w:rsidRPr="00E7080C">
        <w:rPr>
          <w:rFonts w:ascii="仿宋_GB2312" w:eastAsia="仿宋_GB2312" w:hAnsi="Calibri" w:cs="Times New Roman" w:hint="eastAsia"/>
          <w:sz w:val="32"/>
          <w:szCs w:val="32"/>
        </w:rPr>
        <w:t>4个月，中信信托已正式向法院提起司法诉讼；该信托成立于2017年12月，期限为3年，计划到期日为2021年1月10日，融资方为遵义市播州区国有资产投资经营（集团）有限责任公司（以下简称“播州国投”），由遵义市播州区城市建设投资经营（集团）有限公司（以下简称“播州城投”）、遵义苟江投资建设有限责任公司提供保证担保，本次发生逾期的信托本金规模约2.55亿元。</w:t>
      </w:r>
    </w:p>
    <w:p w:rsidR="00283446" w:rsidRDefault="00E7080C" w:rsidP="00E7080C">
      <w:pPr>
        <w:spacing w:line="560" w:lineRule="exact"/>
        <w:ind w:firstLineChars="200" w:firstLine="640"/>
        <w:rPr>
          <w:rFonts w:ascii="仿宋_GB2312" w:eastAsia="仿宋_GB2312" w:hAnsi="Calibri" w:cs="Times New Roman"/>
          <w:sz w:val="32"/>
          <w:szCs w:val="32"/>
        </w:rPr>
      </w:pPr>
      <w:r w:rsidRPr="00E7080C">
        <w:rPr>
          <w:rFonts w:ascii="仿宋_GB2312" w:eastAsia="仿宋_GB2312" w:hAnsi="Calibri" w:cs="Times New Roman" w:hint="eastAsia"/>
          <w:sz w:val="32"/>
          <w:szCs w:val="32"/>
        </w:rPr>
        <w:t>贵州地区城投非标逾期屡屡发生，遵义市是非标负面的“重灾区”，本次也是非首次播州国投、播州城投非标违约。2020年1月“中电投先融播州资产管理计划”（融资方为播州国投、担保方为播州城投）也曾被爆出逾期；此外，根据企查查显示2021年4月15日播州国投、播州城投均因自身失信被限制高消费，申请人</w:t>
      </w:r>
      <w:proofErr w:type="gramStart"/>
      <w:r w:rsidRPr="00E7080C">
        <w:rPr>
          <w:rFonts w:ascii="仿宋_GB2312" w:eastAsia="仿宋_GB2312" w:hAnsi="Calibri" w:cs="Times New Roman" w:hint="eastAsia"/>
          <w:sz w:val="32"/>
          <w:szCs w:val="32"/>
        </w:rPr>
        <w:t>为华融国际</w:t>
      </w:r>
      <w:proofErr w:type="gramEnd"/>
      <w:r w:rsidRPr="00E7080C">
        <w:rPr>
          <w:rFonts w:ascii="仿宋_GB2312" w:eastAsia="仿宋_GB2312" w:hAnsi="Calibri" w:cs="Times New Roman" w:hint="eastAsia"/>
          <w:sz w:val="32"/>
          <w:szCs w:val="32"/>
        </w:rPr>
        <w:t>信托有限责任公司，主要系源于金融借款合同纠纷，被执行金额约1.49亿元，判断也是非标违约所致。屡次非标违约表现播州国投、播州城投自身流动性非常紧张，播州国</w:t>
      </w:r>
      <w:proofErr w:type="gramStart"/>
      <w:r w:rsidRPr="00E7080C">
        <w:rPr>
          <w:rFonts w:ascii="仿宋_GB2312" w:eastAsia="仿宋_GB2312" w:hAnsi="Calibri" w:cs="Times New Roman" w:hint="eastAsia"/>
          <w:sz w:val="32"/>
          <w:szCs w:val="32"/>
        </w:rPr>
        <w:t>投目前</w:t>
      </w:r>
      <w:proofErr w:type="gramEnd"/>
      <w:r w:rsidRPr="00E7080C">
        <w:rPr>
          <w:rFonts w:ascii="仿宋_GB2312" w:eastAsia="仿宋_GB2312" w:hAnsi="Calibri" w:cs="Times New Roman" w:hint="eastAsia"/>
          <w:sz w:val="32"/>
          <w:szCs w:val="32"/>
        </w:rPr>
        <w:t>无存续债，播州城</w:t>
      </w:r>
      <w:proofErr w:type="gramStart"/>
      <w:r w:rsidRPr="00E7080C">
        <w:rPr>
          <w:rFonts w:ascii="仿宋_GB2312" w:eastAsia="仿宋_GB2312" w:hAnsi="Calibri" w:cs="Times New Roman" w:hint="eastAsia"/>
          <w:sz w:val="32"/>
          <w:szCs w:val="32"/>
        </w:rPr>
        <w:t>投目前</w:t>
      </w:r>
      <w:proofErr w:type="gramEnd"/>
      <w:r w:rsidRPr="00E7080C">
        <w:rPr>
          <w:rFonts w:ascii="仿宋_GB2312" w:eastAsia="仿宋_GB2312" w:hAnsi="Calibri" w:cs="Times New Roman" w:hint="eastAsia"/>
          <w:sz w:val="32"/>
          <w:szCs w:val="32"/>
        </w:rPr>
        <w:t>存续债12亿元，一年内行权及到期3亿元，但截至2020年末账面货币资金仅1.49亿元，短期偿债压力重，目前地方政府还在积极协调金融资源以保证公开市场债券</w:t>
      </w:r>
      <w:proofErr w:type="gramStart"/>
      <w:r w:rsidRPr="00E7080C">
        <w:rPr>
          <w:rFonts w:ascii="仿宋_GB2312" w:eastAsia="仿宋_GB2312" w:hAnsi="Calibri" w:cs="Times New Roman" w:hint="eastAsia"/>
          <w:sz w:val="32"/>
          <w:szCs w:val="32"/>
        </w:rPr>
        <w:t>不</w:t>
      </w:r>
      <w:proofErr w:type="gramEnd"/>
      <w:r w:rsidRPr="00E7080C">
        <w:rPr>
          <w:rFonts w:ascii="仿宋_GB2312" w:eastAsia="仿宋_GB2312" w:hAnsi="Calibri" w:cs="Times New Roman" w:hint="eastAsia"/>
          <w:sz w:val="32"/>
          <w:szCs w:val="32"/>
        </w:rPr>
        <w:t>违约，播</w:t>
      </w:r>
      <w:r>
        <w:rPr>
          <w:rFonts w:ascii="仿宋_GB2312" w:eastAsia="仿宋_GB2312" w:hAnsi="Calibri" w:cs="Times New Roman" w:hint="eastAsia"/>
          <w:sz w:val="32"/>
          <w:szCs w:val="32"/>
        </w:rPr>
        <w:t>州城投存续债兑付情况还需关注地方政府协调金融资源的能力及意愿。</w:t>
      </w:r>
    </w:p>
    <w:sectPr w:rsidR="00283446" w:rsidSect="007C2054">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F78" w:rsidRDefault="00A63F78" w:rsidP="007753CC">
      <w:r>
        <w:separator/>
      </w:r>
    </w:p>
  </w:endnote>
  <w:endnote w:type="continuationSeparator" w:id="0">
    <w:p w:rsidR="00A63F78" w:rsidRDefault="00A63F78" w:rsidP="00775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FangSong">
    <w:altName w:val="Arial Unicode MS"/>
    <w:panose1 w:val="00000000000000000000"/>
    <w:charset w:val="00"/>
    <w:family w:val="swiss"/>
    <w:notTrueType/>
    <w:pitch w:val="default"/>
    <w:sig w:usb0="00000000" w:usb1="080E0000" w:usb2="00000010" w:usb3="00000000" w:csb0="00040001" w:csb1="00000000"/>
  </w:font>
  <w:font w:name="Arial Unicode MS">
    <w:panose1 w:val="020B0604020202020204"/>
    <w:charset w:val="86"/>
    <w:family w:val="swiss"/>
    <w:pitch w:val="variable"/>
    <w:sig w:usb0="F7FFAFFF" w:usb1="E9DFFFFF" w:usb2="0000003F" w:usb3="00000000" w:csb0="003F01FF" w:csb1="00000000"/>
  </w:font>
  <w:font w:name="仿宋_GB2312">
    <w:altName w:val="仿宋"/>
    <w:charset w:val="86"/>
    <w:family w:val="modern"/>
    <w:pitch w:val="default"/>
    <w:sig w:usb0="00000001" w:usb1="080E0000" w:usb2="00000000" w:usb3="00000000" w:csb0="00040000" w:csb1="00000000"/>
  </w:font>
  <w:font w:name="方正小标宋简体">
    <w:altName w:val="宋体"/>
    <w:panose1 w:val="02000000000000000000"/>
    <w:charset w:val="86"/>
    <w:family w:val="auto"/>
    <w:pitch w:val="variable"/>
    <w:sig w:usb0="A00002BF" w:usb1="184F6CFA" w:usb2="00000012"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F78" w:rsidRDefault="00A63F78" w:rsidP="007753CC">
      <w:r>
        <w:separator/>
      </w:r>
    </w:p>
  </w:footnote>
  <w:footnote w:type="continuationSeparator" w:id="0">
    <w:p w:rsidR="00A63F78" w:rsidRDefault="00A63F78" w:rsidP="007753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3526" w:rsidRDefault="00D4301E" w:rsidP="00C8439F">
    <w:pPr>
      <w:spacing w:line="560" w:lineRule="exact"/>
      <w:rPr>
        <w:rFonts w:ascii="方正小标宋简体" w:eastAsia="方正小标宋简体" w:hAnsi="宋体" w:cs="Times New Roman"/>
        <w:sz w:val="44"/>
        <w:szCs w:val="44"/>
      </w:rPr>
    </w:pPr>
    <w:r>
      <w:rPr>
        <w:rFonts w:ascii="方正小标宋简体" w:eastAsia="方正小标宋简体" w:hAnsi="宋体" w:cs="Times New Roman" w:hint="eastAsia"/>
        <w:sz w:val="44"/>
        <w:szCs w:val="44"/>
      </w:rPr>
      <w:t>金融市场</w:t>
    </w:r>
    <w:r w:rsidR="000F3526">
      <w:rPr>
        <w:rFonts w:ascii="方正小标宋简体" w:eastAsia="方正小标宋简体" w:hAnsi="宋体" w:cs="Times New Roman" w:hint="eastAsia"/>
        <w:sz w:val="44"/>
        <w:szCs w:val="44"/>
      </w:rPr>
      <w:t>风险</w:t>
    </w:r>
    <w:r w:rsidR="000F3526" w:rsidRPr="00093F3F">
      <w:rPr>
        <w:rFonts w:ascii="方正小标宋简体" w:eastAsia="方正小标宋简体" w:hAnsi="宋体" w:cs="Times New Roman" w:hint="eastAsia"/>
        <w:sz w:val="44"/>
        <w:szCs w:val="44"/>
      </w:rPr>
      <w:t>监测报告</w:t>
    </w:r>
    <w:r w:rsidR="000F3526" w:rsidRPr="00FB7539">
      <w:rPr>
        <w:rFonts w:ascii="方正小标宋简体" w:eastAsia="方正小标宋简体" w:hAnsi="宋体" w:cs="Times New Roman" w:hint="eastAsia"/>
        <w:sz w:val="28"/>
        <w:szCs w:val="44"/>
      </w:rPr>
      <w:t>（</w:t>
    </w:r>
    <w:r w:rsidR="000F3526">
      <w:rPr>
        <w:rFonts w:ascii="方正小标宋简体" w:eastAsia="方正小标宋简体" w:hAnsi="宋体" w:cs="Times New Roman" w:hint="eastAsia"/>
        <w:sz w:val="28"/>
        <w:szCs w:val="44"/>
      </w:rPr>
      <w:t>2021/5/6-2021/5/8</w:t>
    </w:r>
    <w:r w:rsidR="000F3526" w:rsidRPr="00FB7539">
      <w:rPr>
        <w:rFonts w:ascii="方正小标宋简体" w:eastAsia="方正小标宋简体" w:hAnsi="宋体" w:cs="Times New Roman" w:hint="eastAsia"/>
        <w:sz w:val="28"/>
        <w:szCs w:val="44"/>
      </w:rPr>
      <w:t>）</w:t>
    </w:r>
    <w:r w:rsidR="000F3526">
      <w:rPr>
        <w:rFonts w:ascii="方正小标宋简体" w:eastAsia="方正小标宋简体" w:hAnsi="宋体" w:cs="Times New Roman" w:hint="eastAsia"/>
        <w:sz w:val="28"/>
        <w:szCs w:val="44"/>
      </w:rPr>
      <w:t xml:space="preserve">                                 </w:t>
    </w:r>
    <w:r w:rsidR="000F3526">
      <w:rPr>
        <w:rFonts w:ascii="方正小标宋简体" w:eastAsia="方正小标宋简体" w:hAnsi="宋体" w:cs="Times New Roman" w:hint="eastAsia"/>
        <w:sz w:val="44"/>
        <w:szCs w:val="44"/>
      </w:rPr>
      <w:t>风险管理</w:t>
    </w:r>
    <w:r w:rsidR="000F3526" w:rsidRPr="00093F3F">
      <w:rPr>
        <w:rFonts w:ascii="方正小标宋简体" w:eastAsia="方正小标宋简体" w:hAnsi="宋体" w:cs="Times New Roman" w:hint="eastAsia"/>
        <w:sz w:val="44"/>
        <w:szCs w:val="44"/>
      </w:rPr>
      <w:t>部</w:t>
    </w:r>
  </w:p>
  <w:p w:rsidR="000F3526" w:rsidRPr="00C8439F" w:rsidRDefault="000F3526" w:rsidP="00C8439F">
    <w:pPr>
      <w:spacing w:line="200" w:lineRule="exact"/>
      <w:jc w:val="left"/>
    </w:pPr>
    <w:r>
      <w:rPr>
        <w:rFonts w:ascii="方正小标宋简体" w:eastAsia="方正小标宋简体" w:hAnsi="宋体" w:cs="Times New Roman"/>
        <w:noProof/>
        <w:sz w:val="44"/>
        <w:szCs w:val="44"/>
      </w:rPr>
      <mc:AlternateContent>
        <mc:Choice Requires="wps">
          <w:drawing>
            <wp:anchor distT="0" distB="0" distL="114300" distR="114300" simplePos="0" relativeHeight="251663360" behindDoc="0" locked="0" layoutInCell="1" allowOverlap="1" wp14:anchorId="22CD9C29" wp14:editId="44EC8E56">
              <wp:simplePos x="0" y="0"/>
              <wp:positionH relativeFrom="column">
                <wp:posOffset>-335280</wp:posOffset>
              </wp:positionH>
              <wp:positionV relativeFrom="paragraph">
                <wp:posOffset>76200</wp:posOffset>
              </wp:positionV>
              <wp:extent cx="9509760" cy="0"/>
              <wp:effectExtent l="0" t="0" r="15240" b="19050"/>
              <wp:wrapNone/>
              <wp:docPr id="3" name="直接连接符 3"/>
              <wp:cNvGraphicFramePr/>
              <a:graphic xmlns:a="http://schemas.openxmlformats.org/drawingml/2006/main">
                <a:graphicData uri="http://schemas.microsoft.com/office/word/2010/wordprocessingShape">
                  <wps:wsp>
                    <wps:cNvCnPr/>
                    <wps:spPr>
                      <a:xfrm>
                        <a:off x="0" y="0"/>
                        <a:ext cx="9509760" cy="0"/>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26.4pt,6pt" to="722.4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" strokecolor="#c00000" strokeweight="1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3526" w:rsidRPr="00FB7539" w:rsidRDefault="000F3526" w:rsidP="00FB7539">
    <w:pPr>
      <w:rPr>
        <w:rFonts w:ascii="方正小标宋简体" w:eastAsia="方正小标宋简体"/>
        <w:b/>
        <w:sz w:val="44"/>
        <w:szCs w:val="44"/>
      </w:rPr>
    </w:pPr>
    <w:r w:rsidRPr="00927ABA">
      <w:rPr>
        <w:rFonts w:ascii="方正小标宋简体" w:eastAsia="方正小标宋简体" w:hAnsi="宋体" w:cs="Times New Roman" w:hint="eastAsia"/>
        <w:b/>
        <w:noProof/>
        <w:sz w:val="40"/>
        <w:szCs w:val="44"/>
      </w:rPr>
      <mc:AlternateContent>
        <mc:Choice Requires="wps">
          <w:drawing>
            <wp:anchor distT="0" distB="0" distL="114300" distR="114300" simplePos="0" relativeHeight="251659264" behindDoc="0" locked="0" layoutInCell="1" allowOverlap="1" wp14:anchorId="5F1CD99C" wp14:editId="70D52384">
              <wp:simplePos x="0" y="0"/>
              <wp:positionH relativeFrom="column">
                <wp:posOffset>-175260</wp:posOffset>
              </wp:positionH>
              <wp:positionV relativeFrom="paragraph">
                <wp:posOffset>393700</wp:posOffset>
              </wp:positionV>
              <wp:extent cx="5722620" cy="0"/>
              <wp:effectExtent l="0" t="0" r="11430" b="19050"/>
              <wp:wrapNone/>
              <wp:docPr id="2" name="直接连接符 2"/>
              <wp:cNvGraphicFramePr/>
              <a:graphic xmlns:a="http://schemas.openxmlformats.org/drawingml/2006/main">
                <a:graphicData uri="http://schemas.microsoft.com/office/word/2010/wordprocessingShape">
                  <wps:wsp>
                    <wps:cNvCnPr/>
                    <wps:spPr>
                      <a:xfrm>
                        <a:off x="0" y="0"/>
                        <a:ext cx="5722620" cy="0"/>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2"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pt,31pt" to="436.8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" strokecolor="#c00000" strokeweight="1pt"/>
          </w:pict>
        </mc:Fallback>
      </mc:AlternateContent>
    </w:r>
    <w:r w:rsidR="00D4301E">
      <w:rPr>
        <w:rFonts w:ascii="方正小标宋简体" w:eastAsia="方正小标宋简体" w:hint="eastAsia"/>
        <w:b/>
        <w:sz w:val="40"/>
        <w:szCs w:val="44"/>
      </w:rPr>
      <w:t>金融市场</w:t>
    </w:r>
    <w:r>
      <w:rPr>
        <w:rFonts w:ascii="方正小标宋简体" w:eastAsia="方正小标宋简体" w:hint="eastAsia"/>
        <w:b/>
        <w:sz w:val="40"/>
        <w:szCs w:val="44"/>
      </w:rPr>
      <w:t>风险</w:t>
    </w:r>
    <w:r w:rsidRPr="00927ABA">
      <w:rPr>
        <w:rFonts w:ascii="方正小标宋简体" w:eastAsia="方正小标宋简体" w:hint="eastAsia"/>
        <w:b/>
        <w:sz w:val="40"/>
        <w:szCs w:val="44"/>
      </w:rPr>
      <w:t>监测报告</w:t>
    </w:r>
    <w:r w:rsidRPr="00927ABA">
      <w:rPr>
        <w:rFonts w:ascii="方正小标宋简体" w:eastAsia="方正小标宋简体" w:hint="eastAsia"/>
        <w:b/>
        <w:sz w:val="24"/>
        <w:szCs w:val="44"/>
      </w:rPr>
      <w:t>（</w:t>
    </w:r>
    <w:r>
      <w:rPr>
        <w:rFonts w:ascii="方正小标宋简体" w:eastAsia="方正小标宋简体" w:hint="eastAsia"/>
        <w:b/>
        <w:sz w:val="24"/>
        <w:szCs w:val="44"/>
      </w:rPr>
      <w:t>5/6-5/8</w:t>
    </w:r>
    <w:r w:rsidRPr="00927ABA">
      <w:rPr>
        <w:rFonts w:ascii="方正小标宋简体" w:eastAsia="方正小标宋简体" w:hint="eastAsia"/>
        <w:b/>
        <w:sz w:val="24"/>
        <w:szCs w:val="44"/>
      </w:rPr>
      <w:t>）</w:t>
    </w:r>
    <w:r>
      <w:rPr>
        <w:rFonts w:ascii="方正小标宋简体" w:eastAsia="方正小标宋简体" w:hint="eastAsia"/>
        <w:b/>
        <w:sz w:val="24"/>
        <w:szCs w:val="44"/>
      </w:rPr>
      <w:t xml:space="preserve">         </w:t>
    </w:r>
    <w:r>
      <w:rPr>
        <w:rFonts w:ascii="方正小标宋简体" w:eastAsia="方正小标宋简体" w:hint="eastAsia"/>
        <w:b/>
        <w:sz w:val="40"/>
        <w:szCs w:val="44"/>
      </w:rPr>
      <w:t>风险管理</w:t>
    </w:r>
    <w:r w:rsidRPr="00927ABA">
      <w:rPr>
        <w:rFonts w:ascii="方正小标宋简体" w:eastAsia="方正小标宋简体" w:hint="eastAsia"/>
        <w:b/>
        <w:sz w:val="40"/>
        <w:szCs w:val="44"/>
      </w:rPr>
      <w:t>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F3F"/>
    <w:rsid w:val="00000B36"/>
    <w:rsid w:val="00003E25"/>
    <w:rsid w:val="00004ECF"/>
    <w:rsid w:val="000050B9"/>
    <w:rsid w:val="000104EB"/>
    <w:rsid w:val="00010D5C"/>
    <w:rsid w:val="00012985"/>
    <w:rsid w:val="0001332E"/>
    <w:rsid w:val="00013A77"/>
    <w:rsid w:val="0001464F"/>
    <w:rsid w:val="000163F0"/>
    <w:rsid w:val="00016FCC"/>
    <w:rsid w:val="000173B1"/>
    <w:rsid w:val="000214B1"/>
    <w:rsid w:val="000217C4"/>
    <w:rsid w:val="00023C82"/>
    <w:rsid w:val="00024AA9"/>
    <w:rsid w:val="000265DD"/>
    <w:rsid w:val="00026AF9"/>
    <w:rsid w:val="00026B75"/>
    <w:rsid w:val="0002783E"/>
    <w:rsid w:val="00030041"/>
    <w:rsid w:val="00030C30"/>
    <w:rsid w:val="00031324"/>
    <w:rsid w:val="00031759"/>
    <w:rsid w:val="000317CB"/>
    <w:rsid w:val="00033227"/>
    <w:rsid w:val="00033E14"/>
    <w:rsid w:val="00034E02"/>
    <w:rsid w:val="00035043"/>
    <w:rsid w:val="000351FB"/>
    <w:rsid w:val="00036BD8"/>
    <w:rsid w:val="00037D60"/>
    <w:rsid w:val="00037E88"/>
    <w:rsid w:val="00040F97"/>
    <w:rsid w:val="00041D28"/>
    <w:rsid w:val="00045135"/>
    <w:rsid w:val="00045CE8"/>
    <w:rsid w:val="00045E09"/>
    <w:rsid w:val="00046CD6"/>
    <w:rsid w:val="00046F7B"/>
    <w:rsid w:val="00047D8E"/>
    <w:rsid w:val="000521EA"/>
    <w:rsid w:val="00054DFE"/>
    <w:rsid w:val="0005561F"/>
    <w:rsid w:val="0005590D"/>
    <w:rsid w:val="00055C61"/>
    <w:rsid w:val="00056C0D"/>
    <w:rsid w:val="00056F86"/>
    <w:rsid w:val="000570D9"/>
    <w:rsid w:val="000639EB"/>
    <w:rsid w:val="00063C53"/>
    <w:rsid w:val="00065095"/>
    <w:rsid w:val="00070558"/>
    <w:rsid w:val="00072F77"/>
    <w:rsid w:val="00074266"/>
    <w:rsid w:val="00074F1B"/>
    <w:rsid w:val="000757C8"/>
    <w:rsid w:val="0007646F"/>
    <w:rsid w:val="00077AF3"/>
    <w:rsid w:val="00077BD3"/>
    <w:rsid w:val="00077C3D"/>
    <w:rsid w:val="0008013D"/>
    <w:rsid w:val="00082890"/>
    <w:rsid w:val="00083425"/>
    <w:rsid w:val="00086221"/>
    <w:rsid w:val="00087A01"/>
    <w:rsid w:val="000917CA"/>
    <w:rsid w:val="000930EE"/>
    <w:rsid w:val="000932BE"/>
    <w:rsid w:val="00093F3F"/>
    <w:rsid w:val="00094310"/>
    <w:rsid w:val="00095F6B"/>
    <w:rsid w:val="00095F6E"/>
    <w:rsid w:val="00097326"/>
    <w:rsid w:val="000A1803"/>
    <w:rsid w:val="000A1B44"/>
    <w:rsid w:val="000A1D64"/>
    <w:rsid w:val="000A25EF"/>
    <w:rsid w:val="000A2D6A"/>
    <w:rsid w:val="000A315B"/>
    <w:rsid w:val="000A4F4A"/>
    <w:rsid w:val="000A57D4"/>
    <w:rsid w:val="000A78D0"/>
    <w:rsid w:val="000A79C0"/>
    <w:rsid w:val="000A7F7E"/>
    <w:rsid w:val="000B0F7E"/>
    <w:rsid w:val="000B2DEA"/>
    <w:rsid w:val="000B3886"/>
    <w:rsid w:val="000B3957"/>
    <w:rsid w:val="000B57B0"/>
    <w:rsid w:val="000B624F"/>
    <w:rsid w:val="000C0375"/>
    <w:rsid w:val="000C0ED3"/>
    <w:rsid w:val="000C2A29"/>
    <w:rsid w:val="000C3516"/>
    <w:rsid w:val="000C3A01"/>
    <w:rsid w:val="000C474A"/>
    <w:rsid w:val="000C4917"/>
    <w:rsid w:val="000C63D8"/>
    <w:rsid w:val="000C76E0"/>
    <w:rsid w:val="000D2A52"/>
    <w:rsid w:val="000D5839"/>
    <w:rsid w:val="000D599A"/>
    <w:rsid w:val="000D6B5B"/>
    <w:rsid w:val="000E046C"/>
    <w:rsid w:val="000E0811"/>
    <w:rsid w:val="000E106D"/>
    <w:rsid w:val="000E23FB"/>
    <w:rsid w:val="000E26A9"/>
    <w:rsid w:val="000E3A82"/>
    <w:rsid w:val="000E4C79"/>
    <w:rsid w:val="000E6A79"/>
    <w:rsid w:val="000E6E7F"/>
    <w:rsid w:val="000F155B"/>
    <w:rsid w:val="000F1B78"/>
    <w:rsid w:val="000F3133"/>
    <w:rsid w:val="000F3452"/>
    <w:rsid w:val="000F3526"/>
    <w:rsid w:val="000F41DC"/>
    <w:rsid w:val="000F435D"/>
    <w:rsid w:val="000F4D0B"/>
    <w:rsid w:val="000F4EED"/>
    <w:rsid w:val="000F7010"/>
    <w:rsid w:val="000F7FAD"/>
    <w:rsid w:val="0010093F"/>
    <w:rsid w:val="0010369B"/>
    <w:rsid w:val="001038C5"/>
    <w:rsid w:val="001042D6"/>
    <w:rsid w:val="00105FDC"/>
    <w:rsid w:val="0011006C"/>
    <w:rsid w:val="00112B61"/>
    <w:rsid w:val="00115E67"/>
    <w:rsid w:val="00116F16"/>
    <w:rsid w:val="00117E54"/>
    <w:rsid w:val="00120610"/>
    <w:rsid w:val="00121660"/>
    <w:rsid w:val="00121C19"/>
    <w:rsid w:val="00121D15"/>
    <w:rsid w:val="00122FA3"/>
    <w:rsid w:val="00123FDA"/>
    <w:rsid w:val="001244D9"/>
    <w:rsid w:val="00124B0C"/>
    <w:rsid w:val="001255AA"/>
    <w:rsid w:val="0012683D"/>
    <w:rsid w:val="00126FBE"/>
    <w:rsid w:val="00127F73"/>
    <w:rsid w:val="00131002"/>
    <w:rsid w:val="00131775"/>
    <w:rsid w:val="00132D78"/>
    <w:rsid w:val="00133654"/>
    <w:rsid w:val="00134118"/>
    <w:rsid w:val="00135DD2"/>
    <w:rsid w:val="00136EBC"/>
    <w:rsid w:val="00141252"/>
    <w:rsid w:val="00143ECF"/>
    <w:rsid w:val="001476BB"/>
    <w:rsid w:val="001500ED"/>
    <w:rsid w:val="00150C07"/>
    <w:rsid w:val="00151413"/>
    <w:rsid w:val="0015631A"/>
    <w:rsid w:val="0015718E"/>
    <w:rsid w:val="001571E5"/>
    <w:rsid w:val="0016337A"/>
    <w:rsid w:val="00163429"/>
    <w:rsid w:val="0016364B"/>
    <w:rsid w:val="00164675"/>
    <w:rsid w:val="00164DD9"/>
    <w:rsid w:val="00166437"/>
    <w:rsid w:val="00167103"/>
    <w:rsid w:val="0016731C"/>
    <w:rsid w:val="00170C50"/>
    <w:rsid w:val="001724B4"/>
    <w:rsid w:val="001736B5"/>
    <w:rsid w:val="00173AA0"/>
    <w:rsid w:val="00173AE2"/>
    <w:rsid w:val="00173E84"/>
    <w:rsid w:val="00175095"/>
    <w:rsid w:val="00175AB4"/>
    <w:rsid w:val="00175C1D"/>
    <w:rsid w:val="0018031A"/>
    <w:rsid w:val="00180E92"/>
    <w:rsid w:val="00182FCC"/>
    <w:rsid w:val="00183493"/>
    <w:rsid w:val="001835F8"/>
    <w:rsid w:val="0018369F"/>
    <w:rsid w:val="00183818"/>
    <w:rsid w:val="00184655"/>
    <w:rsid w:val="00184E6A"/>
    <w:rsid w:val="001852AF"/>
    <w:rsid w:val="00186E8F"/>
    <w:rsid w:val="001870F2"/>
    <w:rsid w:val="001879C6"/>
    <w:rsid w:val="0019072D"/>
    <w:rsid w:val="00190CAA"/>
    <w:rsid w:val="00192336"/>
    <w:rsid w:val="00192D13"/>
    <w:rsid w:val="00192DAB"/>
    <w:rsid w:val="0019394D"/>
    <w:rsid w:val="0019416D"/>
    <w:rsid w:val="00196BFE"/>
    <w:rsid w:val="001A0842"/>
    <w:rsid w:val="001A1354"/>
    <w:rsid w:val="001A2498"/>
    <w:rsid w:val="001A3F96"/>
    <w:rsid w:val="001A3FE9"/>
    <w:rsid w:val="001A4902"/>
    <w:rsid w:val="001A5C53"/>
    <w:rsid w:val="001A6A57"/>
    <w:rsid w:val="001A6C0C"/>
    <w:rsid w:val="001A717C"/>
    <w:rsid w:val="001B04D3"/>
    <w:rsid w:val="001B16D4"/>
    <w:rsid w:val="001B1C4D"/>
    <w:rsid w:val="001B2030"/>
    <w:rsid w:val="001B2241"/>
    <w:rsid w:val="001B303D"/>
    <w:rsid w:val="001B3FAC"/>
    <w:rsid w:val="001B4228"/>
    <w:rsid w:val="001B4674"/>
    <w:rsid w:val="001B5773"/>
    <w:rsid w:val="001B73D2"/>
    <w:rsid w:val="001B787B"/>
    <w:rsid w:val="001C1509"/>
    <w:rsid w:val="001C26D7"/>
    <w:rsid w:val="001C28AB"/>
    <w:rsid w:val="001C33BC"/>
    <w:rsid w:val="001C391A"/>
    <w:rsid w:val="001C3E38"/>
    <w:rsid w:val="001C48B7"/>
    <w:rsid w:val="001C5846"/>
    <w:rsid w:val="001C624B"/>
    <w:rsid w:val="001C68A7"/>
    <w:rsid w:val="001C6D98"/>
    <w:rsid w:val="001C6E12"/>
    <w:rsid w:val="001C79B7"/>
    <w:rsid w:val="001D0817"/>
    <w:rsid w:val="001D4973"/>
    <w:rsid w:val="001D5447"/>
    <w:rsid w:val="001D65B4"/>
    <w:rsid w:val="001D6961"/>
    <w:rsid w:val="001D706D"/>
    <w:rsid w:val="001E1F72"/>
    <w:rsid w:val="001E25AE"/>
    <w:rsid w:val="001E4B45"/>
    <w:rsid w:val="001E4BBB"/>
    <w:rsid w:val="001E6153"/>
    <w:rsid w:val="001E737D"/>
    <w:rsid w:val="001E73CE"/>
    <w:rsid w:val="001E75C4"/>
    <w:rsid w:val="001F1400"/>
    <w:rsid w:val="001F279E"/>
    <w:rsid w:val="001F3272"/>
    <w:rsid w:val="001F433B"/>
    <w:rsid w:val="001F56D8"/>
    <w:rsid w:val="001F624B"/>
    <w:rsid w:val="001F6BD8"/>
    <w:rsid w:val="001F7866"/>
    <w:rsid w:val="001F7C33"/>
    <w:rsid w:val="002000D0"/>
    <w:rsid w:val="0020024F"/>
    <w:rsid w:val="00200515"/>
    <w:rsid w:val="002005A4"/>
    <w:rsid w:val="00201991"/>
    <w:rsid w:val="00202604"/>
    <w:rsid w:val="00203757"/>
    <w:rsid w:val="00204115"/>
    <w:rsid w:val="002063E3"/>
    <w:rsid w:val="002075F5"/>
    <w:rsid w:val="002078AB"/>
    <w:rsid w:val="002079AB"/>
    <w:rsid w:val="002104B7"/>
    <w:rsid w:val="00210682"/>
    <w:rsid w:val="002110F8"/>
    <w:rsid w:val="002118B1"/>
    <w:rsid w:val="00211CF1"/>
    <w:rsid w:val="0021343B"/>
    <w:rsid w:val="002142AF"/>
    <w:rsid w:val="00214775"/>
    <w:rsid w:val="00214E89"/>
    <w:rsid w:val="00217B80"/>
    <w:rsid w:val="00223A7B"/>
    <w:rsid w:val="00223BEC"/>
    <w:rsid w:val="002241B2"/>
    <w:rsid w:val="002262C3"/>
    <w:rsid w:val="0022695A"/>
    <w:rsid w:val="00227213"/>
    <w:rsid w:val="002276E0"/>
    <w:rsid w:val="002300AC"/>
    <w:rsid w:val="002308B9"/>
    <w:rsid w:val="00231289"/>
    <w:rsid w:val="002312DC"/>
    <w:rsid w:val="00231360"/>
    <w:rsid w:val="00231773"/>
    <w:rsid w:val="00233561"/>
    <w:rsid w:val="0023431E"/>
    <w:rsid w:val="002356F8"/>
    <w:rsid w:val="00235742"/>
    <w:rsid w:val="0023644D"/>
    <w:rsid w:val="002366C4"/>
    <w:rsid w:val="00240102"/>
    <w:rsid w:val="00240468"/>
    <w:rsid w:val="00240558"/>
    <w:rsid w:val="00241832"/>
    <w:rsid w:val="0024383D"/>
    <w:rsid w:val="00243B9D"/>
    <w:rsid w:val="00243F56"/>
    <w:rsid w:val="0024415A"/>
    <w:rsid w:val="00244D46"/>
    <w:rsid w:val="00246527"/>
    <w:rsid w:val="00246DC0"/>
    <w:rsid w:val="00247CE5"/>
    <w:rsid w:val="0025030F"/>
    <w:rsid w:val="002504AD"/>
    <w:rsid w:val="002515E6"/>
    <w:rsid w:val="00251B94"/>
    <w:rsid w:val="00257B03"/>
    <w:rsid w:val="00257BB8"/>
    <w:rsid w:val="0026062D"/>
    <w:rsid w:val="00261EBA"/>
    <w:rsid w:val="002651CE"/>
    <w:rsid w:val="0026654F"/>
    <w:rsid w:val="002667D9"/>
    <w:rsid w:val="002668C6"/>
    <w:rsid w:val="00266BBF"/>
    <w:rsid w:val="00266C1D"/>
    <w:rsid w:val="00267598"/>
    <w:rsid w:val="0027013C"/>
    <w:rsid w:val="002701B4"/>
    <w:rsid w:val="002706E0"/>
    <w:rsid w:val="00270F2B"/>
    <w:rsid w:val="00271FD2"/>
    <w:rsid w:val="00272577"/>
    <w:rsid w:val="002744AD"/>
    <w:rsid w:val="00274653"/>
    <w:rsid w:val="0027492E"/>
    <w:rsid w:val="00275529"/>
    <w:rsid w:val="00276035"/>
    <w:rsid w:val="00276208"/>
    <w:rsid w:val="0028042D"/>
    <w:rsid w:val="002805F3"/>
    <w:rsid w:val="00280F13"/>
    <w:rsid w:val="0028108D"/>
    <w:rsid w:val="00281258"/>
    <w:rsid w:val="002820D5"/>
    <w:rsid w:val="00282BD4"/>
    <w:rsid w:val="00283446"/>
    <w:rsid w:val="002865CC"/>
    <w:rsid w:val="002903F0"/>
    <w:rsid w:val="002923E7"/>
    <w:rsid w:val="00292740"/>
    <w:rsid w:val="00293B00"/>
    <w:rsid w:val="0029648D"/>
    <w:rsid w:val="00296E61"/>
    <w:rsid w:val="002A03CC"/>
    <w:rsid w:val="002A0CC0"/>
    <w:rsid w:val="002A1950"/>
    <w:rsid w:val="002A2BB9"/>
    <w:rsid w:val="002A4865"/>
    <w:rsid w:val="002A5322"/>
    <w:rsid w:val="002A7F16"/>
    <w:rsid w:val="002B1799"/>
    <w:rsid w:val="002B3C37"/>
    <w:rsid w:val="002B3E3B"/>
    <w:rsid w:val="002B565E"/>
    <w:rsid w:val="002B6177"/>
    <w:rsid w:val="002B62B8"/>
    <w:rsid w:val="002B7ED3"/>
    <w:rsid w:val="002C1404"/>
    <w:rsid w:val="002C20F9"/>
    <w:rsid w:val="002C2300"/>
    <w:rsid w:val="002C44D4"/>
    <w:rsid w:val="002D12C6"/>
    <w:rsid w:val="002D2514"/>
    <w:rsid w:val="002D3984"/>
    <w:rsid w:val="002D4848"/>
    <w:rsid w:val="002D5C10"/>
    <w:rsid w:val="002D633E"/>
    <w:rsid w:val="002D775C"/>
    <w:rsid w:val="002E04D0"/>
    <w:rsid w:val="002E173F"/>
    <w:rsid w:val="002E2174"/>
    <w:rsid w:val="002E2F10"/>
    <w:rsid w:val="002E58C4"/>
    <w:rsid w:val="002E593F"/>
    <w:rsid w:val="002E709F"/>
    <w:rsid w:val="002E72AE"/>
    <w:rsid w:val="002E7426"/>
    <w:rsid w:val="002E76A0"/>
    <w:rsid w:val="002F06B5"/>
    <w:rsid w:val="002F3559"/>
    <w:rsid w:val="002F48CB"/>
    <w:rsid w:val="002F5D4D"/>
    <w:rsid w:val="002F61FA"/>
    <w:rsid w:val="002F6691"/>
    <w:rsid w:val="002F7178"/>
    <w:rsid w:val="00300690"/>
    <w:rsid w:val="00302B39"/>
    <w:rsid w:val="003046FF"/>
    <w:rsid w:val="0030506D"/>
    <w:rsid w:val="003054F9"/>
    <w:rsid w:val="003065F2"/>
    <w:rsid w:val="003076D5"/>
    <w:rsid w:val="003100F8"/>
    <w:rsid w:val="003103C5"/>
    <w:rsid w:val="0031054F"/>
    <w:rsid w:val="00310596"/>
    <w:rsid w:val="00311171"/>
    <w:rsid w:val="0031351F"/>
    <w:rsid w:val="0031419A"/>
    <w:rsid w:val="00314C51"/>
    <w:rsid w:val="00322246"/>
    <w:rsid w:val="003232EB"/>
    <w:rsid w:val="00324392"/>
    <w:rsid w:val="00324490"/>
    <w:rsid w:val="003258E4"/>
    <w:rsid w:val="00325994"/>
    <w:rsid w:val="00326D51"/>
    <w:rsid w:val="00326E31"/>
    <w:rsid w:val="00327E3E"/>
    <w:rsid w:val="00327F44"/>
    <w:rsid w:val="00330DD5"/>
    <w:rsid w:val="00330EBF"/>
    <w:rsid w:val="00331B1E"/>
    <w:rsid w:val="00331D76"/>
    <w:rsid w:val="00331D7A"/>
    <w:rsid w:val="00332103"/>
    <w:rsid w:val="00332CAD"/>
    <w:rsid w:val="00333124"/>
    <w:rsid w:val="0033698E"/>
    <w:rsid w:val="003371DD"/>
    <w:rsid w:val="003404FE"/>
    <w:rsid w:val="00341FA5"/>
    <w:rsid w:val="003429AA"/>
    <w:rsid w:val="00344C79"/>
    <w:rsid w:val="0034641D"/>
    <w:rsid w:val="00347740"/>
    <w:rsid w:val="00347D98"/>
    <w:rsid w:val="00351498"/>
    <w:rsid w:val="00352F8C"/>
    <w:rsid w:val="00353051"/>
    <w:rsid w:val="0035339F"/>
    <w:rsid w:val="003557B6"/>
    <w:rsid w:val="00356651"/>
    <w:rsid w:val="00360535"/>
    <w:rsid w:val="00361B23"/>
    <w:rsid w:val="00362106"/>
    <w:rsid w:val="0036316A"/>
    <w:rsid w:val="003633F6"/>
    <w:rsid w:val="00363A47"/>
    <w:rsid w:val="003641CA"/>
    <w:rsid w:val="00364D27"/>
    <w:rsid w:val="00365C51"/>
    <w:rsid w:val="00370020"/>
    <w:rsid w:val="00370D80"/>
    <w:rsid w:val="00371100"/>
    <w:rsid w:val="0037180E"/>
    <w:rsid w:val="003720CF"/>
    <w:rsid w:val="00372196"/>
    <w:rsid w:val="0037293D"/>
    <w:rsid w:val="003732CB"/>
    <w:rsid w:val="00374C02"/>
    <w:rsid w:val="003755F2"/>
    <w:rsid w:val="00375DB0"/>
    <w:rsid w:val="00376D8C"/>
    <w:rsid w:val="00377676"/>
    <w:rsid w:val="00381781"/>
    <w:rsid w:val="003817C2"/>
    <w:rsid w:val="00381A5E"/>
    <w:rsid w:val="00383427"/>
    <w:rsid w:val="0038379D"/>
    <w:rsid w:val="0038450C"/>
    <w:rsid w:val="003853F4"/>
    <w:rsid w:val="00385B22"/>
    <w:rsid w:val="00386C6A"/>
    <w:rsid w:val="00387080"/>
    <w:rsid w:val="00387FA4"/>
    <w:rsid w:val="003912A1"/>
    <w:rsid w:val="00392D00"/>
    <w:rsid w:val="00392D0F"/>
    <w:rsid w:val="0039313B"/>
    <w:rsid w:val="00393828"/>
    <w:rsid w:val="00393E7F"/>
    <w:rsid w:val="0039595E"/>
    <w:rsid w:val="00395B26"/>
    <w:rsid w:val="00396A1A"/>
    <w:rsid w:val="0039704E"/>
    <w:rsid w:val="003A32AE"/>
    <w:rsid w:val="003A700F"/>
    <w:rsid w:val="003A7627"/>
    <w:rsid w:val="003B03F4"/>
    <w:rsid w:val="003B0444"/>
    <w:rsid w:val="003B12F6"/>
    <w:rsid w:val="003B23C2"/>
    <w:rsid w:val="003B276F"/>
    <w:rsid w:val="003B7303"/>
    <w:rsid w:val="003B76DC"/>
    <w:rsid w:val="003C1455"/>
    <w:rsid w:val="003C2E6B"/>
    <w:rsid w:val="003C362D"/>
    <w:rsid w:val="003C73D4"/>
    <w:rsid w:val="003C7FC9"/>
    <w:rsid w:val="003D0332"/>
    <w:rsid w:val="003D0929"/>
    <w:rsid w:val="003D0F7F"/>
    <w:rsid w:val="003D1EF2"/>
    <w:rsid w:val="003D41D5"/>
    <w:rsid w:val="003D5D34"/>
    <w:rsid w:val="003D6159"/>
    <w:rsid w:val="003D68BF"/>
    <w:rsid w:val="003D7B63"/>
    <w:rsid w:val="003D7C56"/>
    <w:rsid w:val="003E18F0"/>
    <w:rsid w:val="003E2DDC"/>
    <w:rsid w:val="003E328B"/>
    <w:rsid w:val="003E3B1B"/>
    <w:rsid w:val="003E4D8F"/>
    <w:rsid w:val="003E568A"/>
    <w:rsid w:val="003E7AB3"/>
    <w:rsid w:val="003E7AE2"/>
    <w:rsid w:val="003F0C74"/>
    <w:rsid w:val="003F0EAD"/>
    <w:rsid w:val="003F0EF9"/>
    <w:rsid w:val="003F18C9"/>
    <w:rsid w:val="003F34A8"/>
    <w:rsid w:val="003F38FF"/>
    <w:rsid w:val="003F5DDC"/>
    <w:rsid w:val="003F7A31"/>
    <w:rsid w:val="00401261"/>
    <w:rsid w:val="00402176"/>
    <w:rsid w:val="00402518"/>
    <w:rsid w:val="004031C3"/>
    <w:rsid w:val="00403529"/>
    <w:rsid w:val="00405334"/>
    <w:rsid w:val="004059AB"/>
    <w:rsid w:val="00405C61"/>
    <w:rsid w:val="00405CD3"/>
    <w:rsid w:val="004079CD"/>
    <w:rsid w:val="0041093A"/>
    <w:rsid w:val="004111F9"/>
    <w:rsid w:val="00411FAC"/>
    <w:rsid w:val="00412336"/>
    <w:rsid w:val="00415C48"/>
    <w:rsid w:val="00417392"/>
    <w:rsid w:val="0041765F"/>
    <w:rsid w:val="00417E8B"/>
    <w:rsid w:val="00421005"/>
    <w:rsid w:val="004211EC"/>
    <w:rsid w:val="004216B4"/>
    <w:rsid w:val="004230D2"/>
    <w:rsid w:val="00423627"/>
    <w:rsid w:val="00423AFC"/>
    <w:rsid w:val="00424B75"/>
    <w:rsid w:val="00425FAB"/>
    <w:rsid w:val="00426713"/>
    <w:rsid w:val="00426D32"/>
    <w:rsid w:val="00431163"/>
    <w:rsid w:val="00431D04"/>
    <w:rsid w:val="00431FD2"/>
    <w:rsid w:val="00432F41"/>
    <w:rsid w:val="00434528"/>
    <w:rsid w:val="00434861"/>
    <w:rsid w:val="004351BE"/>
    <w:rsid w:val="004354D2"/>
    <w:rsid w:val="00437D1C"/>
    <w:rsid w:val="004411DA"/>
    <w:rsid w:val="00441302"/>
    <w:rsid w:val="00441964"/>
    <w:rsid w:val="00442141"/>
    <w:rsid w:val="0044435A"/>
    <w:rsid w:val="004459FE"/>
    <w:rsid w:val="00446379"/>
    <w:rsid w:val="004467E9"/>
    <w:rsid w:val="00447207"/>
    <w:rsid w:val="00450854"/>
    <w:rsid w:val="00455A4B"/>
    <w:rsid w:val="00455EE6"/>
    <w:rsid w:val="004564D7"/>
    <w:rsid w:val="0045726E"/>
    <w:rsid w:val="004579D0"/>
    <w:rsid w:val="00457C9F"/>
    <w:rsid w:val="00460C1E"/>
    <w:rsid w:val="00460D94"/>
    <w:rsid w:val="004615CA"/>
    <w:rsid w:val="004622D3"/>
    <w:rsid w:val="00462356"/>
    <w:rsid w:val="0046288F"/>
    <w:rsid w:val="00463303"/>
    <w:rsid w:val="00463BDD"/>
    <w:rsid w:val="0046402A"/>
    <w:rsid w:val="00464580"/>
    <w:rsid w:val="004656C7"/>
    <w:rsid w:val="004659BD"/>
    <w:rsid w:val="0046667C"/>
    <w:rsid w:val="00467A6A"/>
    <w:rsid w:val="00467A95"/>
    <w:rsid w:val="00467E58"/>
    <w:rsid w:val="004711E8"/>
    <w:rsid w:val="004722FF"/>
    <w:rsid w:val="00473FCF"/>
    <w:rsid w:val="004766B9"/>
    <w:rsid w:val="0047742D"/>
    <w:rsid w:val="00477DDD"/>
    <w:rsid w:val="00480117"/>
    <w:rsid w:val="00482F4F"/>
    <w:rsid w:val="0048489C"/>
    <w:rsid w:val="00485017"/>
    <w:rsid w:val="00487789"/>
    <w:rsid w:val="0049045D"/>
    <w:rsid w:val="004907BB"/>
    <w:rsid w:val="00490D07"/>
    <w:rsid w:val="00491AF9"/>
    <w:rsid w:val="00491E7B"/>
    <w:rsid w:val="004930FA"/>
    <w:rsid w:val="00493A60"/>
    <w:rsid w:val="00494435"/>
    <w:rsid w:val="00496834"/>
    <w:rsid w:val="004A1C25"/>
    <w:rsid w:val="004A4421"/>
    <w:rsid w:val="004A4832"/>
    <w:rsid w:val="004A487E"/>
    <w:rsid w:val="004A4C93"/>
    <w:rsid w:val="004A6939"/>
    <w:rsid w:val="004A6CF0"/>
    <w:rsid w:val="004A7987"/>
    <w:rsid w:val="004A7A78"/>
    <w:rsid w:val="004B05FD"/>
    <w:rsid w:val="004B08DC"/>
    <w:rsid w:val="004B0ABA"/>
    <w:rsid w:val="004B22A2"/>
    <w:rsid w:val="004B42D2"/>
    <w:rsid w:val="004B5445"/>
    <w:rsid w:val="004B62F7"/>
    <w:rsid w:val="004C09F5"/>
    <w:rsid w:val="004C0DA8"/>
    <w:rsid w:val="004C30B0"/>
    <w:rsid w:val="004C35B8"/>
    <w:rsid w:val="004D0BA4"/>
    <w:rsid w:val="004D168A"/>
    <w:rsid w:val="004D26FE"/>
    <w:rsid w:val="004D27BB"/>
    <w:rsid w:val="004D31C0"/>
    <w:rsid w:val="004D41A9"/>
    <w:rsid w:val="004D44DF"/>
    <w:rsid w:val="004D5735"/>
    <w:rsid w:val="004D5FE0"/>
    <w:rsid w:val="004D7807"/>
    <w:rsid w:val="004D7B39"/>
    <w:rsid w:val="004D7D99"/>
    <w:rsid w:val="004E0938"/>
    <w:rsid w:val="004E3AAB"/>
    <w:rsid w:val="004E3E56"/>
    <w:rsid w:val="004E6B09"/>
    <w:rsid w:val="004E7329"/>
    <w:rsid w:val="004E7E3A"/>
    <w:rsid w:val="004F0530"/>
    <w:rsid w:val="004F19A1"/>
    <w:rsid w:val="004F39A9"/>
    <w:rsid w:val="004F3E13"/>
    <w:rsid w:val="004F5E83"/>
    <w:rsid w:val="004F6066"/>
    <w:rsid w:val="004F6CE1"/>
    <w:rsid w:val="004F6FD5"/>
    <w:rsid w:val="0050024A"/>
    <w:rsid w:val="005009FF"/>
    <w:rsid w:val="00500ACF"/>
    <w:rsid w:val="00502A12"/>
    <w:rsid w:val="0050310C"/>
    <w:rsid w:val="005041C3"/>
    <w:rsid w:val="0050511B"/>
    <w:rsid w:val="00505241"/>
    <w:rsid w:val="00505565"/>
    <w:rsid w:val="00507F96"/>
    <w:rsid w:val="00510BAE"/>
    <w:rsid w:val="00512F41"/>
    <w:rsid w:val="005136BA"/>
    <w:rsid w:val="005137CD"/>
    <w:rsid w:val="00513A46"/>
    <w:rsid w:val="005155EE"/>
    <w:rsid w:val="00516FCA"/>
    <w:rsid w:val="0051723E"/>
    <w:rsid w:val="005175E9"/>
    <w:rsid w:val="005179F0"/>
    <w:rsid w:val="005202AC"/>
    <w:rsid w:val="00520460"/>
    <w:rsid w:val="005207DA"/>
    <w:rsid w:val="00522870"/>
    <w:rsid w:val="00524327"/>
    <w:rsid w:val="00524658"/>
    <w:rsid w:val="00525ABF"/>
    <w:rsid w:val="00526DBF"/>
    <w:rsid w:val="005279C6"/>
    <w:rsid w:val="00527EB2"/>
    <w:rsid w:val="0053020D"/>
    <w:rsid w:val="00530664"/>
    <w:rsid w:val="00530D15"/>
    <w:rsid w:val="00532F96"/>
    <w:rsid w:val="00533CCB"/>
    <w:rsid w:val="00536005"/>
    <w:rsid w:val="00536F14"/>
    <w:rsid w:val="00537555"/>
    <w:rsid w:val="00540422"/>
    <w:rsid w:val="005410EA"/>
    <w:rsid w:val="00541CB3"/>
    <w:rsid w:val="00542893"/>
    <w:rsid w:val="00543264"/>
    <w:rsid w:val="005434E1"/>
    <w:rsid w:val="00546D4F"/>
    <w:rsid w:val="00550BF9"/>
    <w:rsid w:val="005518E1"/>
    <w:rsid w:val="00555534"/>
    <w:rsid w:val="00555F95"/>
    <w:rsid w:val="00556E8D"/>
    <w:rsid w:val="0056003A"/>
    <w:rsid w:val="0056016C"/>
    <w:rsid w:val="0056033D"/>
    <w:rsid w:val="005617CB"/>
    <w:rsid w:val="00563D21"/>
    <w:rsid w:val="00564456"/>
    <w:rsid w:val="00565A4D"/>
    <w:rsid w:val="00566222"/>
    <w:rsid w:val="00570756"/>
    <w:rsid w:val="00570C99"/>
    <w:rsid w:val="00570DAD"/>
    <w:rsid w:val="005719D3"/>
    <w:rsid w:val="00571B06"/>
    <w:rsid w:val="005726DE"/>
    <w:rsid w:val="0057278C"/>
    <w:rsid w:val="00572977"/>
    <w:rsid w:val="00572A5D"/>
    <w:rsid w:val="00572DC6"/>
    <w:rsid w:val="00574204"/>
    <w:rsid w:val="0057473F"/>
    <w:rsid w:val="00576B8E"/>
    <w:rsid w:val="00576E4C"/>
    <w:rsid w:val="005776FA"/>
    <w:rsid w:val="00580089"/>
    <w:rsid w:val="005809D9"/>
    <w:rsid w:val="00581E09"/>
    <w:rsid w:val="005823A7"/>
    <w:rsid w:val="0058272F"/>
    <w:rsid w:val="00582A5B"/>
    <w:rsid w:val="0058445A"/>
    <w:rsid w:val="00585E3E"/>
    <w:rsid w:val="00586F6A"/>
    <w:rsid w:val="00587EBB"/>
    <w:rsid w:val="0059208E"/>
    <w:rsid w:val="0059306E"/>
    <w:rsid w:val="00593407"/>
    <w:rsid w:val="00593A12"/>
    <w:rsid w:val="00593A3C"/>
    <w:rsid w:val="00593D10"/>
    <w:rsid w:val="00594A96"/>
    <w:rsid w:val="00594C6F"/>
    <w:rsid w:val="00594D13"/>
    <w:rsid w:val="00595CCB"/>
    <w:rsid w:val="005969F7"/>
    <w:rsid w:val="00597044"/>
    <w:rsid w:val="00597A9A"/>
    <w:rsid w:val="00597CAA"/>
    <w:rsid w:val="005A000A"/>
    <w:rsid w:val="005A03E2"/>
    <w:rsid w:val="005A0A4A"/>
    <w:rsid w:val="005A2DD8"/>
    <w:rsid w:val="005A3E43"/>
    <w:rsid w:val="005A4967"/>
    <w:rsid w:val="005A532E"/>
    <w:rsid w:val="005A54CD"/>
    <w:rsid w:val="005A66F4"/>
    <w:rsid w:val="005B13E5"/>
    <w:rsid w:val="005B1EAF"/>
    <w:rsid w:val="005B2828"/>
    <w:rsid w:val="005B46CF"/>
    <w:rsid w:val="005B56CC"/>
    <w:rsid w:val="005B747F"/>
    <w:rsid w:val="005B75B3"/>
    <w:rsid w:val="005C04AC"/>
    <w:rsid w:val="005C34F1"/>
    <w:rsid w:val="005C4209"/>
    <w:rsid w:val="005C479C"/>
    <w:rsid w:val="005C5306"/>
    <w:rsid w:val="005C5DA7"/>
    <w:rsid w:val="005C7B30"/>
    <w:rsid w:val="005D18F6"/>
    <w:rsid w:val="005D2871"/>
    <w:rsid w:val="005D2EE2"/>
    <w:rsid w:val="005D3352"/>
    <w:rsid w:val="005D3E41"/>
    <w:rsid w:val="005D3EEF"/>
    <w:rsid w:val="005D485D"/>
    <w:rsid w:val="005E020D"/>
    <w:rsid w:val="005E06D8"/>
    <w:rsid w:val="005E07E1"/>
    <w:rsid w:val="005E0D03"/>
    <w:rsid w:val="005E14AA"/>
    <w:rsid w:val="005E1D4E"/>
    <w:rsid w:val="005E1D7A"/>
    <w:rsid w:val="005E1F89"/>
    <w:rsid w:val="005E27FB"/>
    <w:rsid w:val="005E28CB"/>
    <w:rsid w:val="005E336D"/>
    <w:rsid w:val="005E62EE"/>
    <w:rsid w:val="005E7315"/>
    <w:rsid w:val="005E7A37"/>
    <w:rsid w:val="005F026C"/>
    <w:rsid w:val="005F1702"/>
    <w:rsid w:val="005F1864"/>
    <w:rsid w:val="005F1E98"/>
    <w:rsid w:val="005F224E"/>
    <w:rsid w:val="005F2B24"/>
    <w:rsid w:val="005F4179"/>
    <w:rsid w:val="005F41B6"/>
    <w:rsid w:val="005F475E"/>
    <w:rsid w:val="005F636E"/>
    <w:rsid w:val="006007A4"/>
    <w:rsid w:val="00601A31"/>
    <w:rsid w:val="00601B05"/>
    <w:rsid w:val="00601E17"/>
    <w:rsid w:val="00602056"/>
    <w:rsid w:val="00602104"/>
    <w:rsid w:val="006028FE"/>
    <w:rsid w:val="00604D3B"/>
    <w:rsid w:val="00604E13"/>
    <w:rsid w:val="00605567"/>
    <w:rsid w:val="00606492"/>
    <w:rsid w:val="00606B52"/>
    <w:rsid w:val="006113EB"/>
    <w:rsid w:val="00612117"/>
    <w:rsid w:val="00612390"/>
    <w:rsid w:val="00612694"/>
    <w:rsid w:val="00612E61"/>
    <w:rsid w:val="0061322B"/>
    <w:rsid w:val="00613573"/>
    <w:rsid w:val="00613CE2"/>
    <w:rsid w:val="0061449B"/>
    <w:rsid w:val="0061484C"/>
    <w:rsid w:val="00615251"/>
    <w:rsid w:val="006166CF"/>
    <w:rsid w:val="006167E6"/>
    <w:rsid w:val="0061779F"/>
    <w:rsid w:val="006211FA"/>
    <w:rsid w:val="00622A93"/>
    <w:rsid w:val="0062418B"/>
    <w:rsid w:val="00625130"/>
    <w:rsid w:val="0062543C"/>
    <w:rsid w:val="00625A5A"/>
    <w:rsid w:val="00625F46"/>
    <w:rsid w:val="006266F1"/>
    <w:rsid w:val="006274C7"/>
    <w:rsid w:val="006301E8"/>
    <w:rsid w:val="00630A09"/>
    <w:rsid w:val="00630B46"/>
    <w:rsid w:val="006313ED"/>
    <w:rsid w:val="00631D6B"/>
    <w:rsid w:val="00632011"/>
    <w:rsid w:val="00633064"/>
    <w:rsid w:val="0063561D"/>
    <w:rsid w:val="0063697F"/>
    <w:rsid w:val="00637228"/>
    <w:rsid w:val="00641687"/>
    <w:rsid w:val="00641A0F"/>
    <w:rsid w:val="00642876"/>
    <w:rsid w:val="0064411D"/>
    <w:rsid w:val="00645D03"/>
    <w:rsid w:val="006470D5"/>
    <w:rsid w:val="00647A1A"/>
    <w:rsid w:val="0065121D"/>
    <w:rsid w:val="00651693"/>
    <w:rsid w:val="00651D74"/>
    <w:rsid w:val="00653286"/>
    <w:rsid w:val="00653D86"/>
    <w:rsid w:val="00656991"/>
    <w:rsid w:val="006574C1"/>
    <w:rsid w:val="006600D4"/>
    <w:rsid w:val="00660607"/>
    <w:rsid w:val="0066089A"/>
    <w:rsid w:val="00660B14"/>
    <w:rsid w:val="00660CE6"/>
    <w:rsid w:val="00661E4E"/>
    <w:rsid w:val="00662754"/>
    <w:rsid w:val="00662C33"/>
    <w:rsid w:val="006632AF"/>
    <w:rsid w:val="006636ED"/>
    <w:rsid w:val="006642AD"/>
    <w:rsid w:val="00664AC1"/>
    <w:rsid w:val="006657DE"/>
    <w:rsid w:val="006665D1"/>
    <w:rsid w:val="006672BE"/>
    <w:rsid w:val="00667AC7"/>
    <w:rsid w:val="00670B32"/>
    <w:rsid w:val="00670C22"/>
    <w:rsid w:val="00671E97"/>
    <w:rsid w:val="006725E5"/>
    <w:rsid w:val="00672848"/>
    <w:rsid w:val="00672F78"/>
    <w:rsid w:val="00673903"/>
    <w:rsid w:val="00674AB3"/>
    <w:rsid w:val="00675448"/>
    <w:rsid w:val="00675BC3"/>
    <w:rsid w:val="00676C4B"/>
    <w:rsid w:val="00683798"/>
    <w:rsid w:val="00684BCF"/>
    <w:rsid w:val="00684BF7"/>
    <w:rsid w:val="00686400"/>
    <w:rsid w:val="00687F3C"/>
    <w:rsid w:val="006927F5"/>
    <w:rsid w:val="00693436"/>
    <w:rsid w:val="0069547A"/>
    <w:rsid w:val="0069556F"/>
    <w:rsid w:val="00695BD7"/>
    <w:rsid w:val="006963DB"/>
    <w:rsid w:val="006A0BEB"/>
    <w:rsid w:val="006A10BF"/>
    <w:rsid w:val="006A1643"/>
    <w:rsid w:val="006A1724"/>
    <w:rsid w:val="006A2B41"/>
    <w:rsid w:val="006A2F0F"/>
    <w:rsid w:val="006A4DBE"/>
    <w:rsid w:val="006A5F4A"/>
    <w:rsid w:val="006A6B81"/>
    <w:rsid w:val="006A7FC7"/>
    <w:rsid w:val="006B0453"/>
    <w:rsid w:val="006B1038"/>
    <w:rsid w:val="006B269B"/>
    <w:rsid w:val="006B3423"/>
    <w:rsid w:val="006B4A9B"/>
    <w:rsid w:val="006B5ED7"/>
    <w:rsid w:val="006B66E7"/>
    <w:rsid w:val="006C0063"/>
    <w:rsid w:val="006C1636"/>
    <w:rsid w:val="006C45BE"/>
    <w:rsid w:val="006C5003"/>
    <w:rsid w:val="006C5213"/>
    <w:rsid w:val="006C6A9C"/>
    <w:rsid w:val="006D017F"/>
    <w:rsid w:val="006D16A0"/>
    <w:rsid w:val="006D21F2"/>
    <w:rsid w:val="006D437F"/>
    <w:rsid w:val="006D459E"/>
    <w:rsid w:val="006D472B"/>
    <w:rsid w:val="006D4C64"/>
    <w:rsid w:val="006D59CE"/>
    <w:rsid w:val="006D5EEF"/>
    <w:rsid w:val="006D7A0C"/>
    <w:rsid w:val="006E17D9"/>
    <w:rsid w:val="006E1A79"/>
    <w:rsid w:val="006E1CAB"/>
    <w:rsid w:val="006E2E54"/>
    <w:rsid w:val="006E3443"/>
    <w:rsid w:val="006E3B44"/>
    <w:rsid w:val="006E789A"/>
    <w:rsid w:val="006E7AE6"/>
    <w:rsid w:val="006F016F"/>
    <w:rsid w:val="006F0616"/>
    <w:rsid w:val="006F0880"/>
    <w:rsid w:val="006F2C89"/>
    <w:rsid w:val="006F3C46"/>
    <w:rsid w:val="006F53CE"/>
    <w:rsid w:val="006F5D3D"/>
    <w:rsid w:val="006F64B8"/>
    <w:rsid w:val="006F6C3A"/>
    <w:rsid w:val="006F6EBA"/>
    <w:rsid w:val="007007D0"/>
    <w:rsid w:val="00700B58"/>
    <w:rsid w:val="007018DF"/>
    <w:rsid w:val="0070277D"/>
    <w:rsid w:val="00703FE2"/>
    <w:rsid w:val="007104C1"/>
    <w:rsid w:val="0071204E"/>
    <w:rsid w:val="0071446C"/>
    <w:rsid w:val="007158B0"/>
    <w:rsid w:val="00715F0E"/>
    <w:rsid w:val="007166D4"/>
    <w:rsid w:val="0071723A"/>
    <w:rsid w:val="007216F8"/>
    <w:rsid w:val="00721837"/>
    <w:rsid w:val="0072249E"/>
    <w:rsid w:val="007236BC"/>
    <w:rsid w:val="00723B07"/>
    <w:rsid w:val="00725154"/>
    <w:rsid w:val="0072520F"/>
    <w:rsid w:val="0072581F"/>
    <w:rsid w:val="007260A8"/>
    <w:rsid w:val="00727823"/>
    <w:rsid w:val="007279C0"/>
    <w:rsid w:val="007305BE"/>
    <w:rsid w:val="00730CF7"/>
    <w:rsid w:val="0073113E"/>
    <w:rsid w:val="00733A96"/>
    <w:rsid w:val="00735D2E"/>
    <w:rsid w:val="00736F96"/>
    <w:rsid w:val="0073771C"/>
    <w:rsid w:val="00740590"/>
    <w:rsid w:val="007409C6"/>
    <w:rsid w:val="00741C44"/>
    <w:rsid w:val="00741D52"/>
    <w:rsid w:val="00744D26"/>
    <w:rsid w:val="00746DBD"/>
    <w:rsid w:val="00750212"/>
    <w:rsid w:val="00750A3C"/>
    <w:rsid w:val="00750AF9"/>
    <w:rsid w:val="007538B4"/>
    <w:rsid w:val="0075435F"/>
    <w:rsid w:val="00754579"/>
    <w:rsid w:val="00755AED"/>
    <w:rsid w:val="00755CF7"/>
    <w:rsid w:val="007568DF"/>
    <w:rsid w:val="00757845"/>
    <w:rsid w:val="00760FAB"/>
    <w:rsid w:val="00761EAE"/>
    <w:rsid w:val="007623CD"/>
    <w:rsid w:val="00762B38"/>
    <w:rsid w:val="007642F3"/>
    <w:rsid w:val="00766C40"/>
    <w:rsid w:val="007672DA"/>
    <w:rsid w:val="0077064A"/>
    <w:rsid w:val="00771C8E"/>
    <w:rsid w:val="00771EB3"/>
    <w:rsid w:val="00773832"/>
    <w:rsid w:val="007753CC"/>
    <w:rsid w:val="007763E2"/>
    <w:rsid w:val="007804CF"/>
    <w:rsid w:val="00780D84"/>
    <w:rsid w:val="00782110"/>
    <w:rsid w:val="00782234"/>
    <w:rsid w:val="0078324D"/>
    <w:rsid w:val="007835CB"/>
    <w:rsid w:val="007842F8"/>
    <w:rsid w:val="00784852"/>
    <w:rsid w:val="00784D45"/>
    <w:rsid w:val="00785F29"/>
    <w:rsid w:val="007863A2"/>
    <w:rsid w:val="007866BD"/>
    <w:rsid w:val="00786877"/>
    <w:rsid w:val="00787416"/>
    <w:rsid w:val="0078789A"/>
    <w:rsid w:val="00790A86"/>
    <w:rsid w:val="00792D9D"/>
    <w:rsid w:val="00794C16"/>
    <w:rsid w:val="00795D0B"/>
    <w:rsid w:val="00795D74"/>
    <w:rsid w:val="007A20B4"/>
    <w:rsid w:val="007A22FF"/>
    <w:rsid w:val="007A3DC6"/>
    <w:rsid w:val="007A6DD3"/>
    <w:rsid w:val="007A6F5D"/>
    <w:rsid w:val="007A7304"/>
    <w:rsid w:val="007A75AA"/>
    <w:rsid w:val="007B0291"/>
    <w:rsid w:val="007B5154"/>
    <w:rsid w:val="007B547B"/>
    <w:rsid w:val="007B7031"/>
    <w:rsid w:val="007C0151"/>
    <w:rsid w:val="007C0728"/>
    <w:rsid w:val="007C0D74"/>
    <w:rsid w:val="007C2054"/>
    <w:rsid w:val="007C242D"/>
    <w:rsid w:val="007C2697"/>
    <w:rsid w:val="007C38B4"/>
    <w:rsid w:val="007C6736"/>
    <w:rsid w:val="007C6C51"/>
    <w:rsid w:val="007D1608"/>
    <w:rsid w:val="007D22A8"/>
    <w:rsid w:val="007D2E8A"/>
    <w:rsid w:val="007D2EFC"/>
    <w:rsid w:val="007D3051"/>
    <w:rsid w:val="007D3B50"/>
    <w:rsid w:val="007D5F18"/>
    <w:rsid w:val="007D606D"/>
    <w:rsid w:val="007D665E"/>
    <w:rsid w:val="007D7103"/>
    <w:rsid w:val="007D7A1A"/>
    <w:rsid w:val="007E2119"/>
    <w:rsid w:val="007E28CA"/>
    <w:rsid w:val="007E3A33"/>
    <w:rsid w:val="007E3CF2"/>
    <w:rsid w:val="007E4645"/>
    <w:rsid w:val="007E47EC"/>
    <w:rsid w:val="007E50FE"/>
    <w:rsid w:val="007E6263"/>
    <w:rsid w:val="007E6BC9"/>
    <w:rsid w:val="007E7BAC"/>
    <w:rsid w:val="007E7CE0"/>
    <w:rsid w:val="007F005F"/>
    <w:rsid w:val="007F0258"/>
    <w:rsid w:val="007F0F31"/>
    <w:rsid w:val="007F160D"/>
    <w:rsid w:val="007F285C"/>
    <w:rsid w:val="007F3DD2"/>
    <w:rsid w:val="007F400F"/>
    <w:rsid w:val="007F7246"/>
    <w:rsid w:val="007F7386"/>
    <w:rsid w:val="008003A7"/>
    <w:rsid w:val="0080075F"/>
    <w:rsid w:val="00803623"/>
    <w:rsid w:val="008047D4"/>
    <w:rsid w:val="00805AF9"/>
    <w:rsid w:val="00806CA7"/>
    <w:rsid w:val="00806CC5"/>
    <w:rsid w:val="00807340"/>
    <w:rsid w:val="00807E8F"/>
    <w:rsid w:val="00807F62"/>
    <w:rsid w:val="00811505"/>
    <w:rsid w:val="00811C5A"/>
    <w:rsid w:val="00811D15"/>
    <w:rsid w:val="00813EFA"/>
    <w:rsid w:val="00814115"/>
    <w:rsid w:val="008200E1"/>
    <w:rsid w:val="008205B5"/>
    <w:rsid w:val="008209E2"/>
    <w:rsid w:val="00823D3A"/>
    <w:rsid w:val="00823E7F"/>
    <w:rsid w:val="00824BFC"/>
    <w:rsid w:val="00824D7B"/>
    <w:rsid w:val="00824DAD"/>
    <w:rsid w:val="008268FE"/>
    <w:rsid w:val="00826CCC"/>
    <w:rsid w:val="00827067"/>
    <w:rsid w:val="008303A8"/>
    <w:rsid w:val="00831A71"/>
    <w:rsid w:val="00831B9B"/>
    <w:rsid w:val="008326BE"/>
    <w:rsid w:val="0083275E"/>
    <w:rsid w:val="00833272"/>
    <w:rsid w:val="008334BD"/>
    <w:rsid w:val="00834905"/>
    <w:rsid w:val="008356E7"/>
    <w:rsid w:val="00836A82"/>
    <w:rsid w:val="0083792D"/>
    <w:rsid w:val="0084297C"/>
    <w:rsid w:val="008431E7"/>
    <w:rsid w:val="00843DF0"/>
    <w:rsid w:val="008445E1"/>
    <w:rsid w:val="008450D8"/>
    <w:rsid w:val="008452F6"/>
    <w:rsid w:val="00846DE8"/>
    <w:rsid w:val="008502CA"/>
    <w:rsid w:val="00851701"/>
    <w:rsid w:val="0085264D"/>
    <w:rsid w:val="0085347C"/>
    <w:rsid w:val="00854826"/>
    <w:rsid w:val="00855672"/>
    <w:rsid w:val="008575CE"/>
    <w:rsid w:val="00857D3F"/>
    <w:rsid w:val="00857F5F"/>
    <w:rsid w:val="00860A0A"/>
    <w:rsid w:val="0086258D"/>
    <w:rsid w:val="00864741"/>
    <w:rsid w:val="008661CA"/>
    <w:rsid w:val="00866599"/>
    <w:rsid w:val="00866F17"/>
    <w:rsid w:val="00867012"/>
    <w:rsid w:val="008676E7"/>
    <w:rsid w:val="00867DF7"/>
    <w:rsid w:val="00870834"/>
    <w:rsid w:val="008709FE"/>
    <w:rsid w:val="00870ED8"/>
    <w:rsid w:val="00871070"/>
    <w:rsid w:val="008721B6"/>
    <w:rsid w:val="00872DF5"/>
    <w:rsid w:val="00873378"/>
    <w:rsid w:val="008733F3"/>
    <w:rsid w:val="008735AA"/>
    <w:rsid w:val="008738B6"/>
    <w:rsid w:val="00873988"/>
    <w:rsid w:val="008749B1"/>
    <w:rsid w:val="00875551"/>
    <w:rsid w:val="008761CF"/>
    <w:rsid w:val="00881978"/>
    <w:rsid w:val="0088198A"/>
    <w:rsid w:val="00881C15"/>
    <w:rsid w:val="00881EEF"/>
    <w:rsid w:val="00882523"/>
    <w:rsid w:val="00882C6F"/>
    <w:rsid w:val="00885DED"/>
    <w:rsid w:val="00886016"/>
    <w:rsid w:val="008862C5"/>
    <w:rsid w:val="00886F42"/>
    <w:rsid w:val="0089003D"/>
    <w:rsid w:val="008901AB"/>
    <w:rsid w:val="00890DDD"/>
    <w:rsid w:val="00891A15"/>
    <w:rsid w:val="00893A77"/>
    <w:rsid w:val="00895ADB"/>
    <w:rsid w:val="00897172"/>
    <w:rsid w:val="008976AE"/>
    <w:rsid w:val="008A0B8B"/>
    <w:rsid w:val="008A3231"/>
    <w:rsid w:val="008A3476"/>
    <w:rsid w:val="008A3A29"/>
    <w:rsid w:val="008A4BC8"/>
    <w:rsid w:val="008A5A26"/>
    <w:rsid w:val="008A5E58"/>
    <w:rsid w:val="008A6087"/>
    <w:rsid w:val="008B0E56"/>
    <w:rsid w:val="008B0F7E"/>
    <w:rsid w:val="008B1199"/>
    <w:rsid w:val="008B216B"/>
    <w:rsid w:val="008B37E8"/>
    <w:rsid w:val="008B3E8C"/>
    <w:rsid w:val="008B4040"/>
    <w:rsid w:val="008B4670"/>
    <w:rsid w:val="008B47CD"/>
    <w:rsid w:val="008B4889"/>
    <w:rsid w:val="008B4A29"/>
    <w:rsid w:val="008B6B3D"/>
    <w:rsid w:val="008B7123"/>
    <w:rsid w:val="008C00B7"/>
    <w:rsid w:val="008C04BE"/>
    <w:rsid w:val="008C07DD"/>
    <w:rsid w:val="008C253C"/>
    <w:rsid w:val="008C3525"/>
    <w:rsid w:val="008C4819"/>
    <w:rsid w:val="008C491C"/>
    <w:rsid w:val="008C5A9B"/>
    <w:rsid w:val="008C5CB6"/>
    <w:rsid w:val="008C636C"/>
    <w:rsid w:val="008C71FE"/>
    <w:rsid w:val="008D22CD"/>
    <w:rsid w:val="008D22E9"/>
    <w:rsid w:val="008D2778"/>
    <w:rsid w:val="008D2840"/>
    <w:rsid w:val="008D56E9"/>
    <w:rsid w:val="008D5DDB"/>
    <w:rsid w:val="008D6560"/>
    <w:rsid w:val="008D6ECD"/>
    <w:rsid w:val="008E0496"/>
    <w:rsid w:val="008E06F4"/>
    <w:rsid w:val="008E1214"/>
    <w:rsid w:val="008E1889"/>
    <w:rsid w:val="008E2138"/>
    <w:rsid w:val="008E30FC"/>
    <w:rsid w:val="008E4B38"/>
    <w:rsid w:val="008E4D4F"/>
    <w:rsid w:val="008E578A"/>
    <w:rsid w:val="008E6E99"/>
    <w:rsid w:val="008E74F9"/>
    <w:rsid w:val="008E77DB"/>
    <w:rsid w:val="008E7A21"/>
    <w:rsid w:val="008F0BB5"/>
    <w:rsid w:val="008F3F0B"/>
    <w:rsid w:val="00900E99"/>
    <w:rsid w:val="0090421B"/>
    <w:rsid w:val="0090422A"/>
    <w:rsid w:val="00905C0A"/>
    <w:rsid w:val="009074D7"/>
    <w:rsid w:val="0090750A"/>
    <w:rsid w:val="00907D29"/>
    <w:rsid w:val="009100D9"/>
    <w:rsid w:val="00910A0A"/>
    <w:rsid w:val="00911FC8"/>
    <w:rsid w:val="00914149"/>
    <w:rsid w:val="009143A9"/>
    <w:rsid w:val="00914BA6"/>
    <w:rsid w:val="00915E66"/>
    <w:rsid w:val="00917E8C"/>
    <w:rsid w:val="00920AA0"/>
    <w:rsid w:val="00920BA2"/>
    <w:rsid w:val="00923469"/>
    <w:rsid w:val="00926D1D"/>
    <w:rsid w:val="00927720"/>
    <w:rsid w:val="00927ABA"/>
    <w:rsid w:val="0093039A"/>
    <w:rsid w:val="009313E8"/>
    <w:rsid w:val="00932072"/>
    <w:rsid w:val="00932692"/>
    <w:rsid w:val="00935581"/>
    <w:rsid w:val="00935A38"/>
    <w:rsid w:val="00935B0A"/>
    <w:rsid w:val="00936BF9"/>
    <w:rsid w:val="00937610"/>
    <w:rsid w:val="009378E9"/>
    <w:rsid w:val="00940D0A"/>
    <w:rsid w:val="00942C98"/>
    <w:rsid w:val="00942E84"/>
    <w:rsid w:val="00943945"/>
    <w:rsid w:val="00944305"/>
    <w:rsid w:val="00944A2E"/>
    <w:rsid w:val="00944BB9"/>
    <w:rsid w:val="009452B2"/>
    <w:rsid w:val="0094550E"/>
    <w:rsid w:val="00945966"/>
    <w:rsid w:val="00950D5B"/>
    <w:rsid w:val="00951B9F"/>
    <w:rsid w:val="00953454"/>
    <w:rsid w:val="009541F8"/>
    <w:rsid w:val="009560A5"/>
    <w:rsid w:val="00957859"/>
    <w:rsid w:val="00957A91"/>
    <w:rsid w:val="009612C7"/>
    <w:rsid w:val="009616C9"/>
    <w:rsid w:val="00961F82"/>
    <w:rsid w:val="009623AF"/>
    <w:rsid w:val="00964915"/>
    <w:rsid w:val="00967D10"/>
    <w:rsid w:val="009712B8"/>
    <w:rsid w:val="009764D5"/>
    <w:rsid w:val="009768EA"/>
    <w:rsid w:val="00976E04"/>
    <w:rsid w:val="00977879"/>
    <w:rsid w:val="0098026A"/>
    <w:rsid w:val="00981A5B"/>
    <w:rsid w:val="0098225E"/>
    <w:rsid w:val="009822EF"/>
    <w:rsid w:val="00984173"/>
    <w:rsid w:val="00984268"/>
    <w:rsid w:val="00985080"/>
    <w:rsid w:val="0098573F"/>
    <w:rsid w:val="00985A21"/>
    <w:rsid w:val="00990549"/>
    <w:rsid w:val="00990B58"/>
    <w:rsid w:val="0099147A"/>
    <w:rsid w:val="009914DE"/>
    <w:rsid w:val="00992208"/>
    <w:rsid w:val="009922EE"/>
    <w:rsid w:val="00992C3D"/>
    <w:rsid w:val="00993186"/>
    <w:rsid w:val="0099795B"/>
    <w:rsid w:val="009A0520"/>
    <w:rsid w:val="009A063F"/>
    <w:rsid w:val="009A1041"/>
    <w:rsid w:val="009A1DB8"/>
    <w:rsid w:val="009A2B25"/>
    <w:rsid w:val="009A31A6"/>
    <w:rsid w:val="009A3630"/>
    <w:rsid w:val="009A3E55"/>
    <w:rsid w:val="009A42D9"/>
    <w:rsid w:val="009A463F"/>
    <w:rsid w:val="009A4DB4"/>
    <w:rsid w:val="009A537B"/>
    <w:rsid w:val="009A62AD"/>
    <w:rsid w:val="009B102D"/>
    <w:rsid w:val="009B39C5"/>
    <w:rsid w:val="009B5852"/>
    <w:rsid w:val="009B5C74"/>
    <w:rsid w:val="009B67B7"/>
    <w:rsid w:val="009B6D4C"/>
    <w:rsid w:val="009C0521"/>
    <w:rsid w:val="009C0BD7"/>
    <w:rsid w:val="009C0C7E"/>
    <w:rsid w:val="009C14E2"/>
    <w:rsid w:val="009C1B08"/>
    <w:rsid w:val="009C1DC5"/>
    <w:rsid w:val="009C2472"/>
    <w:rsid w:val="009C26D1"/>
    <w:rsid w:val="009C27A1"/>
    <w:rsid w:val="009C27A9"/>
    <w:rsid w:val="009C2D40"/>
    <w:rsid w:val="009C30D5"/>
    <w:rsid w:val="009C3277"/>
    <w:rsid w:val="009C3991"/>
    <w:rsid w:val="009C3DCD"/>
    <w:rsid w:val="009C5030"/>
    <w:rsid w:val="009C52DB"/>
    <w:rsid w:val="009C5F77"/>
    <w:rsid w:val="009C68F8"/>
    <w:rsid w:val="009C72FC"/>
    <w:rsid w:val="009D1377"/>
    <w:rsid w:val="009D14EE"/>
    <w:rsid w:val="009D17AA"/>
    <w:rsid w:val="009D1829"/>
    <w:rsid w:val="009D26CB"/>
    <w:rsid w:val="009D2C09"/>
    <w:rsid w:val="009D3F4F"/>
    <w:rsid w:val="009D4E0C"/>
    <w:rsid w:val="009D6D87"/>
    <w:rsid w:val="009D74BB"/>
    <w:rsid w:val="009E075D"/>
    <w:rsid w:val="009E1FBD"/>
    <w:rsid w:val="009E2131"/>
    <w:rsid w:val="009E2B43"/>
    <w:rsid w:val="009E2C53"/>
    <w:rsid w:val="009E35F6"/>
    <w:rsid w:val="009E6400"/>
    <w:rsid w:val="009E7309"/>
    <w:rsid w:val="009E74B4"/>
    <w:rsid w:val="009E758D"/>
    <w:rsid w:val="009F2B69"/>
    <w:rsid w:val="009F44FC"/>
    <w:rsid w:val="009F5988"/>
    <w:rsid w:val="009F75A9"/>
    <w:rsid w:val="009F78B8"/>
    <w:rsid w:val="009F7D7A"/>
    <w:rsid w:val="00A02996"/>
    <w:rsid w:val="00A031C4"/>
    <w:rsid w:val="00A03D2C"/>
    <w:rsid w:val="00A03E57"/>
    <w:rsid w:val="00A044FF"/>
    <w:rsid w:val="00A04B40"/>
    <w:rsid w:val="00A04B48"/>
    <w:rsid w:val="00A05330"/>
    <w:rsid w:val="00A0540D"/>
    <w:rsid w:val="00A05B60"/>
    <w:rsid w:val="00A0613B"/>
    <w:rsid w:val="00A101D0"/>
    <w:rsid w:val="00A104CB"/>
    <w:rsid w:val="00A10984"/>
    <w:rsid w:val="00A12040"/>
    <w:rsid w:val="00A1281A"/>
    <w:rsid w:val="00A12D51"/>
    <w:rsid w:val="00A12F06"/>
    <w:rsid w:val="00A14BD8"/>
    <w:rsid w:val="00A15061"/>
    <w:rsid w:val="00A1587F"/>
    <w:rsid w:val="00A15EE1"/>
    <w:rsid w:val="00A16F43"/>
    <w:rsid w:val="00A1742D"/>
    <w:rsid w:val="00A201EF"/>
    <w:rsid w:val="00A20660"/>
    <w:rsid w:val="00A20930"/>
    <w:rsid w:val="00A22B7F"/>
    <w:rsid w:val="00A22E47"/>
    <w:rsid w:val="00A232AE"/>
    <w:rsid w:val="00A2604C"/>
    <w:rsid w:val="00A26A5D"/>
    <w:rsid w:val="00A2708A"/>
    <w:rsid w:val="00A2725B"/>
    <w:rsid w:val="00A2733F"/>
    <w:rsid w:val="00A300A9"/>
    <w:rsid w:val="00A316E1"/>
    <w:rsid w:val="00A3270D"/>
    <w:rsid w:val="00A32E73"/>
    <w:rsid w:val="00A3305A"/>
    <w:rsid w:val="00A330A7"/>
    <w:rsid w:val="00A339C8"/>
    <w:rsid w:val="00A33E75"/>
    <w:rsid w:val="00A3428C"/>
    <w:rsid w:val="00A366B5"/>
    <w:rsid w:val="00A36750"/>
    <w:rsid w:val="00A372C4"/>
    <w:rsid w:val="00A40C92"/>
    <w:rsid w:val="00A4121E"/>
    <w:rsid w:val="00A41355"/>
    <w:rsid w:val="00A415A0"/>
    <w:rsid w:val="00A415A9"/>
    <w:rsid w:val="00A415CE"/>
    <w:rsid w:val="00A42ACE"/>
    <w:rsid w:val="00A431CC"/>
    <w:rsid w:val="00A4605F"/>
    <w:rsid w:val="00A468E5"/>
    <w:rsid w:val="00A47534"/>
    <w:rsid w:val="00A5115B"/>
    <w:rsid w:val="00A51283"/>
    <w:rsid w:val="00A51FC4"/>
    <w:rsid w:val="00A53EE2"/>
    <w:rsid w:val="00A55357"/>
    <w:rsid w:val="00A55FC1"/>
    <w:rsid w:val="00A562CA"/>
    <w:rsid w:val="00A5689B"/>
    <w:rsid w:val="00A56E5C"/>
    <w:rsid w:val="00A60C78"/>
    <w:rsid w:val="00A60E39"/>
    <w:rsid w:val="00A620B9"/>
    <w:rsid w:val="00A631CD"/>
    <w:rsid w:val="00A63F78"/>
    <w:rsid w:val="00A643E9"/>
    <w:rsid w:val="00A64C68"/>
    <w:rsid w:val="00A6525E"/>
    <w:rsid w:val="00A65447"/>
    <w:rsid w:val="00A65CB6"/>
    <w:rsid w:val="00A6623D"/>
    <w:rsid w:val="00A66717"/>
    <w:rsid w:val="00A668AD"/>
    <w:rsid w:val="00A7034A"/>
    <w:rsid w:val="00A72331"/>
    <w:rsid w:val="00A724BC"/>
    <w:rsid w:val="00A7267A"/>
    <w:rsid w:val="00A7311E"/>
    <w:rsid w:val="00A74088"/>
    <w:rsid w:val="00A7559A"/>
    <w:rsid w:val="00A76608"/>
    <w:rsid w:val="00A779BC"/>
    <w:rsid w:val="00A80AB2"/>
    <w:rsid w:val="00A80F70"/>
    <w:rsid w:val="00A820CA"/>
    <w:rsid w:val="00A82F81"/>
    <w:rsid w:val="00A84E75"/>
    <w:rsid w:val="00A8505D"/>
    <w:rsid w:val="00A85388"/>
    <w:rsid w:val="00A85E21"/>
    <w:rsid w:val="00A86A99"/>
    <w:rsid w:val="00A906D8"/>
    <w:rsid w:val="00A90DB7"/>
    <w:rsid w:val="00A91AC7"/>
    <w:rsid w:val="00A93FC5"/>
    <w:rsid w:val="00A96A2C"/>
    <w:rsid w:val="00A97A80"/>
    <w:rsid w:val="00A97E58"/>
    <w:rsid w:val="00AA04F7"/>
    <w:rsid w:val="00AA11D1"/>
    <w:rsid w:val="00AA38D7"/>
    <w:rsid w:val="00AA411A"/>
    <w:rsid w:val="00AA5DD0"/>
    <w:rsid w:val="00AA7B4C"/>
    <w:rsid w:val="00AA7EBC"/>
    <w:rsid w:val="00AB049E"/>
    <w:rsid w:val="00AB05AB"/>
    <w:rsid w:val="00AB0EAA"/>
    <w:rsid w:val="00AB126F"/>
    <w:rsid w:val="00AB28D0"/>
    <w:rsid w:val="00AB41B3"/>
    <w:rsid w:val="00AB4474"/>
    <w:rsid w:val="00AB4902"/>
    <w:rsid w:val="00AB4D75"/>
    <w:rsid w:val="00AB5A71"/>
    <w:rsid w:val="00AB6499"/>
    <w:rsid w:val="00AB7741"/>
    <w:rsid w:val="00AC0259"/>
    <w:rsid w:val="00AC265D"/>
    <w:rsid w:val="00AC2E73"/>
    <w:rsid w:val="00AC37CD"/>
    <w:rsid w:val="00AC3E55"/>
    <w:rsid w:val="00AC4516"/>
    <w:rsid w:val="00AC51EB"/>
    <w:rsid w:val="00AC5D2E"/>
    <w:rsid w:val="00AC6993"/>
    <w:rsid w:val="00AC7326"/>
    <w:rsid w:val="00AC77C0"/>
    <w:rsid w:val="00AD2978"/>
    <w:rsid w:val="00AD29AE"/>
    <w:rsid w:val="00AD300F"/>
    <w:rsid w:val="00AD3FC3"/>
    <w:rsid w:val="00AD41F3"/>
    <w:rsid w:val="00AD474D"/>
    <w:rsid w:val="00AD5871"/>
    <w:rsid w:val="00AD62D1"/>
    <w:rsid w:val="00AD644B"/>
    <w:rsid w:val="00AD6FB8"/>
    <w:rsid w:val="00AE0145"/>
    <w:rsid w:val="00AE09E2"/>
    <w:rsid w:val="00AE1CBB"/>
    <w:rsid w:val="00AE1DE4"/>
    <w:rsid w:val="00AE3B80"/>
    <w:rsid w:val="00AE3C86"/>
    <w:rsid w:val="00AE4F6E"/>
    <w:rsid w:val="00AF02DF"/>
    <w:rsid w:val="00AF0AAD"/>
    <w:rsid w:val="00AF0C52"/>
    <w:rsid w:val="00AF107D"/>
    <w:rsid w:val="00AF2129"/>
    <w:rsid w:val="00AF3088"/>
    <w:rsid w:val="00AF3288"/>
    <w:rsid w:val="00AF352C"/>
    <w:rsid w:val="00AF3E0F"/>
    <w:rsid w:val="00AF3F03"/>
    <w:rsid w:val="00AF4612"/>
    <w:rsid w:val="00AF4CC0"/>
    <w:rsid w:val="00AF6218"/>
    <w:rsid w:val="00B007AB"/>
    <w:rsid w:val="00B03F1F"/>
    <w:rsid w:val="00B03F87"/>
    <w:rsid w:val="00B0460A"/>
    <w:rsid w:val="00B052E0"/>
    <w:rsid w:val="00B06307"/>
    <w:rsid w:val="00B06349"/>
    <w:rsid w:val="00B076A5"/>
    <w:rsid w:val="00B07987"/>
    <w:rsid w:val="00B10A4F"/>
    <w:rsid w:val="00B1132B"/>
    <w:rsid w:val="00B114C2"/>
    <w:rsid w:val="00B13BEC"/>
    <w:rsid w:val="00B141A5"/>
    <w:rsid w:val="00B21D2E"/>
    <w:rsid w:val="00B22E2F"/>
    <w:rsid w:val="00B23170"/>
    <w:rsid w:val="00B26FCC"/>
    <w:rsid w:val="00B314D3"/>
    <w:rsid w:val="00B318F2"/>
    <w:rsid w:val="00B31AB6"/>
    <w:rsid w:val="00B326B3"/>
    <w:rsid w:val="00B327F0"/>
    <w:rsid w:val="00B34090"/>
    <w:rsid w:val="00B34746"/>
    <w:rsid w:val="00B36147"/>
    <w:rsid w:val="00B36D44"/>
    <w:rsid w:val="00B37EF9"/>
    <w:rsid w:val="00B4014E"/>
    <w:rsid w:val="00B403B8"/>
    <w:rsid w:val="00B40580"/>
    <w:rsid w:val="00B40DEA"/>
    <w:rsid w:val="00B40EA7"/>
    <w:rsid w:val="00B40FBB"/>
    <w:rsid w:val="00B41025"/>
    <w:rsid w:val="00B41CF6"/>
    <w:rsid w:val="00B42B33"/>
    <w:rsid w:val="00B43258"/>
    <w:rsid w:val="00B43BC0"/>
    <w:rsid w:val="00B4406E"/>
    <w:rsid w:val="00B45093"/>
    <w:rsid w:val="00B4546B"/>
    <w:rsid w:val="00B45D58"/>
    <w:rsid w:val="00B46159"/>
    <w:rsid w:val="00B46A62"/>
    <w:rsid w:val="00B46C0F"/>
    <w:rsid w:val="00B50302"/>
    <w:rsid w:val="00B509A7"/>
    <w:rsid w:val="00B515CC"/>
    <w:rsid w:val="00B5259A"/>
    <w:rsid w:val="00B52F45"/>
    <w:rsid w:val="00B5386E"/>
    <w:rsid w:val="00B553CF"/>
    <w:rsid w:val="00B56B7C"/>
    <w:rsid w:val="00B570A7"/>
    <w:rsid w:val="00B632AD"/>
    <w:rsid w:val="00B66870"/>
    <w:rsid w:val="00B67119"/>
    <w:rsid w:val="00B676A5"/>
    <w:rsid w:val="00B7079F"/>
    <w:rsid w:val="00B714F8"/>
    <w:rsid w:val="00B716B1"/>
    <w:rsid w:val="00B71F26"/>
    <w:rsid w:val="00B75025"/>
    <w:rsid w:val="00B769BD"/>
    <w:rsid w:val="00B76F64"/>
    <w:rsid w:val="00B7710D"/>
    <w:rsid w:val="00B7788F"/>
    <w:rsid w:val="00B80249"/>
    <w:rsid w:val="00B81B1F"/>
    <w:rsid w:val="00B832DE"/>
    <w:rsid w:val="00B84016"/>
    <w:rsid w:val="00B84163"/>
    <w:rsid w:val="00B9069A"/>
    <w:rsid w:val="00B90D57"/>
    <w:rsid w:val="00B91756"/>
    <w:rsid w:val="00B920D6"/>
    <w:rsid w:val="00B928BB"/>
    <w:rsid w:val="00B93075"/>
    <w:rsid w:val="00B94E36"/>
    <w:rsid w:val="00B96937"/>
    <w:rsid w:val="00B978F4"/>
    <w:rsid w:val="00BA047E"/>
    <w:rsid w:val="00BA2ACC"/>
    <w:rsid w:val="00BA4191"/>
    <w:rsid w:val="00BA5588"/>
    <w:rsid w:val="00BA5886"/>
    <w:rsid w:val="00BA58F1"/>
    <w:rsid w:val="00BA6762"/>
    <w:rsid w:val="00BA6B48"/>
    <w:rsid w:val="00BA6C88"/>
    <w:rsid w:val="00BA7230"/>
    <w:rsid w:val="00BA7781"/>
    <w:rsid w:val="00BA7F76"/>
    <w:rsid w:val="00BB01CF"/>
    <w:rsid w:val="00BB0C35"/>
    <w:rsid w:val="00BB179A"/>
    <w:rsid w:val="00BB20D0"/>
    <w:rsid w:val="00BB27BC"/>
    <w:rsid w:val="00BB396D"/>
    <w:rsid w:val="00BB500E"/>
    <w:rsid w:val="00BB536A"/>
    <w:rsid w:val="00BB547A"/>
    <w:rsid w:val="00BB54F1"/>
    <w:rsid w:val="00BC04E3"/>
    <w:rsid w:val="00BC13B8"/>
    <w:rsid w:val="00BC232D"/>
    <w:rsid w:val="00BC4014"/>
    <w:rsid w:val="00BC4756"/>
    <w:rsid w:val="00BC50D5"/>
    <w:rsid w:val="00BC556E"/>
    <w:rsid w:val="00BC5800"/>
    <w:rsid w:val="00BC63C8"/>
    <w:rsid w:val="00BC6EA4"/>
    <w:rsid w:val="00BC6F6D"/>
    <w:rsid w:val="00BD0895"/>
    <w:rsid w:val="00BD1F5B"/>
    <w:rsid w:val="00BD2338"/>
    <w:rsid w:val="00BD27D1"/>
    <w:rsid w:val="00BD386E"/>
    <w:rsid w:val="00BD4FC3"/>
    <w:rsid w:val="00BD7715"/>
    <w:rsid w:val="00BE172E"/>
    <w:rsid w:val="00BE2DE7"/>
    <w:rsid w:val="00BE384C"/>
    <w:rsid w:val="00BE43BA"/>
    <w:rsid w:val="00BE46B5"/>
    <w:rsid w:val="00BE4BD0"/>
    <w:rsid w:val="00BE508F"/>
    <w:rsid w:val="00BE50F3"/>
    <w:rsid w:val="00BE562C"/>
    <w:rsid w:val="00BE5889"/>
    <w:rsid w:val="00BE5C36"/>
    <w:rsid w:val="00BE5D5F"/>
    <w:rsid w:val="00BE6D48"/>
    <w:rsid w:val="00BE7BAB"/>
    <w:rsid w:val="00BE7D04"/>
    <w:rsid w:val="00BF0C35"/>
    <w:rsid w:val="00BF10C3"/>
    <w:rsid w:val="00BF1361"/>
    <w:rsid w:val="00BF1702"/>
    <w:rsid w:val="00BF471E"/>
    <w:rsid w:val="00BF4BB0"/>
    <w:rsid w:val="00BF5498"/>
    <w:rsid w:val="00BF5B47"/>
    <w:rsid w:val="00C0233D"/>
    <w:rsid w:val="00C05E14"/>
    <w:rsid w:val="00C06915"/>
    <w:rsid w:val="00C06971"/>
    <w:rsid w:val="00C13316"/>
    <w:rsid w:val="00C13DED"/>
    <w:rsid w:val="00C15A1C"/>
    <w:rsid w:val="00C1611E"/>
    <w:rsid w:val="00C16125"/>
    <w:rsid w:val="00C169EA"/>
    <w:rsid w:val="00C16D76"/>
    <w:rsid w:val="00C206A4"/>
    <w:rsid w:val="00C20C30"/>
    <w:rsid w:val="00C21685"/>
    <w:rsid w:val="00C21C87"/>
    <w:rsid w:val="00C22029"/>
    <w:rsid w:val="00C2237B"/>
    <w:rsid w:val="00C22858"/>
    <w:rsid w:val="00C2718A"/>
    <w:rsid w:val="00C278BA"/>
    <w:rsid w:val="00C27A1F"/>
    <w:rsid w:val="00C27C10"/>
    <w:rsid w:val="00C30C0C"/>
    <w:rsid w:val="00C34784"/>
    <w:rsid w:val="00C34A45"/>
    <w:rsid w:val="00C35AEA"/>
    <w:rsid w:val="00C35E36"/>
    <w:rsid w:val="00C37EAB"/>
    <w:rsid w:val="00C37FC6"/>
    <w:rsid w:val="00C41E9D"/>
    <w:rsid w:val="00C430E6"/>
    <w:rsid w:val="00C4321F"/>
    <w:rsid w:val="00C43823"/>
    <w:rsid w:val="00C43D68"/>
    <w:rsid w:val="00C442EA"/>
    <w:rsid w:val="00C44897"/>
    <w:rsid w:val="00C4527C"/>
    <w:rsid w:val="00C458CE"/>
    <w:rsid w:val="00C461FC"/>
    <w:rsid w:val="00C47ABE"/>
    <w:rsid w:val="00C5063C"/>
    <w:rsid w:val="00C5171E"/>
    <w:rsid w:val="00C51FE2"/>
    <w:rsid w:val="00C5297F"/>
    <w:rsid w:val="00C541B9"/>
    <w:rsid w:val="00C54380"/>
    <w:rsid w:val="00C547BF"/>
    <w:rsid w:val="00C548C3"/>
    <w:rsid w:val="00C5519E"/>
    <w:rsid w:val="00C556AC"/>
    <w:rsid w:val="00C55949"/>
    <w:rsid w:val="00C55CFC"/>
    <w:rsid w:val="00C56129"/>
    <w:rsid w:val="00C62A7C"/>
    <w:rsid w:val="00C632D7"/>
    <w:rsid w:val="00C6398C"/>
    <w:rsid w:val="00C6426B"/>
    <w:rsid w:val="00C64515"/>
    <w:rsid w:val="00C64562"/>
    <w:rsid w:val="00C65C07"/>
    <w:rsid w:val="00C71700"/>
    <w:rsid w:val="00C717D5"/>
    <w:rsid w:val="00C7308A"/>
    <w:rsid w:val="00C73B0A"/>
    <w:rsid w:val="00C74789"/>
    <w:rsid w:val="00C75AB5"/>
    <w:rsid w:val="00C8073E"/>
    <w:rsid w:val="00C808C1"/>
    <w:rsid w:val="00C80E0C"/>
    <w:rsid w:val="00C81C46"/>
    <w:rsid w:val="00C82089"/>
    <w:rsid w:val="00C82D14"/>
    <w:rsid w:val="00C8369A"/>
    <w:rsid w:val="00C8439F"/>
    <w:rsid w:val="00C86EE8"/>
    <w:rsid w:val="00C91325"/>
    <w:rsid w:val="00C919A7"/>
    <w:rsid w:val="00C9284B"/>
    <w:rsid w:val="00C9369E"/>
    <w:rsid w:val="00C939BD"/>
    <w:rsid w:val="00C93AEC"/>
    <w:rsid w:val="00C94DD0"/>
    <w:rsid w:val="00C95532"/>
    <w:rsid w:val="00C96964"/>
    <w:rsid w:val="00CA01A8"/>
    <w:rsid w:val="00CA38D1"/>
    <w:rsid w:val="00CA3CF5"/>
    <w:rsid w:val="00CA3E87"/>
    <w:rsid w:val="00CA4807"/>
    <w:rsid w:val="00CA4C42"/>
    <w:rsid w:val="00CA4D0E"/>
    <w:rsid w:val="00CA4F1E"/>
    <w:rsid w:val="00CA598C"/>
    <w:rsid w:val="00CA76E1"/>
    <w:rsid w:val="00CB065D"/>
    <w:rsid w:val="00CB075B"/>
    <w:rsid w:val="00CB0DA3"/>
    <w:rsid w:val="00CB167F"/>
    <w:rsid w:val="00CB1832"/>
    <w:rsid w:val="00CB2A4C"/>
    <w:rsid w:val="00CB589A"/>
    <w:rsid w:val="00CB6602"/>
    <w:rsid w:val="00CB70C6"/>
    <w:rsid w:val="00CB7AE4"/>
    <w:rsid w:val="00CC14B2"/>
    <w:rsid w:val="00CC25EB"/>
    <w:rsid w:val="00CC27B7"/>
    <w:rsid w:val="00CC37A7"/>
    <w:rsid w:val="00CC37BC"/>
    <w:rsid w:val="00CC4727"/>
    <w:rsid w:val="00CC4BBE"/>
    <w:rsid w:val="00CC6436"/>
    <w:rsid w:val="00CC67BF"/>
    <w:rsid w:val="00CC6844"/>
    <w:rsid w:val="00CC713E"/>
    <w:rsid w:val="00CD16CB"/>
    <w:rsid w:val="00CD18C2"/>
    <w:rsid w:val="00CD36CE"/>
    <w:rsid w:val="00CD3AFD"/>
    <w:rsid w:val="00CD418A"/>
    <w:rsid w:val="00CD4B72"/>
    <w:rsid w:val="00CD5169"/>
    <w:rsid w:val="00CD5459"/>
    <w:rsid w:val="00CD6469"/>
    <w:rsid w:val="00CE314B"/>
    <w:rsid w:val="00CE317E"/>
    <w:rsid w:val="00CE3A80"/>
    <w:rsid w:val="00CE4157"/>
    <w:rsid w:val="00CE57EA"/>
    <w:rsid w:val="00CE6092"/>
    <w:rsid w:val="00CE688B"/>
    <w:rsid w:val="00CE702A"/>
    <w:rsid w:val="00CE73EA"/>
    <w:rsid w:val="00CE7655"/>
    <w:rsid w:val="00CE7E34"/>
    <w:rsid w:val="00CF02E0"/>
    <w:rsid w:val="00CF1E43"/>
    <w:rsid w:val="00CF2E43"/>
    <w:rsid w:val="00CF38B7"/>
    <w:rsid w:val="00CF4307"/>
    <w:rsid w:val="00CF4E8A"/>
    <w:rsid w:val="00CF5F2E"/>
    <w:rsid w:val="00CF6708"/>
    <w:rsid w:val="00CF6B09"/>
    <w:rsid w:val="00CF714D"/>
    <w:rsid w:val="00D00E1D"/>
    <w:rsid w:val="00D02ECD"/>
    <w:rsid w:val="00D030C7"/>
    <w:rsid w:val="00D04A3A"/>
    <w:rsid w:val="00D06964"/>
    <w:rsid w:val="00D06A53"/>
    <w:rsid w:val="00D0777A"/>
    <w:rsid w:val="00D07FCD"/>
    <w:rsid w:val="00D11B0C"/>
    <w:rsid w:val="00D12E03"/>
    <w:rsid w:val="00D12E9D"/>
    <w:rsid w:val="00D13C92"/>
    <w:rsid w:val="00D14225"/>
    <w:rsid w:val="00D157C7"/>
    <w:rsid w:val="00D157FA"/>
    <w:rsid w:val="00D15D54"/>
    <w:rsid w:val="00D15E72"/>
    <w:rsid w:val="00D16176"/>
    <w:rsid w:val="00D169CF"/>
    <w:rsid w:val="00D16A2C"/>
    <w:rsid w:val="00D206A8"/>
    <w:rsid w:val="00D20DAC"/>
    <w:rsid w:val="00D21AEE"/>
    <w:rsid w:val="00D22DBB"/>
    <w:rsid w:val="00D25F2E"/>
    <w:rsid w:val="00D338AC"/>
    <w:rsid w:val="00D34634"/>
    <w:rsid w:val="00D35EFF"/>
    <w:rsid w:val="00D36205"/>
    <w:rsid w:val="00D36CAC"/>
    <w:rsid w:val="00D41962"/>
    <w:rsid w:val="00D41F67"/>
    <w:rsid w:val="00D4235F"/>
    <w:rsid w:val="00D42398"/>
    <w:rsid w:val="00D4301E"/>
    <w:rsid w:val="00D456D6"/>
    <w:rsid w:val="00D45D1B"/>
    <w:rsid w:val="00D45E47"/>
    <w:rsid w:val="00D47983"/>
    <w:rsid w:val="00D53AD6"/>
    <w:rsid w:val="00D56740"/>
    <w:rsid w:val="00D57643"/>
    <w:rsid w:val="00D62444"/>
    <w:rsid w:val="00D628A3"/>
    <w:rsid w:val="00D638E5"/>
    <w:rsid w:val="00D63925"/>
    <w:rsid w:val="00D6405D"/>
    <w:rsid w:val="00D64179"/>
    <w:rsid w:val="00D64855"/>
    <w:rsid w:val="00D64D0A"/>
    <w:rsid w:val="00D64F65"/>
    <w:rsid w:val="00D6527B"/>
    <w:rsid w:val="00D666C1"/>
    <w:rsid w:val="00D66F46"/>
    <w:rsid w:val="00D6774B"/>
    <w:rsid w:val="00D67820"/>
    <w:rsid w:val="00D70755"/>
    <w:rsid w:val="00D709F8"/>
    <w:rsid w:val="00D72471"/>
    <w:rsid w:val="00D75466"/>
    <w:rsid w:val="00D756DD"/>
    <w:rsid w:val="00D75C84"/>
    <w:rsid w:val="00D75D4E"/>
    <w:rsid w:val="00D77099"/>
    <w:rsid w:val="00D77CFA"/>
    <w:rsid w:val="00D77E07"/>
    <w:rsid w:val="00D77E1D"/>
    <w:rsid w:val="00D8029A"/>
    <w:rsid w:val="00D80DD9"/>
    <w:rsid w:val="00D81F46"/>
    <w:rsid w:val="00D83547"/>
    <w:rsid w:val="00D852D4"/>
    <w:rsid w:val="00D9038C"/>
    <w:rsid w:val="00D90D80"/>
    <w:rsid w:val="00D91CFB"/>
    <w:rsid w:val="00D956EF"/>
    <w:rsid w:val="00D9570C"/>
    <w:rsid w:val="00DA06A9"/>
    <w:rsid w:val="00DA0D5C"/>
    <w:rsid w:val="00DA0F46"/>
    <w:rsid w:val="00DA43FF"/>
    <w:rsid w:val="00DA47A9"/>
    <w:rsid w:val="00DA66A4"/>
    <w:rsid w:val="00DA6A6E"/>
    <w:rsid w:val="00DB0293"/>
    <w:rsid w:val="00DB0919"/>
    <w:rsid w:val="00DB25E4"/>
    <w:rsid w:val="00DB2D6C"/>
    <w:rsid w:val="00DB3B34"/>
    <w:rsid w:val="00DB3E09"/>
    <w:rsid w:val="00DB59A6"/>
    <w:rsid w:val="00DC071C"/>
    <w:rsid w:val="00DC0723"/>
    <w:rsid w:val="00DC1F82"/>
    <w:rsid w:val="00DC282C"/>
    <w:rsid w:val="00DC2AB9"/>
    <w:rsid w:val="00DC429B"/>
    <w:rsid w:val="00DC64E8"/>
    <w:rsid w:val="00DC7A7B"/>
    <w:rsid w:val="00DD03F8"/>
    <w:rsid w:val="00DD1582"/>
    <w:rsid w:val="00DD19E3"/>
    <w:rsid w:val="00DD274C"/>
    <w:rsid w:val="00DD28ED"/>
    <w:rsid w:val="00DD4324"/>
    <w:rsid w:val="00DD4379"/>
    <w:rsid w:val="00DD46FD"/>
    <w:rsid w:val="00DD4F94"/>
    <w:rsid w:val="00DD637F"/>
    <w:rsid w:val="00DD70DD"/>
    <w:rsid w:val="00DD7BD3"/>
    <w:rsid w:val="00DE07C7"/>
    <w:rsid w:val="00DE09FF"/>
    <w:rsid w:val="00DE0D59"/>
    <w:rsid w:val="00DE42F9"/>
    <w:rsid w:val="00DE4895"/>
    <w:rsid w:val="00DE4C29"/>
    <w:rsid w:val="00DE6A71"/>
    <w:rsid w:val="00DE6E3A"/>
    <w:rsid w:val="00DE6EF4"/>
    <w:rsid w:val="00DE7414"/>
    <w:rsid w:val="00DF01C3"/>
    <w:rsid w:val="00DF153F"/>
    <w:rsid w:val="00DF1C51"/>
    <w:rsid w:val="00DF319A"/>
    <w:rsid w:val="00E00E22"/>
    <w:rsid w:val="00E03AC9"/>
    <w:rsid w:val="00E062C6"/>
    <w:rsid w:val="00E06507"/>
    <w:rsid w:val="00E06691"/>
    <w:rsid w:val="00E10320"/>
    <w:rsid w:val="00E11626"/>
    <w:rsid w:val="00E11D48"/>
    <w:rsid w:val="00E121F9"/>
    <w:rsid w:val="00E13056"/>
    <w:rsid w:val="00E145DF"/>
    <w:rsid w:val="00E1535E"/>
    <w:rsid w:val="00E16DDB"/>
    <w:rsid w:val="00E17555"/>
    <w:rsid w:val="00E202E9"/>
    <w:rsid w:val="00E2079F"/>
    <w:rsid w:val="00E20C5C"/>
    <w:rsid w:val="00E2199D"/>
    <w:rsid w:val="00E21FD9"/>
    <w:rsid w:val="00E2270E"/>
    <w:rsid w:val="00E22C17"/>
    <w:rsid w:val="00E236B4"/>
    <w:rsid w:val="00E23B06"/>
    <w:rsid w:val="00E241AC"/>
    <w:rsid w:val="00E2429D"/>
    <w:rsid w:val="00E25FAD"/>
    <w:rsid w:val="00E2706D"/>
    <w:rsid w:val="00E27CFF"/>
    <w:rsid w:val="00E27F60"/>
    <w:rsid w:val="00E33DBD"/>
    <w:rsid w:val="00E35FF3"/>
    <w:rsid w:val="00E36C7A"/>
    <w:rsid w:val="00E37074"/>
    <w:rsid w:val="00E403BA"/>
    <w:rsid w:val="00E405C7"/>
    <w:rsid w:val="00E40F01"/>
    <w:rsid w:val="00E41273"/>
    <w:rsid w:val="00E419E9"/>
    <w:rsid w:val="00E41D17"/>
    <w:rsid w:val="00E41D9C"/>
    <w:rsid w:val="00E41DD6"/>
    <w:rsid w:val="00E4241B"/>
    <w:rsid w:val="00E42D67"/>
    <w:rsid w:val="00E4418B"/>
    <w:rsid w:val="00E44DD3"/>
    <w:rsid w:val="00E4587A"/>
    <w:rsid w:val="00E458BC"/>
    <w:rsid w:val="00E45ABB"/>
    <w:rsid w:val="00E466DD"/>
    <w:rsid w:val="00E47B1C"/>
    <w:rsid w:val="00E523C2"/>
    <w:rsid w:val="00E52A8B"/>
    <w:rsid w:val="00E53E67"/>
    <w:rsid w:val="00E54036"/>
    <w:rsid w:val="00E5457D"/>
    <w:rsid w:val="00E550BD"/>
    <w:rsid w:val="00E55D2F"/>
    <w:rsid w:val="00E55E8C"/>
    <w:rsid w:val="00E56691"/>
    <w:rsid w:val="00E56AED"/>
    <w:rsid w:val="00E57CA5"/>
    <w:rsid w:val="00E6013B"/>
    <w:rsid w:val="00E60B78"/>
    <w:rsid w:val="00E60D71"/>
    <w:rsid w:val="00E6175F"/>
    <w:rsid w:val="00E61BD4"/>
    <w:rsid w:val="00E6221A"/>
    <w:rsid w:val="00E63338"/>
    <w:rsid w:val="00E64BE1"/>
    <w:rsid w:val="00E65353"/>
    <w:rsid w:val="00E65AAA"/>
    <w:rsid w:val="00E66706"/>
    <w:rsid w:val="00E701E9"/>
    <w:rsid w:val="00E7080C"/>
    <w:rsid w:val="00E710DA"/>
    <w:rsid w:val="00E72536"/>
    <w:rsid w:val="00E73752"/>
    <w:rsid w:val="00E75F2F"/>
    <w:rsid w:val="00E7627E"/>
    <w:rsid w:val="00E80507"/>
    <w:rsid w:val="00E82578"/>
    <w:rsid w:val="00E8582B"/>
    <w:rsid w:val="00E85891"/>
    <w:rsid w:val="00E87556"/>
    <w:rsid w:val="00E87A2D"/>
    <w:rsid w:val="00E87B12"/>
    <w:rsid w:val="00E91C0D"/>
    <w:rsid w:val="00E924ED"/>
    <w:rsid w:val="00E939A2"/>
    <w:rsid w:val="00E94EF0"/>
    <w:rsid w:val="00E9611D"/>
    <w:rsid w:val="00E96769"/>
    <w:rsid w:val="00E96EB3"/>
    <w:rsid w:val="00E97610"/>
    <w:rsid w:val="00EA1B10"/>
    <w:rsid w:val="00EA1C46"/>
    <w:rsid w:val="00EA23AA"/>
    <w:rsid w:val="00EA3869"/>
    <w:rsid w:val="00EA4A96"/>
    <w:rsid w:val="00EA760D"/>
    <w:rsid w:val="00EA7EC9"/>
    <w:rsid w:val="00EB03F0"/>
    <w:rsid w:val="00EB0D4D"/>
    <w:rsid w:val="00EB1BA0"/>
    <w:rsid w:val="00EB1DE1"/>
    <w:rsid w:val="00EB25FD"/>
    <w:rsid w:val="00EB4A34"/>
    <w:rsid w:val="00EB6D03"/>
    <w:rsid w:val="00EB7A83"/>
    <w:rsid w:val="00EC051C"/>
    <w:rsid w:val="00EC3BDB"/>
    <w:rsid w:val="00EC4308"/>
    <w:rsid w:val="00EC7522"/>
    <w:rsid w:val="00ED083C"/>
    <w:rsid w:val="00ED10D2"/>
    <w:rsid w:val="00ED1466"/>
    <w:rsid w:val="00ED23C9"/>
    <w:rsid w:val="00ED2706"/>
    <w:rsid w:val="00ED3BF6"/>
    <w:rsid w:val="00ED4089"/>
    <w:rsid w:val="00ED40F0"/>
    <w:rsid w:val="00ED4624"/>
    <w:rsid w:val="00ED5DFF"/>
    <w:rsid w:val="00ED629B"/>
    <w:rsid w:val="00ED6405"/>
    <w:rsid w:val="00ED6E2D"/>
    <w:rsid w:val="00ED7349"/>
    <w:rsid w:val="00EE1DE0"/>
    <w:rsid w:val="00EE1E3B"/>
    <w:rsid w:val="00EE21DC"/>
    <w:rsid w:val="00EE2B2D"/>
    <w:rsid w:val="00EE3566"/>
    <w:rsid w:val="00EE3945"/>
    <w:rsid w:val="00EE4563"/>
    <w:rsid w:val="00EE52A0"/>
    <w:rsid w:val="00EE5FFB"/>
    <w:rsid w:val="00EE6995"/>
    <w:rsid w:val="00EF0178"/>
    <w:rsid w:val="00EF255E"/>
    <w:rsid w:val="00EF2CB1"/>
    <w:rsid w:val="00EF3120"/>
    <w:rsid w:val="00EF4961"/>
    <w:rsid w:val="00EF4A49"/>
    <w:rsid w:val="00EF54CA"/>
    <w:rsid w:val="00EF6BB9"/>
    <w:rsid w:val="00EF6C6E"/>
    <w:rsid w:val="00EF759D"/>
    <w:rsid w:val="00EF7FF4"/>
    <w:rsid w:val="00F03D6E"/>
    <w:rsid w:val="00F042A4"/>
    <w:rsid w:val="00F053B6"/>
    <w:rsid w:val="00F0547F"/>
    <w:rsid w:val="00F05B6F"/>
    <w:rsid w:val="00F05CF5"/>
    <w:rsid w:val="00F117E8"/>
    <w:rsid w:val="00F1191A"/>
    <w:rsid w:val="00F121C2"/>
    <w:rsid w:val="00F12C01"/>
    <w:rsid w:val="00F13938"/>
    <w:rsid w:val="00F139EA"/>
    <w:rsid w:val="00F15BE1"/>
    <w:rsid w:val="00F17D65"/>
    <w:rsid w:val="00F200CF"/>
    <w:rsid w:val="00F205FD"/>
    <w:rsid w:val="00F21355"/>
    <w:rsid w:val="00F2272A"/>
    <w:rsid w:val="00F22B08"/>
    <w:rsid w:val="00F26F03"/>
    <w:rsid w:val="00F27BB6"/>
    <w:rsid w:val="00F3003E"/>
    <w:rsid w:val="00F319BD"/>
    <w:rsid w:val="00F31BE6"/>
    <w:rsid w:val="00F346BD"/>
    <w:rsid w:val="00F34B52"/>
    <w:rsid w:val="00F35DAC"/>
    <w:rsid w:val="00F36FB3"/>
    <w:rsid w:val="00F37591"/>
    <w:rsid w:val="00F37B96"/>
    <w:rsid w:val="00F40F85"/>
    <w:rsid w:val="00F410A8"/>
    <w:rsid w:val="00F41910"/>
    <w:rsid w:val="00F41B37"/>
    <w:rsid w:val="00F41DE5"/>
    <w:rsid w:val="00F4240B"/>
    <w:rsid w:val="00F42EAF"/>
    <w:rsid w:val="00F4544D"/>
    <w:rsid w:val="00F45C1B"/>
    <w:rsid w:val="00F47D87"/>
    <w:rsid w:val="00F525B8"/>
    <w:rsid w:val="00F5289D"/>
    <w:rsid w:val="00F54045"/>
    <w:rsid w:val="00F54B1C"/>
    <w:rsid w:val="00F556D2"/>
    <w:rsid w:val="00F56070"/>
    <w:rsid w:val="00F57128"/>
    <w:rsid w:val="00F61CDB"/>
    <w:rsid w:val="00F6236B"/>
    <w:rsid w:val="00F625F1"/>
    <w:rsid w:val="00F63410"/>
    <w:rsid w:val="00F63EAD"/>
    <w:rsid w:val="00F64016"/>
    <w:rsid w:val="00F64DB2"/>
    <w:rsid w:val="00F64E6A"/>
    <w:rsid w:val="00F65B8A"/>
    <w:rsid w:val="00F6626E"/>
    <w:rsid w:val="00F70155"/>
    <w:rsid w:val="00F70450"/>
    <w:rsid w:val="00F70E50"/>
    <w:rsid w:val="00F7163A"/>
    <w:rsid w:val="00F72423"/>
    <w:rsid w:val="00F733E0"/>
    <w:rsid w:val="00F73BDD"/>
    <w:rsid w:val="00F75FBD"/>
    <w:rsid w:val="00F77451"/>
    <w:rsid w:val="00F80E2B"/>
    <w:rsid w:val="00F8149D"/>
    <w:rsid w:val="00F816D1"/>
    <w:rsid w:val="00F83299"/>
    <w:rsid w:val="00F851A6"/>
    <w:rsid w:val="00F8555E"/>
    <w:rsid w:val="00F85A2F"/>
    <w:rsid w:val="00F85BB5"/>
    <w:rsid w:val="00F870B6"/>
    <w:rsid w:val="00F908A1"/>
    <w:rsid w:val="00F909E0"/>
    <w:rsid w:val="00F90DED"/>
    <w:rsid w:val="00F90F15"/>
    <w:rsid w:val="00F916BF"/>
    <w:rsid w:val="00F91A9D"/>
    <w:rsid w:val="00F92BE1"/>
    <w:rsid w:val="00F92E31"/>
    <w:rsid w:val="00F9339A"/>
    <w:rsid w:val="00F946D5"/>
    <w:rsid w:val="00F95214"/>
    <w:rsid w:val="00F95574"/>
    <w:rsid w:val="00F95B3F"/>
    <w:rsid w:val="00F96F1A"/>
    <w:rsid w:val="00FA0206"/>
    <w:rsid w:val="00FA033E"/>
    <w:rsid w:val="00FA1678"/>
    <w:rsid w:val="00FA21ED"/>
    <w:rsid w:val="00FA2825"/>
    <w:rsid w:val="00FA5A59"/>
    <w:rsid w:val="00FA60F2"/>
    <w:rsid w:val="00FA6657"/>
    <w:rsid w:val="00FB03C7"/>
    <w:rsid w:val="00FB081B"/>
    <w:rsid w:val="00FB0988"/>
    <w:rsid w:val="00FB2C56"/>
    <w:rsid w:val="00FB5315"/>
    <w:rsid w:val="00FB5A65"/>
    <w:rsid w:val="00FB6CA6"/>
    <w:rsid w:val="00FB6D2A"/>
    <w:rsid w:val="00FB6D64"/>
    <w:rsid w:val="00FB7539"/>
    <w:rsid w:val="00FC06AF"/>
    <w:rsid w:val="00FC08FD"/>
    <w:rsid w:val="00FC0D6C"/>
    <w:rsid w:val="00FC12C0"/>
    <w:rsid w:val="00FC1C0B"/>
    <w:rsid w:val="00FC290C"/>
    <w:rsid w:val="00FC374A"/>
    <w:rsid w:val="00FC3FCC"/>
    <w:rsid w:val="00FC5ADB"/>
    <w:rsid w:val="00FC6634"/>
    <w:rsid w:val="00FC7FD5"/>
    <w:rsid w:val="00FD23F0"/>
    <w:rsid w:val="00FD258F"/>
    <w:rsid w:val="00FD27D0"/>
    <w:rsid w:val="00FD2AB9"/>
    <w:rsid w:val="00FD3C23"/>
    <w:rsid w:val="00FD3FBF"/>
    <w:rsid w:val="00FD404C"/>
    <w:rsid w:val="00FD5736"/>
    <w:rsid w:val="00FD574B"/>
    <w:rsid w:val="00FD6898"/>
    <w:rsid w:val="00FE08A1"/>
    <w:rsid w:val="00FE128B"/>
    <w:rsid w:val="00FE2159"/>
    <w:rsid w:val="00FE2945"/>
    <w:rsid w:val="00FE4523"/>
    <w:rsid w:val="00FE49C9"/>
    <w:rsid w:val="00FE4C77"/>
    <w:rsid w:val="00FE5B22"/>
    <w:rsid w:val="00FE7BFD"/>
    <w:rsid w:val="00FF0D46"/>
    <w:rsid w:val="00FF1033"/>
    <w:rsid w:val="00FF1BEB"/>
    <w:rsid w:val="00FF300D"/>
    <w:rsid w:val="00FF3C35"/>
    <w:rsid w:val="00FF404B"/>
    <w:rsid w:val="00FF5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3DF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F1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7753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753CC"/>
    <w:rPr>
      <w:sz w:val="18"/>
      <w:szCs w:val="18"/>
    </w:rPr>
  </w:style>
  <w:style w:type="paragraph" w:styleId="a5">
    <w:name w:val="footer"/>
    <w:basedOn w:val="a"/>
    <w:link w:val="Char0"/>
    <w:uiPriority w:val="99"/>
    <w:unhideWhenUsed/>
    <w:rsid w:val="007753CC"/>
    <w:pPr>
      <w:tabs>
        <w:tab w:val="center" w:pos="4153"/>
        <w:tab w:val="right" w:pos="8306"/>
      </w:tabs>
      <w:snapToGrid w:val="0"/>
      <w:jc w:val="left"/>
    </w:pPr>
    <w:rPr>
      <w:sz w:val="18"/>
      <w:szCs w:val="18"/>
    </w:rPr>
  </w:style>
  <w:style w:type="character" w:customStyle="1" w:styleId="Char0">
    <w:name w:val="页脚 Char"/>
    <w:basedOn w:val="a0"/>
    <w:link w:val="a5"/>
    <w:uiPriority w:val="99"/>
    <w:rsid w:val="007753CC"/>
    <w:rPr>
      <w:sz w:val="18"/>
      <w:szCs w:val="18"/>
    </w:rPr>
  </w:style>
  <w:style w:type="paragraph" w:styleId="a6">
    <w:name w:val="Balloon Text"/>
    <w:basedOn w:val="a"/>
    <w:link w:val="Char1"/>
    <w:uiPriority w:val="99"/>
    <w:semiHidden/>
    <w:unhideWhenUsed/>
    <w:rsid w:val="00641687"/>
    <w:rPr>
      <w:sz w:val="18"/>
      <w:szCs w:val="18"/>
    </w:rPr>
  </w:style>
  <w:style w:type="character" w:customStyle="1" w:styleId="Char1">
    <w:name w:val="批注框文本 Char"/>
    <w:basedOn w:val="a0"/>
    <w:link w:val="a6"/>
    <w:uiPriority w:val="99"/>
    <w:semiHidden/>
    <w:rsid w:val="00641687"/>
    <w:rPr>
      <w:sz w:val="18"/>
      <w:szCs w:val="18"/>
    </w:rPr>
  </w:style>
  <w:style w:type="paragraph" w:customStyle="1" w:styleId="Default">
    <w:name w:val="Default"/>
    <w:rsid w:val="00C278BA"/>
    <w:pPr>
      <w:widowControl w:val="0"/>
      <w:autoSpaceDE w:val="0"/>
      <w:autoSpaceDN w:val="0"/>
      <w:adjustRightInd w:val="0"/>
    </w:pPr>
    <w:rPr>
      <w:rFonts w:ascii="FangSong" w:hAnsi="FangSong" w:cs="FangSong"/>
      <w:color w:val="000000"/>
      <w:kern w:val="0"/>
      <w:sz w:val="24"/>
      <w:szCs w:val="24"/>
    </w:rPr>
  </w:style>
  <w:style w:type="paragraph" w:styleId="a7">
    <w:name w:val="Normal (Web)"/>
    <w:basedOn w:val="a"/>
    <w:uiPriority w:val="99"/>
    <w:unhideWhenUsed/>
    <w:rsid w:val="004D5FE0"/>
    <w:pPr>
      <w:widowControl/>
      <w:spacing w:before="100" w:beforeAutospacing="1" w:after="100" w:afterAutospacing="1"/>
      <w:jc w:val="left"/>
    </w:pPr>
    <w:rPr>
      <w:rFonts w:ascii="宋体" w:eastAsia="宋体" w:hAnsi="宋体" w:cs="宋体"/>
      <w:kern w:val="0"/>
      <w:sz w:val="24"/>
      <w:szCs w:val="24"/>
    </w:rPr>
  </w:style>
  <w:style w:type="paragraph" w:styleId="a8">
    <w:name w:val="footnote text"/>
    <w:basedOn w:val="a"/>
    <w:link w:val="Char2"/>
    <w:uiPriority w:val="99"/>
    <w:semiHidden/>
    <w:unhideWhenUsed/>
    <w:rsid w:val="00AB0EAA"/>
    <w:pPr>
      <w:snapToGrid w:val="0"/>
      <w:jc w:val="left"/>
    </w:pPr>
    <w:rPr>
      <w:sz w:val="18"/>
      <w:szCs w:val="18"/>
    </w:rPr>
  </w:style>
  <w:style w:type="character" w:customStyle="1" w:styleId="Char2">
    <w:name w:val="脚注文本 Char"/>
    <w:basedOn w:val="a0"/>
    <w:link w:val="a8"/>
    <w:uiPriority w:val="99"/>
    <w:semiHidden/>
    <w:rsid w:val="00AB0EAA"/>
    <w:rPr>
      <w:sz w:val="18"/>
      <w:szCs w:val="18"/>
    </w:rPr>
  </w:style>
  <w:style w:type="character" w:styleId="a9">
    <w:name w:val="footnote reference"/>
    <w:basedOn w:val="a0"/>
    <w:uiPriority w:val="99"/>
    <w:semiHidden/>
    <w:unhideWhenUsed/>
    <w:rsid w:val="00AB0EAA"/>
    <w:rPr>
      <w:vertAlign w:val="superscript"/>
    </w:rPr>
  </w:style>
  <w:style w:type="character" w:styleId="aa">
    <w:name w:val="Placeholder Text"/>
    <w:basedOn w:val="a0"/>
    <w:uiPriority w:val="99"/>
    <w:semiHidden/>
    <w:rsid w:val="003720CF"/>
    <w:rPr>
      <w:color w:val="808080"/>
    </w:rPr>
  </w:style>
  <w:style w:type="character" w:styleId="ab">
    <w:name w:val="Hyperlink"/>
    <w:basedOn w:val="a0"/>
    <w:uiPriority w:val="99"/>
    <w:semiHidden/>
    <w:unhideWhenUsed/>
    <w:rsid w:val="00240102"/>
    <w:rPr>
      <w:color w:val="0000FF"/>
      <w:u w:val="single"/>
    </w:rPr>
  </w:style>
  <w:style w:type="character" w:styleId="ac">
    <w:name w:val="FollowedHyperlink"/>
    <w:basedOn w:val="a0"/>
    <w:uiPriority w:val="99"/>
    <w:semiHidden/>
    <w:unhideWhenUsed/>
    <w:rsid w:val="00240102"/>
    <w:rPr>
      <w:color w:val="800080"/>
      <w:u w:val="single"/>
    </w:rPr>
  </w:style>
  <w:style w:type="paragraph" w:customStyle="1" w:styleId="xl67">
    <w:name w:val="xl67"/>
    <w:basedOn w:val="a"/>
    <w:rsid w:val="00240102"/>
    <w:pPr>
      <w:widowControl/>
      <w:spacing w:before="100" w:beforeAutospacing="1" w:after="100" w:afterAutospacing="1"/>
      <w:jc w:val="left"/>
    </w:pPr>
    <w:rPr>
      <w:rFonts w:ascii="宋体" w:eastAsia="宋体" w:hAnsi="宋体" w:cs="宋体"/>
      <w:kern w:val="0"/>
      <w:sz w:val="24"/>
      <w:szCs w:val="24"/>
    </w:rPr>
  </w:style>
  <w:style w:type="paragraph" w:customStyle="1" w:styleId="xl68">
    <w:name w:val="xl68"/>
    <w:basedOn w:val="a"/>
    <w:rsid w:val="00240102"/>
    <w:pPr>
      <w:widowControl/>
      <w:spacing w:before="100" w:beforeAutospacing="1" w:after="100" w:afterAutospacing="1"/>
      <w:ind w:firstLineChars="100" w:firstLine="100"/>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3DF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F1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7753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753CC"/>
    <w:rPr>
      <w:sz w:val="18"/>
      <w:szCs w:val="18"/>
    </w:rPr>
  </w:style>
  <w:style w:type="paragraph" w:styleId="a5">
    <w:name w:val="footer"/>
    <w:basedOn w:val="a"/>
    <w:link w:val="Char0"/>
    <w:uiPriority w:val="99"/>
    <w:unhideWhenUsed/>
    <w:rsid w:val="007753CC"/>
    <w:pPr>
      <w:tabs>
        <w:tab w:val="center" w:pos="4153"/>
        <w:tab w:val="right" w:pos="8306"/>
      </w:tabs>
      <w:snapToGrid w:val="0"/>
      <w:jc w:val="left"/>
    </w:pPr>
    <w:rPr>
      <w:sz w:val="18"/>
      <w:szCs w:val="18"/>
    </w:rPr>
  </w:style>
  <w:style w:type="character" w:customStyle="1" w:styleId="Char0">
    <w:name w:val="页脚 Char"/>
    <w:basedOn w:val="a0"/>
    <w:link w:val="a5"/>
    <w:uiPriority w:val="99"/>
    <w:rsid w:val="007753CC"/>
    <w:rPr>
      <w:sz w:val="18"/>
      <w:szCs w:val="18"/>
    </w:rPr>
  </w:style>
  <w:style w:type="paragraph" w:styleId="a6">
    <w:name w:val="Balloon Text"/>
    <w:basedOn w:val="a"/>
    <w:link w:val="Char1"/>
    <w:uiPriority w:val="99"/>
    <w:semiHidden/>
    <w:unhideWhenUsed/>
    <w:rsid w:val="00641687"/>
    <w:rPr>
      <w:sz w:val="18"/>
      <w:szCs w:val="18"/>
    </w:rPr>
  </w:style>
  <w:style w:type="character" w:customStyle="1" w:styleId="Char1">
    <w:name w:val="批注框文本 Char"/>
    <w:basedOn w:val="a0"/>
    <w:link w:val="a6"/>
    <w:uiPriority w:val="99"/>
    <w:semiHidden/>
    <w:rsid w:val="00641687"/>
    <w:rPr>
      <w:sz w:val="18"/>
      <w:szCs w:val="18"/>
    </w:rPr>
  </w:style>
  <w:style w:type="paragraph" w:customStyle="1" w:styleId="Default">
    <w:name w:val="Default"/>
    <w:rsid w:val="00C278BA"/>
    <w:pPr>
      <w:widowControl w:val="0"/>
      <w:autoSpaceDE w:val="0"/>
      <w:autoSpaceDN w:val="0"/>
      <w:adjustRightInd w:val="0"/>
    </w:pPr>
    <w:rPr>
      <w:rFonts w:ascii="FangSong" w:hAnsi="FangSong" w:cs="FangSong"/>
      <w:color w:val="000000"/>
      <w:kern w:val="0"/>
      <w:sz w:val="24"/>
      <w:szCs w:val="24"/>
    </w:rPr>
  </w:style>
  <w:style w:type="paragraph" w:styleId="a7">
    <w:name w:val="Normal (Web)"/>
    <w:basedOn w:val="a"/>
    <w:uiPriority w:val="99"/>
    <w:unhideWhenUsed/>
    <w:rsid w:val="004D5FE0"/>
    <w:pPr>
      <w:widowControl/>
      <w:spacing w:before="100" w:beforeAutospacing="1" w:after="100" w:afterAutospacing="1"/>
      <w:jc w:val="left"/>
    </w:pPr>
    <w:rPr>
      <w:rFonts w:ascii="宋体" w:eastAsia="宋体" w:hAnsi="宋体" w:cs="宋体"/>
      <w:kern w:val="0"/>
      <w:sz w:val="24"/>
      <w:szCs w:val="24"/>
    </w:rPr>
  </w:style>
  <w:style w:type="paragraph" w:styleId="a8">
    <w:name w:val="footnote text"/>
    <w:basedOn w:val="a"/>
    <w:link w:val="Char2"/>
    <w:uiPriority w:val="99"/>
    <w:semiHidden/>
    <w:unhideWhenUsed/>
    <w:rsid w:val="00AB0EAA"/>
    <w:pPr>
      <w:snapToGrid w:val="0"/>
      <w:jc w:val="left"/>
    </w:pPr>
    <w:rPr>
      <w:sz w:val="18"/>
      <w:szCs w:val="18"/>
    </w:rPr>
  </w:style>
  <w:style w:type="character" w:customStyle="1" w:styleId="Char2">
    <w:name w:val="脚注文本 Char"/>
    <w:basedOn w:val="a0"/>
    <w:link w:val="a8"/>
    <w:uiPriority w:val="99"/>
    <w:semiHidden/>
    <w:rsid w:val="00AB0EAA"/>
    <w:rPr>
      <w:sz w:val="18"/>
      <w:szCs w:val="18"/>
    </w:rPr>
  </w:style>
  <w:style w:type="character" w:styleId="a9">
    <w:name w:val="footnote reference"/>
    <w:basedOn w:val="a0"/>
    <w:uiPriority w:val="99"/>
    <w:semiHidden/>
    <w:unhideWhenUsed/>
    <w:rsid w:val="00AB0EAA"/>
    <w:rPr>
      <w:vertAlign w:val="superscript"/>
    </w:rPr>
  </w:style>
  <w:style w:type="character" w:styleId="aa">
    <w:name w:val="Placeholder Text"/>
    <w:basedOn w:val="a0"/>
    <w:uiPriority w:val="99"/>
    <w:semiHidden/>
    <w:rsid w:val="003720CF"/>
    <w:rPr>
      <w:color w:val="808080"/>
    </w:rPr>
  </w:style>
  <w:style w:type="character" w:styleId="ab">
    <w:name w:val="Hyperlink"/>
    <w:basedOn w:val="a0"/>
    <w:uiPriority w:val="99"/>
    <w:semiHidden/>
    <w:unhideWhenUsed/>
    <w:rsid w:val="00240102"/>
    <w:rPr>
      <w:color w:val="0000FF"/>
      <w:u w:val="single"/>
    </w:rPr>
  </w:style>
  <w:style w:type="character" w:styleId="ac">
    <w:name w:val="FollowedHyperlink"/>
    <w:basedOn w:val="a0"/>
    <w:uiPriority w:val="99"/>
    <w:semiHidden/>
    <w:unhideWhenUsed/>
    <w:rsid w:val="00240102"/>
    <w:rPr>
      <w:color w:val="800080"/>
      <w:u w:val="single"/>
    </w:rPr>
  </w:style>
  <w:style w:type="paragraph" w:customStyle="1" w:styleId="xl67">
    <w:name w:val="xl67"/>
    <w:basedOn w:val="a"/>
    <w:rsid w:val="00240102"/>
    <w:pPr>
      <w:widowControl/>
      <w:spacing w:before="100" w:beforeAutospacing="1" w:after="100" w:afterAutospacing="1"/>
      <w:jc w:val="left"/>
    </w:pPr>
    <w:rPr>
      <w:rFonts w:ascii="宋体" w:eastAsia="宋体" w:hAnsi="宋体" w:cs="宋体"/>
      <w:kern w:val="0"/>
      <w:sz w:val="24"/>
      <w:szCs w:val="24"/>
    </w:rPr>
  </w:style>
  <w:style w:type="paragraph" w:customStyle="1" w:styleId="xl68">
    <w:name w:val="xl68"/>
    <w:basedOn w:val="a"/>
    <w:rsid w:val="00240102"/>
    <w:pPr>
      <w:widowControl/>
      <w:spacing w:before="100" w:beforeAutospacing="1" w:after="100" w:afterAutospacing="1"/>
      <w:ind w:firstLineChars="100" w:firstLine="10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0839">
      <w:bodyDiv w:val="1"/>
      <w:marLeft w:val="0"/>
      <w:marRight w:val="0"/>
      <w:marTop w:val="0"/>
      <w:marBottom w:val="0"/>
      <w:divBdr>
        <w:top w:val="none" w:sz="0" w:space="0" w:color="auto"/>
        <w:left w:val="none" w:sz="0" w:space="0" w:color="auto"/>
        <w:bottom w:val="none" w:sz="0" w:space="0" w:color="auto"/>
        <w:right w:val="none" w:sz="0" w:space="0" w:color="auto"/>
      </w:divBdr>
    </w:div>
    <w:div w:id="4746228">
      <w:bodyDiv w:val="1"/>
      <w:marLeft w:val="0"/>
      <w:marRight w:val="0"/>
      <w:marTop w:val="0"/>
      <w:marBottom w:val="0"/>
      <w:divBdr>
        <w:top w:val="none" w:sz="0" w:space="0" w:color="auto"/>
        <w:left w:val="none" w:sz="0" w:space="0" w:color="auto"/>
        <w:bottom w:val="none" w:sz="0" w:space="0" w:color="auto"/>
        <w:right w:val="none" w:sz="0" w:space="0" w:color="auto"/>
      </w:divBdr>
    </w:div>
    <w:div w:id="36514713">
      <w:bodyDiv w:val="1"/>
      <w:marLeft w:val="0"/>
      <w:marRight w:val="0"/>
      <w:marTop w:val="0"/>
      <w:marBottom w:val="0"/>
      <w:divBdr>
        <w:top w:val="none" w:sz="0" w:space="0" w:color="auto"/>
        <w:left w:val="none" w:sz="0" w:space="0" w:color="auto"/>
        <w:bottom w:val="none" w:sz="0" w:space="0" w:color="auto"/>
        <w:right w:val="none" w:sz="0" w:space="0" w:color="auto"/>
      </w:divBdr>
    </w:div>
    <w:div w:id="81296290">
      <w:bodyDiv w:val="1"/>
      <w:marLeft w:val="0"/>
      <w:marRight w:val="0"/>
      <w:marTop w:val="0"/>
      <w:marBottom w:val="0"/>
      <w:divBdr>
        <w:top w:val="none" w:sz="0" w:space="0" w:color="auto"/>
        <w:left w:val="none" w:sz="0" w:space="0" w:color="auto"/>
        <w:bottom w:val="none" w:sz="0" w:space="0" w:color="auto"/>
        <w:right w:val="none" w:sz="0" w:space="0" w:color="auto"/>
      </w:divBdr>
    </w:div>
    <w:div w:id="88477947">
      <w:bodyDiv w:val="1"/>
      <w:marLeft w:val="0"/>
      <w:marRight w:val="0"/>
      <w:marTop w:val="0"/>
      <w:marBottom w:val="0"/>
      <w:divBdr>
        <w:top w:val="none" w:sz="0" w:space="0" w:color="auto"/>
        <w:left w:val="none" w:sz="0" w:space="0" w:color="auto"/>
        <w:bottom w:val="none" w:sz="0" w:space="0" w:color="auto"/>
        <w:right w:val="none" w:sz="0" w:space="0" w:color="auto"/>
      </w:divBdr>
    </w:div>
    <w:div w:id="88742850">
      <w:bodyDiv w:val="1"/>
      <w:marLeft w:val="0"/>
      <w:marRight w:val="0"/>
      <w:marTop w:val="0"/>
      <w:marBottom w:val="0"/>
      <w:divBdr>
        <w:top w:val="none" w:sz="0" w:space="0" w:color="auto"/>
        <w:left w:val="none" w:sz="0" w:space="0" w:color="auto"/>
        <w:bottom w:val="none" w:sz="0" w:space="0" w:color="auto"/>
        <w:right w:val="none" w:sz="0" w:space="0" w:color="auto"/>
      </w:divBdr>
    </w:div>
    <w:div w:id="97604395">
      <w:bodyDiv w:val="1"/>
      <w:marLeft w:val="0"/>
      <w:marRight w:val="0"/>
      <w:marTop w:val="0"/>
      <w:marBottom w:val="0"/>
      <w:divBdr>
        <w:top w:val="none" w:sz="0" w:space="0" w:color="auto"/>
        <w:left w:val="none" w:sz="0" w:space="0" w:color="auto"/>
        <w:bottom w:val="none" w:sz="0" w:space="0" w:color="auto"/>
        <w:right w:val="none" w:sz="0" w:space="0" w:color="auto"/>
      </w:divBdr>
    </w:div>
    <w:div w:id="133642427">
      <w:bodyDiv w:val="1"/>
      <w:marLeft w:val="0"/>
      <w:marRight w:val="0"/>
      <w:marTop w:val="0"/>
      <w:marBottom w:val="0"/>
      <w:divBdr>
        <w:top w:val="none" w:sz="0" w:space="0" w:color="auto"/>
        <w:left w:val="none" w:sz="0" w:space="0" w:color="auto"/>
        <w:bottom w:val="none" w:sz="0" w:space="0" w:color="auto"/>
        <w:right w:val="none" w:sz="0" w:space="0" w:color="auto"/>
      </w:divBdr>
    </w:div>
    <w:div w:id="144782598">
      <w:bodyDiv w:val="1"/>
      <w:marLeft w:val="0"/>
      <w:marRight w:val="0"/>
      <w:marTop w:val="0"/>
      <w:marBottom w:val="0"/>
      <w:divBdr>
        <w:top w:val="none" w:sz="0" w:space="0" w:color="auto"/>
        <w:left w:val="none" w:sz="0" w:space="0" w:color="auto"/>
        <w:bottom w:val="none" w:sz="0" w:space="0" w:color="auto"/>
        <w:right w:val="none" w:sz="0" w:space="0" w:color="auto"/>
      </w:divBdr>
    </w:div>
    <w:div w:id="149293171">
      <w:bodyDiv w:val="1"/>
      <w:marLeft w:val="0"/>
      <w:marRight w:val="0"/>
      <w:marTop w:val="0"/>
      <w:marBottom w:val="0"/>
      <w:divBdr>
        <w:top w:val="none" w:sz="0" w:space="0" w:color="auto"/>
        <w:left w:val="none" w:sz="0" w:space="0" w:color="auto"/>
        <w:bottom w:val="none" w:sz="0" w:space="0" w:color="auto"/>
        <w:right w:val="none" w:sz="0" w:space="0" w:color="auto"/>
      </w:divBdr>
    </w:div>
    <w:div w:id="191454958">
      <w:bodyDiv w:val="1"/>
      <w:marLeft w:val="0"/>
      <w:marRight w:val="0"/>
      <w:marTop w:val="0"/>
      <w:marBottom w:val="0"/>
      <w:divBdr>
        <w:top w:val="none" w:sz="0" w:space="0" w:color="auto"/>
        <w:left w:val="none" w:sz="0" w:space="0" w:color="auto"/>
        <w:bottom w:val="none" w:sz="0" w:space="0" w:color="auto"/>
        <w:right w:val="none" w:sz="0" w:space="0" w:color="auto"/>
      </w:divBdr>
    </w:div>
    <w:div w:id="249196643">
      <w:bodyDiv w:val="1"/>
      <w:marLeft w:val="0"/>
      <w:marRight w:val="0"/>
      <w:marTop w:val="0"/>
      <w:marBottom w:val="0"/>
      <w:divBdr>
        <w:top w:val="none" w:sz="0" w:space="0" w:color="auto"/>
        <w:left w:val="none" w:sz="0" w:space="0" w:color="auto"/>
        <w:bottom w:val="none" w:sz="0" w:space="0" w:color="auto"/>
        <w:right w:val="none" w:sz="0" w:space="0" w:color="auto"/>
      </w:divBdr>
    </w:div>
    <w:div w:id="249972855">
      <w:bodyDiv w:val="1"/>
      <w:marLeft w:val="0"/>
      <w:marRight w:val="0"/>
      <w:marTop w:val="0"/>
      <w:marBottom w:val="0"/>
      <w:divBdr>
        <w:top w:val="none" w:sz="0" w:space="0" w:color="auto"/>
        <w:left w:val="none" w:sz="0" w:space="0" w:color="auto"/>
        <w:bottom w:val="none" w:sz="0" w:space="0" w:color="auto"/>
        <w:right w:val="none" w:sz="0" w:space="0" w:color="auto"/>
      </w:divBdr>
    </w:div>
    <w:div w:id="250624325">
      <w:bodyDiv w:val="1"/>
      <w:marLeft w:val="0"/>
      <w:marRight w:val="0"/>
      <w:marTop w:val="0"/>
      <w:marBottom w:val="0"/>
      <w:divBdr>
        <w:top w:val="none" w:sz="0" w:space="0" w:color="auto"/>
        <w:left w:val="none" w:sz="0" w:space="0" w:color="auto"/>
        <w:bottom w:val="none" w:sz="0" w:space="0" w:color="auto"/>
        <w:right w:val="none" w:sz="0" w:space="0" w:color="auto"/>
      </w:divBdr>
    </w:div>
    <w:div w:id="259795358">
      <w:bodyDiv w:val="1"/>
      <w:marLeft w:val="0"/>
      <w:marRight w:val="0"/>
      <w:marTop w:val="0"/>
      <w:marBottom w:val="0"/>
      <w:divBdr>
        <w:top w:val="none" w:sz="0" w:space="0" w:color="auto"/>
        <w:left w:val="none" w:sz="0" w:space="0" w:color="auto"/>
        <w:bottom w:val="none" w:sz="0" w:space="0" w:color="auto"/>
        <w:right w:val="none" w:sz="0" w:space="0" w:color="auto"/>
      </w:divBdr>
    </w:div>
    <w:div w:id="260644805">
      <w:bodyDiv w:val="1"/>
      <w:marLeft w:val="0"/>
      <w:marRight w:val="0"/>
      <w:marTop w:val="0"/>
      <w:marBottom w:val="0"/>
      <w:divBdr>
        <w:top w:val="none" w:sz="0" w:space="0" w:color="auto"/>
        <w:left w:val="none" w:sz="0" w:space="0" w:color="auto"/>
        <w:bottom w:val="none" w:sz="0" w:space="0" w:color="auto"/>
        <w:right w:val="none" w:sz="0" w:space="0" w:color="auto"/>
      </w:divBdr>
    </w:div>
    <w:div w:id="263536789">
      <w:bodyDiv w:val="1"/>
      <w:marLeft w:val="0"/>
      <w:marRight w:val="0"/>
      <w:marTop w:val="0"/>
      <w:marBottom w:val="0"/>
      <w:divBdr>
        <w:top w:val="none" w:sz="0" w:space="0" w:color="auto"/>
        <w:left w:val="none" w:sz="0" w:space="0" w:color="auto"/>
        <w:bottom w:val="none" w:sz="0" w:space="0" w:color="auto"/>
        <w:right w:val="none" w:sz="0" w:space="0" w:color="auto"/>
      </w:divBdr>
    </w:div>
    <w:div w:id="285353839">
      <w:bodyDiv w:val="1"/>
      <w:marLeft w:val="0"/>
      <w:marRight w:val="0"/>
      <w:marTop w:val="0"/>
      <w:marBottom w:val="0"/>
      <w:divBdr>
        <w:top w:val="none" w:sz="0" w:space="0" w:color="auto"/>
        <w:left w:val="none" w:sz="0" w:space="0" w:color="auto"/>
        <w:bottom w:val="none" w:sz="0" w:space="0" w:color="auto"/>
        <w:right w:val="none" w:sz="0" w:space="0" w:color="auto"/>
      </w:divBdr>
    </w:div>
    <w:div w:id="300161468">
      <w:bodyDiv w:val="1"/>
      <w:marLeft w:val="0"/>
      <w:marRight w:val="0"/>
      <w:marTop w:val="0"/>
      <w:marBottom w:val="0"/>
      <w:divBdr>
        <w:top w:val="none" w:sz="0" w:space="0" w:color="auto"/>
        <w:left w:val="none" w:sz="0" w:space="0" w:color="auto"/>
        <w:bottom w:val="none" w:sz="0" w:space="0" w:color="auto"/>
        <w:right w:val="none" w:sz="0" w:space="0" w:color="auto"/>
      </w:divBdr>
    </w:div>
    <w:div w:id="326711135">
      <w:bodyDiv w:val="1"/>
      <w:marLeft w:val="0"/>
      <w:marRight w:val="0"/>
      <w:marTop w:val="0"/>
      <w:marBottom w:val="0"/>
      <w:divBdr>
        <w:top w:val="none" w:sz="0" w:space="0" w:color="auto"/>
        <w:left w:val="none" w:sz="0" w:space="0" w:color="auto"/>
        <w:bottom w:val="none" w:sz="0" w:space="0" w:color="auto"/>
        <w:right w:val="none" w:sz="0" w:space="0" w:color="auto"/>
      </w:divBdr>
    </w:div>
    <w:div w:id="336227221">
      <w:bodyDiv w:val="1"/>
      <w:marLeft w:val="0"/>
      <w:marRight w:val="0"/>
      <w:marTop w:val="0"/>
      <w:marBottom w:val="0"/>
      <w:divBdr>
        <w:top w:val="none" w:sz="0" w:space="0" w:color="auto"/>
        <w:left w:val="none" w:sz="0" w:space="0" w:color="auto"/>
        <w:bottom w:val="none" w:sz="0" w:space="0" w:color="auto"/>
        <w:right w:val="none" w:sz="0" w:space="0" w:color="auto"/>
      </w:divBdr>
    </w:div>
    <w:div w:id="336425553">
      <w:bodyDiv w:val="1"/>
      <w:marLeft w:val="0"/>
      <w:marRight w:val="0"/>
      <w:marTop w:val="0"/>
      <w:marBottom w:val="0"/>
      <w:divBdr>
        <w:top w:val="none" w:sz="0" w:space="0" w:color="auto"/>
        <w:left w:val="none" w:sz="0" w:space="0" w:color="auto"/>
        <w:bottom w:val="none" w:sz="0" w:space="0" w:color="auto"/>
        <w:right w:val="none" w:sz="0" w:space="0" w:color="auto"/>
      </w:divBdr>
    </w:div>
    <w:div w:id="339619789">
      <w:bodyDiv w:val="1"/>
      <w:marLeft w:val="0"/>
      <w:marRight w:val="0"/>
      <w:marTop w:val="0"/>
      <w:marBottom w:val="0"/>
      <w:divBdr>
        <w:top w:val="none" w:sz="0" w:space="0" w:color="auto"/>
        <w:left w:val="none" w:sz="0" w:space="0" w:color="auto"/>
        <w:bottom w:val="none" w:sz="0" w:space="0" w:color="auto"/>
        <w:right w:val="none" w:sz="0" w:space="0" w:color="auto"/>
      </w:divBdr>
    </w:div>
    <w:div w:id="376322488">
      <w:bodyDiv w:val="1"/>
      <w:marLeft w:val="0"/>
      <w:marRight w:val="0"/>
      <w:marTop w:val="0"/>
      <w:marBottom w:val="0"/>
      <w:divBdr>
        <w:top w:val="none" w:sz="0" w:space="0" w:color="auto"/>
        <w:left w:val="none" w:sz="0" w:space="0" w:color="auto"/>
        <w:bottom w:val="none" w:sz="0" w:space="0" w:color="auto"/>
        <w:right w:val="none" w:sz="0" w:space="0" w:color="auto"/>
      </w:divBdr>
    </w:div>
    <w:div w:id="406077484">
      <w:bodyDiv w:val="1"/>
      <w:marLeft w:val="0"/>
      <w:marRight w:val="0"/>
      <w:marTop w:val="0"/>
      <w:marBottom w:val="0"/>
      <w:divBdr>
        <w:top w:val="none" w:sz="0" w:space="0" w:color="auto"/>
        <w:left w:val="none" w:sz="0" w:space="0" w:color="auto"/>
        <w:bottom w:val="none" w:sz="0" w:space="0" w:color="auto"/>
        <w:right w:val="none" w:sz="0" w:space="0" w:color="auto"/>
      </w:divBdr>
    </w:div>
    <w:div w:id="406147680">
      <w:bodyDiv w:val="1"/>
      <w:marLeft w:val="0"/>
      <w:marRight w:val="0"/>
      <w:marTop w:val="0"/>
      <w:marBottom w:val="0"/>
      <w:divBdr>
        <w:top w:val="none" w:sz="0" w:space="0" w:color="auto"/>
        <w:left w:val="none" w:sz="0" w:space="0" w:color="auto"/>
        <w:bottom w:val="none" w:sz="0" w:space="0" w:color="auto"/>
        <w:right w:val="none" w:sz="0" w:space="0" w:color="auto"/>
      </w:divBdr>
    </w:div>
    <w:div w:id="425225952">
      <w:bodyDiv w:val="1"/>
      <w:marLeft w:val="0"/>
      <w:marRight w:val="0"/>
      <w:marTop w:val="0"/>
      <w:marBottom w:val="0"/>
      <w:divBdr>
        <w:top w:val="none" w:sz="0" w:space="0" w:color="auto"/>
        <w:left w:val="none" w:sz="0" w:space="0" w:color="auto"/>
        <w:bottom w:val="none" w:sz="0" w:space="0" w:color="auto"/>
        <w:right w:val="none" w:sz="0" w:space="0" w:color="auto"/>
      </w:divBdr>
    </w:div>
    <w:div w:id="495731968">
      <w:bodyDiv w:val="1"/>
      <w:marLeft w:val="0"/>
      <w:marRight w:val="0"/>
      <w:marTop w:val="0"/>
      <w:marBottom w:val="0"/>
      <w:divBdr>
        <w:top w:val="none" w:sz="0" w:space="0" w:color="auto"/>
        <w:left w:val="none" w:sz="0" w:space="0" w:color="auto"/>
        <w:bottom w:val="none" w:sz="0" w:space="0" w:color="auto"/>
        <w:right w:val="none" w:sz="0" w:space="0" w:color="auto"/>
      </w:divBdr>
    </w:div>
    <w:div w:id="496270247">
      <w:bodyDiv w:val="1"/>
      <w:marLeft w:val="0"/>
      <w:marRight w:val="0"/>
      <w:marTop w:val="0"/>
      <w:marBottom w:val="0"/>
      <w:divBdr>
        <w:top w:val="none" w:sz="0" w:space="0" w:color="auto"/>
        <w:left w:val="none" w:sz="0" w:space="0" w:color="auto"/>
        <w:bottom w:val="none" w:sz="0" w:space="0" w:color="auto"/>
        <w:right w:val="none" w:sz="0" w:space="0" w:color="auto"/>
      </w:divBdr>
    </w:div>
    <w:div w:id="588537682">
      <w:bodyDiv w:val="1"/>
      <w:marLeft w:val="0"/>
      <w:marRight w:val="0"/>
      <w:marTop w:val="0"/>
      <w:marBottom w:val="0"/>
      <w:divBdr>
        <w:top w:val="none" w:sz="0" w:space="0" w:color="auto"/>
        <w:left w:val="none" w:sz="0" w:space="0" w:color="auto"/>
        <w:bottom w:val="none" w:sz="0" w:space="0" w:color="auto"/>
        <w:right w:val="none" w:sz="0" w:space="0" w:color="auto"/>
      </w:divBdr>
    </w:div>
    <w:div w:id="644818716">
      <w:bodyDiv w:val="1"/>
      <w:marLeft w:val="0"/>
      <w:marRight w:val="0"/>
      <w:marTop w:val="0"/>
      <w:marBottom w:val="0"/>
      <w:divBdr>
        <w:top w:val="none" w:sz="0" w:space="0" w:color="auto"/>
        <w:left w:val="none" w:sz="0" w:space="0" w:color="auto"/>
        <w:bottom w:val="none" w:sz="0" w:space="0" w:color="auto"/>
        <w:right w:val="none" w:sz="0" w:space="0" w:color="auto"/>
      </w:divBdr>
    </w:div>
    <w:div w:id="687214473">
      <w:bodyDiv w:val="1"/>
      <w:marLeft w:val="0"/>
      <w:marRight w:val="0"/>
      <w:marTop w:val="0"/>
      <w:marBottom w:val="0"/>
      <w:divBdr>
        <w:top w:val="none" w:sz="0" w:space="0" w:color="auto"/>
        <w:left w:val="none" w:sz="0" w:space="0" w:color="auto"/>
        <w:bottom w:val="none" w:sz="0" w:space="0" w:color="auto"/>
        <w:right w:val="none" w:sz="0" w:space="0" w:color="auto"/>
      </w:divBdr>
    </w:div>
    <w:div w:id="690449627">
      <w:bodyDiv w:val="1"/>
      <w:marLeft w:val="0"/>
      <w:marRight w:val="0"/>
      <w:marTop w:val="0"/>
      <w:marBottom w:val="0"/>
      <w:divBdr>
        <w:top w:val="none" w:sz="0" w:space="0" w:color="auto"/>
        <w:left w:val="none" w:sz="0" w:space="0" w:color="auto"/>
        <w:bottom w:val="none" w:sz="0" w:space="0" w:color="auto"/>
        <w:right w:val="none" w:sz="0" w:space="0" w:color="auto"/>
      </w:divBdr>
    </w:div>
    <w:div w:id="698360508">
      <w:bodyDiv w:val="1"/>
      <w:marLeft w:val="0"/>
      <w:marRight w:val="0"/>
      <w:marTop w:val="0"/>
      <w:marBottom w:val="0"/>
      <w:divBdr>
        <w:top w:val="none" w:sz="0" w:space="0" w:color="auto"/>
        <w:left w:val="none" w:sz="0" w:space="0" w:color="auto"/>
        <w:bottom w:val="none" w:sz="0" w:space="0" w:color="auto"/>
        <w:right w:val="none" w:sz="0" w:space="0" w:color="auto"/>
      </w:divBdr>
    </w:div>
    <w:div w:id="714164610">
      <w:bodyDiv w:val="1"/>
      <w:marLeft w:val="0"/>
      <w:marRight w:val="0"/>
      <w:marTop w:val="0"/>
      <w:marBottom w:val="0"/>
      <w:divBdr>
        <w:top w:val="none" w:sz="0" w:space="0" w:color="auto"/>
        <w:left w:val="none" w:sz="0" w:space="0" w:color="auto"/>
        <w:bottom w:val="none" w:sz="0" w:space="0" w:color="auto"/>
        <w:right w:val="none" w:sz="0" w:space="0" w:color="auto"/>
      </w:divBdr>
    </w:div>
    <w:div w:id="744424375">
      <w:bodyDiv w:val="1"/>
      <w:marLeft w:val="0"/>
      <w:marRight w:val="0"/>
      <w:marTop w:val="0"/>
      <w:marBottom w:val="0"/>
      <w:divBdr>
        <w:top w:val="none" w:sz="0" w:space="0" w:color="auto"/>
        <w:left w:val="none" w:sz="0" w:space="0" w:color="auto"/>
        <w:bottom w:val="none" w:sz="0" w:space="0" w:color="auto"/>
        <w:right w:val="none" w:sz="0" w:space="0" w:color="auto"/>
      </w:divBdr>
    </w:div>
    <w:div w:id="760416400">
      <w:bodyDiv w:val="1"/>
      <w:marLeft w:val="0"/>
      <w:marRight w:val="0"/>
      <w:marTop w:val="0"/>
      <w:marBottom w:val="0"/>
      <w:divBdr>
        <w:top w:val="none" w:sz="0" w:space="0" w:color="auto"/>
        <w:left w:val="none" w:sz="0" w:space="0" w:color="auto"/>
        <w:bottom w:val="none" w:sz="0" w:space="0" w:color="auto"/>
        <w:right w:val="none" w:sz="0" w:space="0" w:color="auto"/>
      </w:divBdr>
    </w:div>
    <w:div w:id="777411160">
      <w:bodyDiv w:val="1"/>
      <w:marLeft w:val="0"/>
      <w:marRight w:val="0"/>
      <w:marTop w:val="0"/>
      <w:marBottom w:val="0"/>
      <w:divBdr>
        <w:top w:val="none" w:sz="0" w:space="0" w:color="auto"/>
        <w:left w:val="none" w:sz="0" w:space="0" w:color="auto"/>
        <w:bottom w:val="none" w:sz="0" w:space="0" w:color="auto"/>
        <w:right w:val="none" w:sz="0" w:space="0" w:color="auto"/>
      </w:divBdr>
    </w:div>
    <w:div w:id="790174960">
      <w:bodyDiv w:val="1"/>
      <w:marLeft w:val="0"/>
      <w:marRight w:val="0"/>
      <w:marTop w:val="0"/>
      <w:marBottom w:val="0"/>
      <w:divBdr>
        <w:top w:val="none" w:sz="0" w:space="0" w:color="auto"/>
        <w:left w:val="none" w:sz="0" w:space="0" w:color="auto"/>
        <w:bottom w:val="none" w:sz="0" w:space="0" w:color="auto"/>
        <w:right w:val="none" w:sz="0" w:space="0" w:color="auto"/>
      </w:divBdr>
    </w:div>
    <w:div w:id="807550785">
      <w:bodyDiv w:val="1"/>
      <w:marLeft w:val="0"/>
      <w:marRight w:val="0"/>
      <w:marTop w:val="0"/>
      <w:marBottom w:val="0"/>
      <w:divBdr>
        <w:top w:val="none" w:sz="0" w:space="0" w:color="auto"/>
        <w:left w:val="none" w:sz="0" w:space="0" w:color="auto"/>
        <w:bottom w:val="none" w:sz="0" w:space="0" w:color="auto"/>
        <w:right w:val="none" w:sz="0" w:space="0" w:color="auto"/>
      </w:divBdr>
    </w:div>
    <w:div w:id="837309805">
      <w:bodyDiv w:val="1"/>
      <w:marLeft w:val="0"/>
      <w:marRight w:val="0"/>
      <w:marTop w:val="0"/>
      <w:marBottom w:val="0"/>
      <w:divBdr>
        <w:top w:val="none" w:sz="0" w:space="0" w:color="auto"/>
        <w:left w:val="none" w:sz="0" w:space="0" w:color="auto"/>
        <w:bottom w:val="none" w:sz="0" w:space="0" w:color="auto"/>
        <w:right w:val="none" w:sz="0" w:space="0" w:color="auto"/>
      </w:divBdr>
    </w:div>
    <w:div w:id="870456625">
      <w:bodyDiv w:val="1"/>
      <w:marLeft w:val="0"/>
      <w:marRight w:val="0"/>
      <w:marTop w:val="0"/>
      <w:marBottom w:val="0"/>
      <w:divBdr>
        <w:top w:val="none" w:sz="0" w:space="0" w:color="auto"/>
        <w:left w:val="none" w:sz="0" w:space="0" w:color="auto"/>
        <w:bottom w:val="none" w:sz="0" w:space="0" w:color="auto"/>
        <w:right w:val="none" w:sz="0" w:space="0" w:color="auto"/>
      </w:divBdr>
    </w:div>
    <w:div w:id="878007222">
      <w:bodyDiv w:val="1"/>
      <w:marLeft w:val="0"/>
      <w:marRight w:val="0"/>
      <w:marTop w:val="0"/>
      <w:marBottom w:val="0"/>
      <w:divBdr>
        <w:top w:val="none" w:sz="0" w:space="0" w:color="auto"/>
        <w:left w:val="none" w:sz="0" w:space="0" w:color="auto"/>
        <w:bottom w:val="none" w:sz="0" w:space="0" w:color="auto"/>
        <w:right w:val="none" w:sz="0" w:space="0" w:color="auto"/>
      </w:divBdr>
    </w:div>
    <w:div w:id="923220851">
      <w:bodyDiv w:val="1"/>
      <w:marLeft w:val="0"/>
      <w:marRight w:val="0"/>
      <w:marTop w:val="0"/>
      <w:marBottom w:val="0"/>
      <w:divBdr>
        <w:top w:val="none" w:sz="0" w:space="0" w:color="auto"/>
        <w:left w:val="none" w:sz="0" w:space="0" w:color="auto"/>
        <w:bottom w:val="none" w:sz="0" w:space="0" w:color="auto"/>
        <w:right w:val="none" w:sz="0" w:space="0" w:color="auto"/>
      </w:divBdr>
    </w:div>
    <w:div w:id="965280618">
      <w:bodyDiv w:val="1"/>
      <w:marLeft w:val="0"/>
      <w:marRight w:val="0"/>
      <w:marTop w:val="0"/>
      <w:marBottom w:val="0"/>
      <w:divBdr>
        <w:top w:val="none" w:sz="0" w:space="0" w:color="auto"/>
        <w:left w:val="none" w:sz="0" w:space="0" w:color="auto"/>
        <w:bottom w:val="none" w:sz="0" w:space="0" w:color="auto"/>
        <w:right w:val="none" w:sz="0" w:space="0" w:color="auto"/>
      </w:divBdr>
    </w:div>
    <w:div w:id="1007100093">
      <w:bodyDiv w:val="1"/>
      <w:marLeft w:val="0"/>
      <w:marRight w:val="0"/>
      <w:marTop w:val="0"/>
      <w:marBottom w:val="0"/>
      <w:divBdr>
        <w:top w:val="none" w:sz="0" w:space="0" w:color="auto"/>
        <w:left w:val="none" w:sz="0" w:space="0" w:color="auto"/>
        <w:bottom w:val="none" w:sz="0" w:space="0" w:color="auto"/>
        <w:right w:val="none" w:sz="0" w:space="0" w:color="auto"/>
      </w:divBdr>
    </w:div>
    <w:div w:id="1012680952">
      <w:bodyDiv w:val="1"/>
      <w:marLeft w:val="0"/>
      <w:marRight w:val="0"/>
      <w:marTop w:val="0"/>
      <w:marBottom w:val="0"/>
      <w:divBdr>
        <w:top w:val="none" w:sz="0" w:space="0" w:color="auto"/>
        <w:left w:val="none" w:sz="0" w:space="0" w:color="auto"/>
        <w:bottom w:val="none" w:sz="0" w:space="0" w:color="auto"/>
        <w:right w:val="none" w:sz="0" w:space="0" w:color="auto"/>
      </w:divBdr>
    </w:div>
    <w:div w:id="1023478121">
      <w:bodyDiv w:val="1"/>
      <w:marLeft w:val="0"/>
      <w:marRight w:val="0"/>
      <w:marTop w:val="0"/>
      <w:marBottom w:val="0"/>
      <w:divBdr>
        <w:top w:val="none" w:sz="0" w:space="0" w:color="auto"/>
        <w:left w:val="none" w:sz="0" w:space="0" w:color="auto"/>
        <w:bottom w:val="none" w:sz="0" w:space="0" w:color="auto"/>
        <w:right w:val="none" w:sz="0" w:space="0" w:color="auto"/>
      </w:divBdr>
    </w:div>
    <w:div w:id="1030840676">
      <w:bodyDiv w:val="1"/>
      <w:marLeft w:val="0"/>
      <w:marRight w:val="0"/>
      <w:marTop w:val="0"/>
      <w:marBottom w:val="0"/>
      <w:divBdr>
        <w:top w:val="none" w:sz="0" w:space="0" w:color="auto"/>
        <w:left w:val="none" w:sz="0" w:space="0" w:color="auto"/>
        <w:bottom w:val="none" w:sz="0" w:space="0" w:color="auto"/>
        <w:right w:val="none" w:sz="0" w:space="0" w:color="auto"/>
      </w:divBdr>
    </w:div>
    <w:div w:id="1086154034">
      <w:bodyDiv w:val="1"/>
      <w:marLeft w:val="0"/>
      <w:marRight w:val="0"/>
      <w:marTop w:val="0"/>
      <w:marBottom w:val="0"/>
      <w:divBdr>
        <w:top w:val="none" w:sz="0" w:space="0" w:color="auto"/>
        <w:left w:val="none" w:sz="0" w:space="0" w:color="auto"/>
        <w:bottom w:val="none" w:sz="0" w:space="0" w:color="auto"/>
        <w:right w:val="none" w:sz="0" w:space="0" w:color="auto"/>
      </w:divBdr>
    </w:div>
    <w:div w:id="1093742560">
      <w:bodyDiv w:val="1"/>
      <w:marLeft w:val="0"/>
      <w:marRight w:val="0"/>
      <w:marTop w:val="0"/>
      <w:marBottom w:val="0"/>
      <w:divBdr>
        <w:top w:val="none" w:sz="0" w:space="0" w:color="auto"/>
        <w:left w:val="none" w:sz="0" w:space="0" w:color="auto"/>
        <w:bottom w:val="none" w:sz="0" w:space="0" w:color="auto"/>
        <w:right w:val="none" w:sz="0" w:space="0" w:color="auto"/>
      </w:divBdr>
    </w:div>
    <w:div w:id="1124419271">
      <w:bodyDiv w:val="1"/>
      <w:marLeft w:val="0"/>
      <w:marRight w:val="0"/>
      <w:marTop w:val="0"/>
      <w:marBottom w:val="0"/>
      <w:divBdr>
        <w:top w:val="none" w:sz="0" w:space="0" w:color="auto"/>
        <w:left w:val="none" w:sz="0" w:space="0" w:color="auto"/>
        <w:bottom w:val="none" w:sz="0" w:space="0" w:color="auto"/>
        <w:right w:val="none" w:sz="0" w:space="0" w:color="auto"/>
      </w:divBdr>
    </w:div>
    <w:div w:id="1155100128">
      <w:bodyDiv w:val="1"/>
      <w:marLeft w:val="0"/>
      <w:marRight w:val="0"/>
      <w:marTop w:val="0"/>
      <w:marBottom w:val="0"/>
      <w:divBdr>
        <w:top w:val="none" w:sz="0" w:space="0" w:color="auto"/>
        <w:left w:val="none" w:sz="0" w:space="0" w:color="auto"/>
        <w:bottom w:val="none" w:sz="0" w:space="0" w:color="auto"/>
        <w:right w:val="none" w:sz="0" w:space="0" w:color="auto"/>
      </w:divBdr>
    </w:div>
    <w:div w:id="1156606213">
      <w:bodyDiv w:val="1"/>
      <w:marLeft w:val="0"/>
      <w:marRight w:val="0"/>
      <w:marTop w:val="0"/>
      <w:marBottom w:val="0"/>
      <w:divBdr>
        <w:top w:val="none" w:sz="0" w:space="0" w:color="auto"/>
        <w:left w:val="none" w:sz="0" w:space="0" w:color="auto"/>
        <w:bottom w:val="none" w:sz="0" w:space="0" w:color="auto"/>
        <w:right w:val="none" w:sz="0" w:space="0" w:color="auto"/>
      </w:divBdr>
    </w:div>
    <w:div w:id="1201091033">
      <w:bodyDiv w:val="1"/>
      <w:marLeft w:val="0"/>
      <w:marRight w:val="0"/>
      <w:marTop w:val="0"/>
      <w:marBottom w:val="0"/>
      <w:divBdr>
        <w:top w:val="none" w:sz="0" w:space="0" w:color="auto"/>
        <w:left w:val="none" w:sz="0" w:space="0" w:color="auto"/>
        <w:bottom w:val="none" w:sz="0" w:space="0" w:color="auto"/>
        <w:right w:val="none" w:sz="0" w:space="0" w:color="auto"/>
      </w:divBdr>
    </w:div>
    <w:div w:id="1263759690">
      <w:bodyDiv w:val="1"/>
      <w:marLeft w:val="0"/>
      <w:marRight w:val="0"/>
      <w:marTop w:val="0"/>
      <w:marBottom w:val="0"/>
      <w:divBdr>
        <w:top w:val="none" w:sz="0" w:space="0" w:color="auto"/>
        <w:left w:val="none" w:sz="0" w:space="0" w:color="auto"/>
        <w:bottom w:val="none" w:sz="0" w:space="0" w:color="auto"/>
        <w:right w:val="none" w:sz="0" w:space="0" w:color="auto"/>
      </w:divBdr>
    </w:div>
    <w:div w:id="1294408200">
      <w:bodyDiv w:val="1"/>
      <w:marLeft w:val="0"/>
      <w:marRight w:val="0"/>
      <w:marTop w:val="0"/>
      <w:marBottom w:val="0"/>
      <w:divBdr>
        <w:top w:val="none" w:sz="0" w:space="0" w:color="auto"/>
        <w:left w:val="none" w:sz="0" w:space="0" w:color="auto"/>
        <w:bottom w:val="none" w:sz="0" w:space="0" w:color="auto"/>
        <w:right w:val="none" w:sz="0" w:space="0" w:color="auto"/>
      </w:divBdr>
    </w:div>
    <w:div w:id="1307199219">
      <w:bodyDiv w:val="1"/>
      <w:marLeft w:val="0"/>
      <w:marRight w:val="0"/>
      <w:marTop w:val="0"/>
      <w:marBottom w:val="0"/>
      <w:divBdr>
        <w:top w:val="none" w:sz="0" w:space="0" w:color="auto"/>
        <w:left w:val="none" w:sz="0" w:space="0" w:color="auto"/>
        <w:bottom w:val="none" w:sz="0" w:space="0" w:color="auto"/>
        <w:right w:val="none" w:sz="0" w:space="0" w:color="auto"/>
      </w:divBdr>
    </w:div>
    <w:div w:id="1326515058">
      <w:bodyDiv w:val="1"/>
      <w:marLeft w:val="0"/>
      <w:marRight w:val="0"/>
      <w:marTop w:val="0"/>
      <w:marBottom w:val="0"/>
      <w:divBdr>
        <w:top w:val="none" w:sz="0" w:space="0" w:color="auto"/>
        <w:left w:val="none" w:sz="0" w:space="0" w:color="auto"/>
        <w:bottom w:val="none" w:sz="0" w:space="0" w:color="auto"/>
        <w:right w:val="none" w:sz="0" w:space="0" w:color="auto"/>
      </w:divBdr>
    </w:div>
    <w:div w:id="1326932949">
      <w:bodyDiv w:val="1"/>
      <w:marLeft w:val="0"/>
      <w:marRight w:val="0"/>
      <w:marTop w:val="0"/>
      <w:marBottom w:val="0"/>
      <w:divBdr>
        <w:top w:val="none" w:sz="0" w:space="0" w:color="auto"/>
        <w:left w:val="none" w:sz="0" w:space="0" w:color="auto"/>
        <w:bottom w:val="none" w:sz="0" w:space="0" w:color="auto"/>
        <w:right w:val="none" w:sz="0" w:space="0" w:color="auto"/>
      </w:divBdr>
    </w:div>
    <w:div w:id="1339383238">
      <w:bodyDiv w:val="1"/>
      <w:marLeft w:val="0"/>
      <w:marRight w:val="0"/>
      <w:marTop w:val="0"/>
      <w:marBottom w:val="0"/>
      <w:divBdr>
        <w:top w:val="none" w:sz="0" w:space="0" w:color="auto"/>
        <w:left w:val="none" w:sz="0" w:space="0" w:color="auto"/>
        <w:bottom w:val="none" w:sz="0" w:space="0" w:color="auto"/>
        <w:right w:val="none" w:sz="0" w:space="0" w:color="auto"/>
      </w:divBdr>
    </w:div>
    <w:div w:id="1376660373">
      <w:bodyDiv w:val="1"/>
      <w:marLeft w:val="0"/>
      <w:marRight w:val="0"/>
      <w:marTop w:val="0"/>
      <w:marBottom w:val="0"/>
      <w:divBdr>
        <w:top w:val="none" w:sz="0" w:space="0" w:color="auto"/>
        <w:left w:val="none" w:sz="0" w:space="0" w:color="auto"/>
        <w:bottom w:val="none" w:sz="0" w:space="0" w:color="auto"/>
        <w:right w:val="none" w:sz="0" w:space="0" w:color="auto"/>
      </w:divBdr>
    </w:div>
    <w:div w:id="1389764260">
      <w:bodyDiv w:val="1"/>
      <w:marLeft w:val="0"/>
      <w:marRight w:val="0"/>
      <w:marTop w:val="0"/>
      <w:marBottom w:val="0"/>
      <w:divBdr>
        <w:top w:val="none" w:sz="0" w:space="0" w:color="auto"/>
        <w:left w:val="none" w:sz="0" w:space="0" w:color="auto"/>
        <w:bottom w:val="none" w:sz="0" w:space="0" w:color="auto"/>
        <w:right w:val="none" w:sz="0" w:space="0" w:color="auto"/>
      </w:divBdr>
    </w:div>
    <w:div w:id="1396852018">
      <w:bodyDiv w:val="1"/>
      <w:marLeft w:val="0"/>
      <w:marRight w:val="0"/>
      <w:marTop w:val="0"/>
      <w:marBottom w:val="0"/>
      <w:divBdr>
        <w:top w:val="none" w:sz="0" w:space="0" w:color="auto"/>
        <w:left w:val="none" w:sz="0" w:space="0" w:color="auto"/>
        <w:bottom w:val="none" w:sz="0" w:space="0" w:color="auto"/>
        <w:right w:val="none" w:sz="0" w:space="0" w:color="auto"/>
      </w:divBdr>
    </w:div>
    <w:div w:id="1404133804">
      <w:bodyDiv w:val="1"/>
      <w:marLeft w:val="0"/>
      <w:marRight w:val="0"/>
      <w:marTop w:val="0"/>
      <w:marBottom w:val="0"/>
      <w:divBdr>
        <w:top w:val="none" w:sz="0" w:space="0" w:color="auto"/>
        <w:left w:val="none" w:sz="0" w:space="0" w:color="auto"/>
        <w:bottom w:val="none" w:sz="0" w:space="0" w:color="auto"/>
        <w:right w:val="none" w:sz="0" w:space="0" w:color="auto"/>
      </w:divBdr>
    </w:div>
    <w:div w:id="1506239384">
      <w:bodyDiv w:val="1"/>
      <w:marLeft w:val="0"/>
      <w:marRight w:val="0"/>
      <w:marTop w:val="0"/>
      <w:marBottom w:val="0"/>
      <w:divBdr>
        <w:top w:val="none" w:sz="0" w:space="0" w:color="auto"/>
        <w:left w:val="none" w:sz="0" w:space="0" w:color="auto"/>
        <w:bottom w:val="none" w:sz="0" w:space="0" w:color="auto"/>
        <w:right w:val="none" w:sz="0" w:space="0" w:color="auto"/>
      </w:divBdr>
    </w:div>
    <w:div w:id="1533575109">
      <w:bodyDiv w:val="1"/>
      <w:marLeft w:val="0"/>
      <w:marRight w:val="0"/>
      <w:marTop w:val="0"/>
      <w:marBottom w:val="0"/>
      <w:divBdr>
        <w:top w:val="none" w:sz="0" w:space="0" w:color="auto"/>
        <w:left w:val="none" w:sz="0" w:space="0" w:color="auto"/>
        <w:bottom w:val="none" w:sz="0" w:space="0" w:color="auto"/>
        <w:right w:val="none" w:sz="0" w:space="0" w:color="auto"/>
      </w:divBdr>
    </w:div>
    <w:div w:id="1553616087">
      <w:bodyDiv w:val="1"/>
      <w:marLeft w:val="0"/>
      <w:marRight w:val="0"/>
      <w:marTop w:val="0"/>
      <w:marBottom w:val="0"/>
      <w:divBdr>
        <w:top w:val="none" w:sz="0" w:space="0" w:color="auto"/>
        <w:left w:val="none" w:sz="0" w:space="0" w:color="auto"/>
        <w:bottom w:val="none" w:sz="0" w:space="0" w:color="auto"/>
        <w:right w:val="none" w:sz="0" w:space="0" w:color="auto"/>
      </w:divBdr>
    </w:div>
    <w:div w:id="1576890743">
      <w:bodyDiv w:val="1"/>
      <w:marLeft w:val="0"/>
      <w:marRight w:val="0"/>
      <w:marTop w:val="0"/>
      <w:marBottom w:val="0"/>
      <w:divBdr>
        <w:top w:val="none" w:sz="0" w:space="0" w:color="auto"/>
        <w:left w:val="none" w:sz="0" w:space="0" w:color="auto"/>
        <w:bottom w:val="none" w:sz="0" w:space="0" w:color="auto"/>
        <w:right w:val="none" w:sz="0" w:space="0" w:color="auto"/>
      </w:divBdr>
    </w:div>
    <w:div w:id="1582374571">
      <w:bodyDiv w:val="1"/>
      <w:marLeft w:val="0"/>
      <w:marRight w:val="0"/>
      <w:marTop w:val="0"/>
      <w:marBottom w:val="0"/>
      <w:divBdr>
        <w:top w:val="none" w:sz="0" w:space="0" w:color="auto"/>
        <w:left w:val="none" w:sz="0" w:space="0" w:color="auto"/>
        <w:bottom w:val="none" w:sz="0" w:space="0" w:color="auto"/>
        <w:right w:val="none" w:sz="0" w:space="0" w:color="auto"/>
      </w:divBdr>
    </w:div>
    <w:div w:id="1586381420">
      <w:bodyDiv w:val="1"/>
      <w:marLeft w:val="0"/>
      <w:marRight w:val="0"/>
      <w:marTop w:val="0"/>
      <w:marBottom w:val="0"/>
      <w:divBdr>
        <w:top w:val="none" w:sz="0" w:space="0" w:color="auto"/>
        <w:left w:val="none" w:sz="0" w:space="0" w:color="auto"/>
        <w:bottom w:val="none" w:sz="0" w:space="0" w:color="auto"/>
        <w:right w:val="none" w:sz="0" w:space="0" w:color="auto"/>
      </w:divBdr>
    </w:div>
    <w:div w:id="1591160547">
      <w:bodyDiv w:val="1"/>
      <w:marLeft w:val="0"/>
      <w:marRight w:val="0"/>
      <w:marTop w:val="0"/>
      <w:marBottom w:val="0"/>
      <w:divBdr>
        <w:top w:val="none" w:sz="0" w:space="0" w:color="auto"/>
        <w:left w:val="none" w:sz="0" w:space="0" w:color="auto"/>
        <w:bottom w:val="none" w:sz="0" w:space="0" w:color="auto"/>
        <w:right w:val="none" w:sz="0" w:space="0" w:color="auto"/>
      </w:divBdr>
    </w:div>
    <w:div w:id="1635063598">
      <w:bodyDiv w:val="1"/>
      <w:marLeft w:val="0"/>
      <w:marRight w:val="0"/>
      <w:marTop w:val="0"/>
      <w:marBottom w:val="0"/>
      <w:divBdr>
        <w:top w:val="none" w:sz="0" w:space="0" w:color="auto"/>
        <w:left w:val="none" w:sz="0" w:space="0" w:color="auto"/>
        <w:bottom w:val="none" w:sz="0" w:space="0" w:color="auto"/>
        <w:right w:val="none" w:sz="0" w:space="0" w:color="auto"/>
      </w:divBdr>
    </w:div>
    <w:div w:id="1646201464">
      <w:bodyDiv w:val="1"/>
      <w:marLeft w:val="0"/>
      <w:marRight w:val="0"/>
      <w:marTop w:val="0"/>
      <w:marBottom w:val="0"/>
      <w:divBdr>
        <w:top w:val="none" w:sz="0" w:space="0" w:color="auto"/>
        <w:left w:val="none" w:sz="0" w:space="0" w:color="auto"/>
        <w:bottom w:val="none" w:sz="0" w:space="0" w:color="auto"/>
        <w:right w:val="none" w:sz="0" w:space="0" w:color="auto"/>
      </w:divBdr>
    </w:div>
    <w:div w:id="1713188679">
      <w:bodyDiv w:val="1"/>
      <w:marLeft w:val="0"/>
      <w:marRight w:val="0"/>
      <w:marTop w:val="0"/>
      <w:marBottom w:val="0"/>
      <w:divBdr>
        <w:top w:val="none" w:sz="0" w:space="0" w:color="auto"/>
        <w:left w:val="none" w:sz="0" w:space="0" w:color="auto"/>
        <w:bottom w:val="none" w:sz="0" w:space="0" w:color="auto"/>
        <w:right w:val="none" w:sz="0" w:space="0" w:color="auto"/>
      </w:divBdr>
    </w:div>
    <w:div w:id="1716663348">
      <w:bodyDiv w:val="1"/>
      <w:marLeft w:val="0"/>
      <w:marRight w:val="0"/>
      <w:marTop w:val="0"/>
      <w:marBottom w:val="0"/>
      <w:divBdr>
        <w:top w:val="none" w:sz="0" w:space="0" w:color="auto"/>
        <w:left w:val="none" w:sz="0" w:space="0" w:color="auto"/>
        <w:bottom w:val="none" w:sz="0" w:space="0" w:color="auto"/>
        <w:right w:val="none" w:sz="0" w:space="0" w:color="auto"/>
      </w:divBdr>
    </w:div>
    <w:div w:id="1717776686">
      <w:bodyDiv w:val="1"/>
      <w:marLeft w:val="0"/>
      <w:marRight w:val="0"/>
      <w:marTop w:val="0"/>
      <w:marBottom w:val="0"/>
      <w:divBdr>
        <w:top w:val="none" w:sz="0" w:space="0" w:color="auto"/>
        <w:left w:val="none" w:sz="0" w:space="0" w:color="auto"/>
        <w:bottom w:val="none" w:sz="0" w:space="0" w:color="auto"/>
        <w:right w:val="none" w:sz="0" w:space="0" w:color="auto"/>
      </w:divBdr>
    </w:div>
    <w:div w:id="1740328933">
      <w:bodyDiv w:val="1"/>
      <w:marLeft w:val="0"/>
      <w:marRight w:val="0"/>
      <w:marTop w:val="0"/>
      <w:marBottom w:val="0"/>
      <w:divBdr>
        <w:top w:val="none" w:sz="0" w:space="0" w:color="auto"/>
        <w:left w:val="none" w:sz="0" w:space="0" w:color="auto"/>
        <w:bottom w:val="none" w:sz="0" w:space="0" w:color="auto"/>
        <w:right w:val="none" w:sz="0" w:space="0" w:color="auto"/>
      </w:divBdr>
    </w:div>
    <w:div w:id="1773042724">
      <w:bodyDiv w:val="1"/>
      <w:marLeft w:val="0"/>
      <w:marRight w:val="0"/>
      <w:marTop w:val="0"/>
      <w:marBottom w:val="0"/>
      <w:divBdr>
        <w:top w:val="none" w:sz="0" w:space="0" w:color="auto"/>
        <w:left w:val="none" w:sz="0" w:space="0" w:color="auto"/>
        <w:bottom w:val="none" w:sz="0" w:space="0" w:color="auto"/>
        <w:right w:val="none" w:sz="0" w:space="0" w:color="auto"/>
      </w:divBdr>
    </w:div>
    <w:div w:id="1789814325">
      <w:bodyDiv w:val="1"/>
      <w:marLeft w:val="0"/>
      <w:marRight w:val="0"/>
      <w:marTop w:val="0"/>
      <w:marBottom w:val="0"/>
      <w:divBdr>
        <w:top w:val="none" w:sz="0" w:space="0" w:color="auto"/>
        <w:left w:val="none" w:sz="0" w:space="0" w:color="auto"/>
        <w:bottom w:val="none" w:sz="0" w:space="0" w:color="auto"/>
        <w:right w:val="none" w:sz="0" w:space="0" w:color="auto"/>
      </w:divBdr>
    </w:div>
    <w:div w:id="1821386849">
      <w:bodyDiv w:val="1"/>
      <w:marLeft w:val="0"/>
      <w:marRight w:val="0"/>
      <w:marTop w:val="0"/>
      <w:marBottom w:val="0"/>
      <w:divBdr>
        <w:top w:val="none" w:sz="0" w:space="0" w:color="auto"/>
        <w:left w:val="none" w:sz="0" w:space="0" w:color="auto"/>
        <w:bottom w:val="none" w:sz="0" w:space="0" w:color="auto"/>
        <w:right w:val="none" w:sz="0" w:space="0" w:color="auto"/>
      </w:divBdr>
    </w:div>
    <w:div w:id="1830095188">
      <w:bodyDiv w:val="1"/>
      <w:marLeft w:val="0"/>
      <w:marRight w:val="0"/>
      <w:marTop w:val="0"/>
      <w:marBottom w:val="0"/>
      <w:divBdr>
        <w:top w:val="none" w:sz="0" w:space="0" w:color="auto"/>
        <w:left w:val="none" w:sz="0" w:space="0" w:color="auto"/>
        <w:bottom w:val="none" w:sz="0" w:space="0" w:color="auto"/>
        <w:right w:val="none" w:sz="0" w:space="0" w:color="auto"/>
      </w:divBdr>
    </w:div>
    <w:div w:id="1863397526">
      <w:bodyDiv w:val="1"/>
      <w:marLeft w:val="0"/>
      <w:marRight w:val="0"/>
      <w:marTop w:val="0"/>
      <w:marBottom w:val="0"/>
      <w:divBdr>
        <w:top w:val="none" w:sz="0" w:space="0" w:color="auto"/>
        <w:left w:val="none" w:sz="0" w:space="0" w:color="auto"/>
        <w:bottom w:val="none" w:sz="0" w:space="0" w:color="auto"/>
        <w:right w:val="none" w:sz="0" w:space="0" w:color="auto"/>
      </w:divBdr>
    </w:div>
    <w:div w:id="1875196011">
      <w:bodyDiv w:val="1"/>
      <w:marLeft w:val="0"/>
      <w:marRight w:val="0"/>
      <w:marTop w:val="0"/>
      <w:marBottom w:val="0"/>
      <w:divBdr>
        <w:top w:val="none" w:sz="0" w:space="0" w:color="auto"/>
        <w:left w:val="none" w:sz="0" w:space="0" w:color="auto"/>
        <w:bottom w:val="none" w:sz="0" w:space="0" w:color="auto"/>
        <w:right w:val="none" w:sz="0" w:space="0" w:color="auto"/>
      </w:divBdr>
    </w:div>
    <w:div w:id="1880438917">
      <w:bodyDiv w:val="1"/>
      <w:marLeft w:val="0"/>
      <w:marRight w:val="0"/>
      <w:marTop w:val="0"/>
      <w:marBottom w:val="0"/>
      <w:divBdr>
        <w:top w:val="none" w:sz="0" w:space="0" w:color="auto"/>
        <w:left w:val="none" w:sz="0" w:space="0" w:color="auto"/>
        <w:bottom w:val="none" w:sz="0" w:space="0" w:color="auto"/>
        <w:right w:val="none" w:sz="0" w:space="0" w:color="auto"/>
      </w:divBdr>
    </w:div>
    <w:div w:id="1886214978">
      <w:bodyDiv w:val="1"/>
      <w:marLeft w:val="0"/>
      <w:marRight w:val="0"/>
      <w:marTop w:val="0"/>
      <w:marBottom w:val="0"/>
      <w:divBdr>
        <w:top w:val="none" w:sz="0" w:space="0" w:color="auto"/>
        <w:left w:val="none" w:sz="0" w:space="0" w:color="auto"/>
        <w:bottom w:val="none" w:sz="0" w:space="0" w:color="auto"/>
        <w:right w:val="none" w:sz="0" w:space="0" w:color="auto"/>
      </w:divBdr>
    </w:div>
    <w:div w:id="1898542910">
      <w:bodyDiv w:val="1"/>
      <w:marLeft w:val="0"/>
      <w:marRight w:val="0"/>
      <w:marTop w:val="0"/>
      <w:marBottom w:val="0"/>
      <w:divBdr>
        <w:top w:val="none" w:sz="0" w:space="0" w:color="auto"/>
        <w:left w:val="none" w:sz="0" w:space="0" w:color="auto"/>
        <w:bottom w:val="none" w:sz="0" w:space="0" w:color="auto"/>
        <w:right w:val="none" w:sz="0" w:space="0" w:color="auto"/>
      </w:divBdr>
    </w:div>
    <w:div w:id="1932203603">
      <w:bodyDiv w:val="1"/>
      <w:marLeft w:val="0"/>
      <w:marRight w:val="0"/>
      <w:marTop w:val="0"/>
      <w:marBottom w:val="0"/>
      <w:divBdr>
        <w:top w:val="none" w:sz="0" w:space="0" w:color="auto"/>
        <w:left w:val="none" w:sz="0" w:space="0" w:color="auto"/>
        <w:bottom w:val="none" w:sz="0" w:space="0" w:color="auto"/>
        <w:right w:val="none" w:sz="0" w:space="0" w:color="auto"/>
      </w:divBdr>
    </w:div>
    <w:div w:id="1942368913">
      <w:bodyDiv w:val="1"/>
      <w:marLeft w:val="0"/>
      <w:marRight w:val="0"/>
      <w:marTop w:val="0"/>
      <w:marBottom w:val="0"/>
      <w:divBdr>
        <w:top w:val="none" w:sz="0" w:space="0" w:color="auto"/>
        <w:left w:val="none" w:sz="0" w:space="0" w:color="auto"/>
        <w:bottom w:val="none" w:sz="0" w:space="0" w:color="auto"/>
        <w:right w:val="none" w:sz="0" w:space="0" w:color="auto"/>
      </w:divBdr>
    </w:div>
    <w:div w:id="1943682367">
      <w:bodyDiv w:val="1"/>
      <w:marLeft w:val="0"/>
      <w:marRight w:val="0"/>
      <w:marTop w:val="0"/>
      <w:marBottom w:val="0"/>
      <w:divBdr>
        <w:top w:val="none" w:sz="0" w:space="0" w:color="auto"/>
        <w:left w:val="none" w:sz="0" w:space="0" w:color="auto"/>
        <w:bottom w:val="none" w:sz="0" w:space="0" w:color="auto"/>
        <w:right w:val="none" w:sz="0" w:space="0" w:color="auto"/>
      </w:divBdr>
    </w:div>
    <w:div w:id="1969628391">
      <w:bodyDiv w:val="1"/>
      <w:marLeft w:val="0"/>
      <w:marRight w:val="0"/>
      <w:marTop w:val="0"/>
      <w:marBottom w:val="0"/>
      <w:divBdr>
        <w:top w:val="none" w:sz="0" w:space="0" w:color="auto"/>
        <w:left w:val="none" w:sz="0" w:space="0" w:color="auto"/>
        <w:bottom w:val="none" w:sz="0" w:space="0" w:color="auto"/>
        <w:right w:val="none" w:sz="0" w:space="0" w:color="auto"/>
      </w:divBdr>
    </w:div>
    <w:div w:id="1976328737">
      <w:bodyDiv w:val="1"/>
      <w:marLeft w:val="0"/>
      <w:marRight w:val="0"/>
      <w:marTop w:val="0"/>
      <w:marBottom w:val="0"/>
      <w:divBdr>
        <w:top w:val="none" w:sz="0" w:space="0" w:color="auto"/>
        <w:left w:val="none" w:sz="0" w:space="0" w:color="auto"/>
        <w:bottom w:val="none" w:sz="0" w:space="0" w:color="auto"/>
        <w:right w:val="none" w:sz="0" w:space="0" w:color="auto"/>
      </w:divBdr>
    </w:div>
    <w:div w:id="1978992379">
      <w:bodyDiv w:val="1"/>
      <w:marLeft w:val="0"/>
      <w:marRight w:val="0"/>
      <w:marTop w:val="0"/>
      <w:marBottom w:val="0"/>
      <w:divBdr>
        <w:top w:val="none" w:sz="0" w:space="0" w:color="auto"/>
        <w:left w:val="none" w:sz="0" w:space="0" w:color="auto"/>
        <w:bottom w:val="none" w:sz="0" w:space="0" w:color="auto"/>
        <w:right w:val="none" w:sz="0" w:space="0" w:color="auto"/>
      </w:divBdr>
    </w:div>
    <w:div w:id="2035956591">
      <w:bodyDiv w:val="1"/>
      <w:marLeft w:val="0"/>
      <w:marRight w:val="0"/>
      <w:marTop w:val="0"/>
      <w:marBottom w:val="0"/>
      <w:divBdr>
        <w:top w:val="none" w:sz="0" w:space="0" w:color="auto"/>
        <w:left w:val="none" w:sz="0" w:space="0" w:color="auto"/>
        <w:bottom w:val="none" w:sz="0" w:space="0" w:color="auto"/>
        <w:right w:val="none" w:sz="0" w:space="0" w:color="auto"/>
      </w:divBdr>
    </w:div>
    <w:div w:id="2040929845">
      <w:bodyDiv w:val="1"/>
      <w:marLeft w:val="0"/>
      <w:marRight w:val="0"/>
      <w:marTop w:val="0"/>
      <w:marBottom w:val="0"/>
      <w:divBdr>
        <w:top w:val="none" w:sz="0" w:space="0" w:color="auto"/>
        <w:left w:val="none" w:sz="0" w:space="0" w:color="auto"/>
        <w:bottom w:val="none" w:sz="0" w:space="0" w:color="auto"/>
        <w:right w:val="none" w:sz="0" w:space="0" w:color="auto"/>
      </w:divBdr>
    </w:div>
    <w:div w:id="2041125038">
      <w:bodyDiv w:val="1"/>
      <w:marLeft w:val="0"/>
      <w:marRight w:val="0"/>
      <w:marTop w:val="0"/>
      <w:marBottom w:val="0"/>
      <w:divBdr>
        <w:top w:val="none" w:sz="0" w:space="0" w:color="auto"/>
        <w:left w:val="none" w:sz="0" w:space="0" w:color="auto"/>
        <w:bottom w:val="none" w:sz="0" w:space="0" w:color="auto"/>
        <w:right w:val="none" w:sz="0" w:space="0" w:color="auto"/>
      </w:divBdr>
    </w:div>
    <w:div w:id="2046443638">
      <w:bodyDiv w:val="1"/>
      <w:marLeft w:val="0"/>
      <w:marRight w:val="0"/>
      <w:marTop w:val="0"/>
      <w:marBottom w:val="0"/>
      <w:divBdr>
        <w:top w:val="none" w:sz="0" w:space="0" w:color="auto"/>
        <w:left w:val="none" w:sz="0" w:space="0" w:color="auto"/>
        <w:bottom w:val="none" w:sz="0" w:space="0" w:color="auto"/>
        <w:right w:val="none" w:sz="0" w:space="0" w:color="auto"/>
      </w:divBdr>
    </w:div>
    <w:div w:id="2068794589">
      <w:bodyDiv w:val="1"/>
      <w:marLeft w:val="0"/>
      <w:marRight w:val="0"/>
      <w:marTop w:val="0"/>
      <w:marBottom w:val="0"/>
      <w:divBdr>
        <w:top w:val="none" w:sz="0" w:space="0" w:color="auto"/>
        <w:left w:val="none" w:sz="0" w:space="0" w:color="auto"/>
        <w:bottom w:val="none" w:sz="0" w:space="0" w:color="auto"/>
        <w:right w:val="none" w:sz="0" w:space="0" w:color="auto"/>
      </w:divBdr>
    </w:div>
    <w:div w:id="210688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2E721-C8B2-4C84-8D2E-079210F84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12</Pages>
  <Words>1235</Words>
  <Characters>7040</Characters>
  <Application>Microsoft Office Word</Application>
  <DocSecurity>0</DocSecurity>
  <Lines>58</Lines>
  <Paragraphs>16</Paragraphs>
  <ScaleCrop>false</ScaleCrop>
  <Company>xmrcb</Company>
  <LinksUpToDate>false</LinksUpToDate>
  <CharactersWithSpaces>8259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chenkexmrcb</dc:creator>
  <cp:lastModifiedBy>ck</cp:lastModifiedBy>
  <cp:revision>34</cp:revision>
  <cp:lastPrinted>2020-06-04T07:22:00Z</cp:lastPrinted>
  <dcterms:created xsi:type="dcterms:W3CDTF">2021-05-13T09:40:00Z</dcterms:created>
  <dcterms:modified xsi:type="dcterms:W3CDTF">2021-05-25T04:59:00Z</dcterms:modified>
</cp:coreProperties>
</file>