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3D" w:rsidRPr="00045E09" w:rsidRDefault="00AB6499" w:rsidP="00AB41B3">
      <w:pPr>
        <w:adjustRightInd w:val="0"/>
        <w:snapToGrid w:val="0"/>
        <w:spacing w:line="480" w:lineRule="exact"/>
        <w:jc w:val="left"/>
        <w:rPr>
          <w:rFonts w:asciiTheme="majorEastAsia" w:eastAsiaTheme="majorEastAsia" w:hAnsiTheme="majorEastAsia" w:cs="Times New Roman"/>
          <w:b/>
          <w:sz w:val="40"/>
          <w:szCs w:val="32"/>
        </w:rPr>
      </w:pPr>
      <w:r w:rsidRPr="00045E09">
        <w:rPr>
          <w:rFonts w:ascii="Arial Unicode MS" w:eastAsia="Arial Unicode MS" w:hAnsi="Arial Unicode MS" w:cs="Arial Unicode MS" w:hint="eastAsia"/>
          <w:sz w:val="40"/>
          <w:szCs w:val="44"/>
        </w:rPr>
        <w:t>∙</w:t>
      </w:r>
      <w:r w:rsidR="00FB6CA6" w:rsidRPr="00045E09">
        <w:rPr>
          <w:rFonts w:asciiTheme="majorEastAsia" w:eastAsiaTheme="majorEastAsia" w:hAnsiTheme="majorEastAsia" w:cs="Times New Roman" w:hint="eastAsia"/>
          <w:b/>
          <w:sz w:val="40"/>
          <w:szCs w:val="32"/>
        </w:rPr>
        <w:t>业务概况</w:t>
      </w:r>
    </w:p>
    <w:tbl>
      <w:tblPr>
        <w:tblStyle w:val="a3"/>
        <w:tblW w:w="14208" w:type="dxa"/>
        <w:jc w:val="right"/>
        <w:tblInd w:w="1864" w:type="dxa"/>
        <w:tblLook w:val="04A0" w:firstRow="1" w:lastRow="0" w:firstColumn="1" w:lastColumn="0" w:noHBand="0" w:noVBand="1"/>
      </w:tblPr>
      <w:tblGrid>
        <w:gridCol w:w="1560"/>
        <w:gridCol w:w="5670"/>
        <w:gridCol w:w="1276"/>
        <w:gridCol w:w="2039"/>
        <w:gridCol w:w="1788"/>
        <w:gridCol w:w="1875"/>
      </w:tblGrid>
      <w:tr w:rsidR="0045726E" w:rsidRPr="00045E09" w:rsidTr="00B81B1F">
        <w:trPr>
          <w:jc w:val="right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  <w:t>业务板块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交易品种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笔数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合计金额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最大金额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最小金额</w:t>
            </w:r>
          </w:p>
        </w:tc>
      </w:tr>
      <w:tr w:rsidR="00757845" w:rsidRPr="00045E09" w:rsidTr="00B81B1F">
        <w:trPr>
          <w:jc w:val="right"/>
        </w:trPr>
        <w:tc>
          <w:tcPr>
            <w:tcW w:w="1560" w:type="dxa"/>
            <w:shd w:val="clear" w:color="auto" w:fill="FFFFFF" w:themeFill="background1"/>
            <w:vAlign w:val="center"/>
          </w:tcPr>
          <w:p w:rsidR="00757845" w:rsidRPr="00045E09" w:rsidRDefault="001042D6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1042D6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自营业务</w:t>
            </w:r>
          </w:p>
        </w:tc>
        <w:tc>
          <w:tcPr>
            <w:tcW w:w="5670" w:type="dxa"/>
            <w:shd w:val="clear" w:color="auto" w:fill="FFFFFF" w:themeFill="background1"/>
          </w:tcPr>
          <w:p w:rsidR="00757845" w:rsidRPr="00045E09" w:rsidRDefault="00757845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757845" w:rsidRPr="00045E09" w:rsidRDefault="00757845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039" w:type="dxa"/>
            <w:shd w:val="clear" w:color="auto" w:fill="FFFFFF" w:themeFill="background1"/>
          </w:tcPr>
          <w:p w:rsidR="00757845" w:rsidRPr="00045E09" w:rsidRDefault="00757845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788" w:type="dxa"/>
            <w:shd w:val="clear" w:color="auto" w:fill="FFFFFF" w:themeFill="background1"/>
          </w:tcPr>
          <w:p w:rsidR="00757845" w:rsidRPr="00045E09" w:rsidRDefault="00757845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75" w:type="dxa"/>
            <w:shd w:val="clear" w:color="auto" w:fill="FFFFFF" w:themeFill="background1"/>
          </w:tcPr>
          <w:p w:rsidR="00757845" w:rsidRPr="00045E09" w:rsidRDefault="00757845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  <w:tr w:rsidR="0045726E" w:rsidRPr="00E13056" w:rsidTr="00B81B1F">
        <w:trPr>
          <w:jc w:val="right"/>
        </w:trPr>
        <w:tc>
          <w:tcPr>
            <w:tcW w:w="1560" w:type="dxa"/>
            <w:shd w:val="clear" w:color="auto" w:fill="FFFFFF" w:themeFill="background1"/>
            <w:vAlign w:val="center"/>
          </w:tcPr>
          <w:p w:rsidR="0045726E" w:rsidRPr="00045E09" w:rsidRDefault="001042D6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1042D6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理财业务</w:t>
            </w:r>
          </w:p>
        </w:tc>
        <w:tc>
          <w:tcPr>
            <w:tcW w:w="5670" w:type="dxa"/>
            <w:shd w:val="clear" w:color="auto" w:fill="FFFFFF" w:themeFill="background1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039" w:type="dxa"/>
            <w:shd w:val="clear" w:color="auto" w:fill="FFFFFF" w:themeFill="background1"/>
          </w:tcPr>
          <w:p w:rsidR="0045726E" w:rsidRPr="00045E09" w:rsidRDefault="0045726E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788" w:type="dxa"/>
            <w:shd w:val="clear" w:color="auto" w:fill="FFFFFF" w:themeFill="background1"/>
          </w:tcPr>
          <w:p w:rsidR="0045726E" w:rsidRPr="00045E09" w:rsidRDefault="0045726E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75" w:type="dxa"/>
            <w:shd w:val="clear" w:color="auto" w:fill="FFFFFF" w:themeFill="background1"/>
          </w:tcPr>
          <w:p w:rsidR="0045726E" w:rsidRPr="00045E09" w:rsidRDefault="0045726E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</w:tbl>
    <w:p w:rsidR="008C491C" w:rsidRPr="00F946D5" w:rsidRDefault="008C491C" w:rsidP="00AB41B3">
      <w:pPr>
        <w:adjustRightInd w:val="0"/>
        <w:snapToGrid w:val="0"/>
        <w:spacing w:line="480" w:lineRule="exact"/>
        <w:jc w:val="left"/>
        <w:rPr>
          <w:rFonts w:ascii="Arial Unicode MS" w:eastAsia="Arial Unicode MS" w:hAnsi="Arial Unicode MS" w:cs="Arial Unicode MS"/>
          <w:sz w:val="40"/>
          <w:szCs w:val="44"/>
        </w:rPr>
      </w:pPr>
      <w:r w:rsidRPr="00F946D5">
        <w:rPr>
          <w:rFonts w:ascii="Arial Unicode MS" w:eastAsia="Arial Unicode MS" w:hAnsi="Arial Unicode MS" w:cs="Arial Unicode MS" w:hint="eastAsia"/>
          <w:sz w:val="40"/>
          <w:szCs w:val="44"/>
        </w:rPr>
        <w:t>∙</w:t>
      </w:r>
      <w:r w:rsidRPr="00F946D5">
        <w:rPr>
          <w:rFonts w:asciiTheme="majorEastAsia" w:eastAsiaTheme="majorEastAsia" w:hAnsiTheme="majorEastAsia" w:cs="Times New Roman" w:hint="eastAsia"/>
          <w:b/>
          <w:sz w:val="40"/>
          <w:szCs w:val="32"/>
        </w:rPr>
        <w:t>风险概况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701"/>
        <w:gridCol w:w="1417"/>
        <w:gridCol w:w="2552"/>
        <w:gridCol w:w="1984"/>
        <w:gridCol w:w="1843"/>
        <w:gridCol w:w="1843"/>
      </w:tblGrid>
      <w:tr w:rsidR="00DD19E3" w:rsidRPr="00F946D5" w:rsidTr="00203757">
        <w:tc>
          <w:tcPr>
            <w:tcW w:w="1526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业务板块</w:t>
            </w:r>
          </w:p>
        </w:tc>
        <w:tc>
          <w:tcPr>
            <w:tcW w:w="1276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主体</w:t>
            </w:r>
          </w:p>
        </w:tc>
        <w:tc>
          <w:tcPr>
            <w:tcW w:w="1701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&gt;1亿主体</w:t>
            </w:r>
          </w:p>
        </w:tc>
        <w:tc>
          <w:tcPr>
            <w:tcW w:w="1417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久期</w:t>
            </w:r>
            <w:proofErr w:type="gramEnd"/>
          </w:p>
        </w:tc>
        <w:tc>
          <w:tcPr>
            <w:tcW w:w="2552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杠杆率</w:t>
            </w:r>
          </w:p>
        </w:tc>
        <w:tc>
          <w:tcPr>
            <w:tcW w:w="1984" w:type="dxa"/>
            <w:shd w:val="clear" w:color="auto" w:fill="548DD4" w:themeFill="text2" w:themeFillTint="99"/>
          </w:tcPr>
          <w:p w:rsidR="00F72423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止损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预警</w:t>
            </w:r>
          </w:p>
        </w:tc>
        <w:tc>
          <w:tcPr>
            <w:tcW w:w="1843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违约</w:t>
            </w:r>
          </w:p>
        </w:tc>
      </w:tr>
      <w:tr w:rsidR="00056C0D" w:rsidRPr="00F946D5" w:rsidTr="00056C0D">
        <w:tc>
          <w:tcPr>
            <w:tcW w:w="1526" w:type="dxa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自营业务</w:t>
            </w:r>
          </w:p>
        </w:tc>
        <w:tc>
          <w:tcPr>
            <w:tcW w:w="1276" w:type="dxa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701" w:type="dxa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417" w:type="dxa"/>
          </w:tcPr>
          <w:p w:rsidR="00056C0D" w:rsidRPr="00F946D5" w:rsidRDefault="00056C0D" w:rsidP="00F946D5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52" w:type="dxa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984" w:type="dxa"/>
            <w:vMerge w:val="restart"/>
            <w:vAlign w:val="center"/>
          </w:tcPr>
          <w:p w:rsidR="00056C0D" w:rsidRPr="00F946D5" w:rsidRDefault="00FC26D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无新增</w:t>
            </w:r>
          </w:p>
        </w:tc>
        <w:tc>
          <w:tcPr>
            <w:tcW w:w="1843" w:type="dxa"/>
            <w:vMerge w:val="restart"/>
            <w:shd w:val="clear" w:color="auto" w:fill="FFFFFF" w:themeFill="background1"/>
            <w:vAlign w:val="center"/>
          </w:tcPr>
          <w:p w:rsidR="00056C0D" w:rsidRPr="00F946D5" w:rsidRDefault="00FC26D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无新增</w:t>
            </w:r>
          </w:p>
        </w:tc>
        <w:tc>
          <w:tcPr>
            <w:tcW w:w="1843" w:type="dxa"/>
            <w:vMerge w:val="restart"/>
            <w:vAlign w:val="center"/>
          </w:tcPr>
          <w:p w:rsidR="00056C0D" w:rsidRPr="00F946D5" w:rsidRDefault="00FC26D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无新增</w:t>
            </w:r>
          </w:p>
        </w:tc>
      </w:tr>
      <w:tr w:rsidR="00056C0D" w:rsidRPr="00F946D5" w:rsidTr="00DE09FF">
        <w:tc>
          <w:tcPr>
            <w:tcW w:w="1526" w:type="dxa"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理财业务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56C0D" w:rsidRPr="00F946D5" w:rsidRDefault="00056C0D" w:rsidP="00F946D5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56C0D" w:rsidRPr="00F946D5" w:rsidRDefault="00056C0D" w:rsidP="00F946D5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  <w:tr w:rsidR="00115E67" w:rsidRPr="00E13056" w:rsidTr="005F41B6">
        <w:tc>
          <w:tcPr>
            <w:tcW w:w="1526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业务板块</w:t>
            </w:r>
          </w:p>
        </w:tc>
        <w:tc>
          <w:tcPr>
            <w:tcW w:w="2977" w:type="dxa"/>
            <w:gridSpan w:val="2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信用债占比</w:t>
            </w:r>
            <w:proofErr w:type="gramEnd"/>
          </w:p>
        </w:tc>
        <w:tc>
          <w:tcPr>
            <w:tcW w:w="3969" w:type="dxa"/>
            <w:gridSpan w:val="2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城</w:t>
            </w: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投债占</w:t>
            </w:r>
            <w:proofErr w:type="gramEnd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比</w:t>
            </w:r>
          </w:p>
        </w:tc>
        <w:tc>
          <w:tcPr>
            <w:tcW w:w="1984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私募债占比</w:t>
            </w:r>
            <w:proofErr w:type="gramEnd"/>
          </w:p>
        </w:tc>
        <w:tc>
          <w:tcPr>
            <w:tcW w:w="1843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永续债占比</w:t>
            </w:r>
            <w:proofErr w:type="gramEnd"/>
          </w:p>
        </w:tc>
        <w:tc>
          <w:tcPr>
            <w:tcW w:w="1843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次级债占比</w:t>
            </w:r>
            <w:proofErr w:type="gramEnd"/>
          </w:p>
        </w:tc>
      </w:tr>
      <w:tr w:rsidR="00115E67" w:rsidRPr="00F946D5" w:rsidTr="005F41B6">
        <w:tc>
          <w:tcPr>
            <w:tcW w:w="1526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自营业务</w:t>
            </w:r>
          </w:p>
        </w:tc>
        <w:tc>
          <w:tcPr>
            <w:tcW w:w="2977" w:type="dxa"/>
            <w:gridSpan w:val="2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969" w:type="dxa"/>
            <w:gridSpan w:val="2"/>
            <w:shd w:val="clear" w:color="auto" w:fill="FFFFFF" w:themeFill="background1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  <w:tr w:rsidR="00115E67" w:rsidRPr="00E13056" w:rsidTr="005F41B6">
        <w:tc>
          <w:tcPr>
            <w:tcW w:w="1526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理财业务</w:t>
            </w:r>
          </w:p>
        </w:tc>
        <w:tc>
          <w:tcPr>
            <w:tcW w:w="2977" w:type="dxa"/>
            <w:gridSpan w:val="2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969" w:type="dxa"/>
            <w:gridSpan w:val="2"/>
            <w:shd w:val="clear" w:color="auto" w:fill="FFFFFF" w:themeFill="background1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</w:tbl>
    <w:p w:rsidR="00755AED" w:rsidRPr="00E7080C" w:rsidRDefault="00755AED" w:rsidP="00755AED">
      <w:pPr>
        <w:adjustRightInd w:val="0"/>
        <w:snapToGrid w:val="0"/>
        <w:spacing w:line="480" w:lineRule="exact"/>
        <w:jc w:val="left"/>
        <w:rPr>
          <w:rFonts w:asciiTheme="majorEastAsia" w:eastAsiaTheme="majorEastAsia" w:hAnsiTheme="majorEastAsia" w:cs="Times New Roman"/>
          <w:b/>
          <w:sz w:val="40"/>
          <w:szCs w:val="32"/>
        </w:rPr>
      </w:pPr>
      <w:r w:rsidRPr="00E7080C">
        <w:rPr>
          <w:rFonts w:ascii="Arial Unicode MS" w:eastAsia="Arial Unicode MS" w:hAnsi="Arial Unicode MS" w:cs="Arial Unicode MS" w:hint="eastAsia"/>
          <w:sz w:val="40"/>
          <w:szCs w:val="44"/>
        </w:rPr>
        <w:t>∙</w:t>
      </w:r>
      <w:r w:rsidRPr="00E7080C">
        <w:rPr>
          <w:rFonts w:asciiTheme="majorEastAsia" w:eastAsiaTheme="majorEastAsia" w:hAnsiTheme="majorEastAsia" w:cs="Times New Roman" w:hint="eastAsia"/>
          <w:b/>
          <w:sz w:val="40"/>
          <w:szCs w:val="32"/>
        </w:rPr>
        <w:t>负面舆情监测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242"/>
        <w:gridCol w:w="808"/>
        <w:gridCol w:w="2027"/>
        <w:gridCol w:w="709"/>
        <w:gridCol w:w="1417"/>
        <w:gridCol w:w="1417"/>
        <w:gridCol w:w="709"/>
        <w:gridCol w:w="3830"/>
        <w:gridCol w:w="992"/>
        <w:gridCol w:w="1023"/>
      </w:tblGrid>
      <w:tr w:rsidR="00AC3E55" w:rsidRPr="00E7080C" w:rsidTr="00E7080C">
        <w:trPr>
          <w:jc w:val="center"/>
        </w:trPr>
        <w:tc>
          <w:tcPr>
            <w:tcW w:w="438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监测对象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类别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发行主体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金额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起息日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到期日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部门</w:t>
            </w:r>
          </w:p>
        </w:tc>
        <w:tc>
          <w:tcPr>
            <w:tcW w:w="1351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影响/建议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成本</w:t>
            </w:r>
          </w:p>
        </w:tc>
        <w:tc>
          <w:tcPr>
            <w:tcW w:w="361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估值</w:t>
            </w:r>
          </w:p>
        </w:tc>
      </w:tr>
      <w:tr w:rsidR="00AC3E55" w:rsidRPr="00E7080C" w:rsidTr="00AC3E55">
        <w:trPr>
          <w:jc w:val="center"/>
        </w:trPr>
        <w:tc>
          <w:tcPr>
            <w:tcW w:w="438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85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715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:rsidR="002865CC" w:rsidRPr="00E7080C" w:rsidRDefault="002865CC" w:rsidP="00E7080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 w:rsidR="002865CC" w:rsidRPr="00E7080C" w:rsidRDefault="002865CC" w:rsidP="00E7080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 w:rsidR="002865CC" w:rsidRPr="00E7080C" w:rsidRDefault="002865CC" w:rsidP="00E7080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351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50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61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2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1276"/>
        <w:gridCol w:w="3275"/>
        <w:gridCol w:w="1274"/>
        <w:gridCol w:w="4381"/>
        <w:gridCol w:w="1276"/>
        <w:gridCol w:w="1875"/>
      </w:tblGrid>
      <w:tr w:rsidR="00755AED" w:rsidRPr="00E7080C" w:rsidTr="00755AED">
        <w:trPr>
          <w:trHeight w:val="304"/>
        </w:trPr>
        <w:tc>
          <w:tcPr>
            <w:tcW w:w="817" w:type="dxa"/>
            <w:shd w:val="clear" w:color="auto" w:fill="FFFFFF" w:themeFill="background1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b/>
                <w:sz w:val="24"/>
                <w:szCs w:val="32"/>
              </w:rPr>
            </w:pPr>
          </w:p>
        </w:tc>
        <w:tc>
          <w:tcPr>
            <w:tcW w:w="1276" w:type="dxa"/>
            <w:shd w:val="clear" w:color="auto" w:fill="C00000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b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b/>
                <w:sz w:val="24"/>
                <w:szCs w:val="32"/>
              </w:rPr>
              <w:t>红色事件</w:t>
            </w:r>
          </w:p>
        </w:tc>
        <w:tc>
          <w:tcPr>
            <w:tcW w:w="3275" w:type="dxa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风险，采取措施</w:t>
            </w:r>
          </w:p>
        </w:tc>
        <w:tc>
          <w:tcPr>
            <w:tcW w:w="1274" w:type="dxa"/>
            <w:shd w:val="clear" w:color="auto" w:fill="E36C0A" w:themeFill="accent6" w:themeFillShade="BF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b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b/>
                <w:color w:val="FFFFFF" w:themeColor="background1"/>
                <w:sz w:val="24"/>
                <w:szCs w:val="32"/>
              </w:rPr>
              <w:t>橙色事件</w:t>
            </w:r>
          </w:p>
        </w:tc>
        <w:tc>
          <w:tcPr>
            <w:tcW w:w="4381" w:type="dxa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预警，分析反馈</w:t>
            </w:r>
          </w:p>
        </w:tc>
        <w:tc>
          <w:tcPr>
            <w:tcW w:w="1276" w:type="dxa"/>
            <w:shd w:val="clear" w:color="auto" w:fill="548DD4" w:themeFill="text2" w:themeFillTint="99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蓝色事件</w:t>
            </w:r>
          </w:p>
        </w:tc>
        <w:tc>
          <w:tcPr>
            <w:tcW w:w="1875" w:type="dxa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提示关注</w:t>
            </w:r>
          </w:p>
        </w:tc>
      </w:tr>
    </w:tbl>
    <w:p w:rsidR="00045135" w:rsidRPr="00E7080C" w:rsidRDefault="00045135" w:rsidP="00045135">
      <w:pPr>
        <w:spacing w:line="560" w:lineRule="exact"/>
        <w:jc w:val="left"/>
        <w:rPr>
          <w:rFonts w:ascii="仿宋_GB2312" w:eastAsia="仿宋_GB2312" w:hAnsi="Calibri" w:cs="Times New Roman"/>
          <w:sz w:val="32"/>
          <w:szCs w:val="32"/>
        </w:rPr>
        <w:sectPr w:rsidR="00045135" w:rsidRPr="00E7080C" w:rsidSect="000521EA">
          <w:headerReference w:type="first" r:id="rId8"/>
          <w:pgSz w:w="16838" w:h="11906" w:orient="landscape" w:code="9"/>
          <w:pgMar w:top="1134" w:right="1440" w:bottom="1134" w:left="1440" w:header="851" w:footer="992" w:gutter="0"/>
          <w:cols w:space="425"/>
          <w:titlePg/>
          <w:docGrid w:linePitch="312"/>
        </w:sectPr>
      </w:pPr>
    </w:p>
    <w:p w:rsidR="00432F41" w:rsidRPr="009A537B" w:rsidRDefault="00432F41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9A537B">
        <w:rPr>
          <w:rFonts w:ascii="仿宋_GB2312" w:eastAsia="仿宋_GB2312" w:hAnsi="Calibri" w:cs="Times New Roman" w:hint="eastAsia"/>
          <w:b/>
          <w:sz w:val="32"/>
          <w:szCs w:val="32"/>
        </w:rPr>
        <w:lastRenderedPageBreak/>
        <w:t>一、业务结构</w:t>
      </w:r>
    </w:p>
    <w:p w:rsidR="00432F41" w:rsidRPr="009A537B" w:rsidRDefault="00432F41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9A537B">
        <w:rPr>
          <w:rFonts w:ascii="仿宋_GB2312" w:eastAsia="仿宋_GB2312" w:hAnsi="Calibri" w:cs="Times New Roman" w:hint="eastAsia"/>
          <w:b/>
          <w:sz w:val="32"/>
          <w:szCs w:val="32"/>
        </w:rPr>
        <w:t>（一）同业业务中心</w:t>
      </w:r>
    </w:p>
    <w:tbl>
      <w:tblPr>
        <w:tblStyle w:val="a3"/>
        <w:tblW w:w="8776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134"/>
        <w:gridCol w:w="1417"/>
        <w:gridCol w:w="1701"/>
        <w:gridCol w:w="1155"/>
      </w:tblGrid>
      <w:tr w:rsidR="00432F41" w:rsidRPr="009A537B" w:rsidTr="001B5773">
        <w:trPr>
          <w:trHeight w:val="270"/>
        </w:trPr>
        <w:tc>
          <w:tcPr>
            <w:tcW w:w="3369" w:type="dxa"/>
            <w:gridSpan w:val="2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9A537B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9A537B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9A537B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56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432F41" w:rsidRPr="009A537B" w:rsidRDefault="00432F41" w:rsidP="001B577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32F41" w:rsidRPr="009A537B" w:rsidTr="001B5773">
        <w:trPr>
          <w:trHeight w:val="270"/>
        </w:trPr>
        <w:tc>
          <w:tcPr>
            <w:tcW w:w="1384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</w:t>
            </w:r>
          </w:p>
        </w:tc>
        <w:tc>
          <w:tcPr>
            <w:tcW w:w="1985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134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  <w:tc>
          <w:tcPr>
            <w:tcW w:w="1417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</w:t>
            </w:r>
          </w:p>
        </w:tc>
        <w:tc>
          <w:tcPr>
            <w:tcW w:w="1701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155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</w:tr>
      <w:tr w:rsidR="009A537B" w:rsidRPr="009A537B" w:rsidTr="00F5289D">
        <w:trPr>
          <w:trHeight w:val="270"/>
        </w:trPr>
        <w:tc>
          <w:tcPr>
            <w:tcW w:w="1384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2019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E236B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E236B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2075F5">
        <w:trPr>
          <w:trHeight w:val="270"/>
        </w:trPr>
        <w:tc>
          <w:tcPr>
            <w:tcW w:w="1384" w:type="dxa"/>
            <w:noWrap/>
          </w:tcPr>
          <w:p w:rsidR="009A537B" w:rsidRPr="009A537B" w:rsidRDefault="009A537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86701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 w:rsidR="001F624B" w:rsidRPr="009A537B" w:rsidRDefault="001F624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9A537B" w:rsidRDefault="001F624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 w:rsidR="001F624B" w:rsidRPr="009A537B" w:rsidRDefault="001F624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9A537B" w:rsidRDefault="001F624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 w:rsidR="001F624B" w:rsidRPr="009A537B" w:rsidRDefault="001F624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9A537B" w:rsidRDefault="001F624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 w:rsidR="001F624B" w:rsidRPr="009A537B" w:rsidRDefault="001F624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9A537B" w:rsidRDefault="001F624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 w:rsidR="001F624B" w:rsidRPr="009A537B" w:rsidRDefault="001F624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9A537B" w:rsidRDefault="001F624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 w:rsidR="001F624B" w:rsidRPr="009A537B" w:rsidRDefault="001F624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9A537B" w:rsidRDefault="001F624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2075F5">
        <w:trPr>
          <w:trHeight w:val="270"/>
        </w:trPr>
        <w:tc>
          <w:tcPr>
            <w:tcW w:w="1384" w:type="dxa"/>
            <w:noWrap/>
          </w:tcPr>
          <w:p w:rsidR="009A537B" w:rsidRPr="009A537B" w:rsidRDefault="009A537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0F3452">
        <w:trPr>
          <w:trHeight w:val="270"/>
        </w:trPr>
        <w:tc>
          <w:tcPr>
            <w:tcW w:w="1384" w:type="dxa"/>
            <w:noWrap/>
            <w:vAlign w:val="center"/>
          </w:tcPr>
          <w:p w:rsidR="009A537B" w:rsidRPr="009A537B" w:rsidRDefault="009A537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E87B1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0F345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0F345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010D5C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5C04AC">
        <w:trPr>
          <w:trHeight w:val="270"/>
        </w:trPr>
        <w:tc>
          <w:tcPr>
            <w:tcW w:w="1384" w:type="dxa"/>
            <w:noWrap/>
            <w:vAlign w:val="center"/>
          </w:tcPr>
          <w:p w:rsidR="009A537B" w:rsidRPr="009A537B" w:rsidRDefault="009A537B" w:rsidP="003C14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FF300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0E6E7F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0E6E7F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0E106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5C04AC">
        <w:trPr>
          <w:trHeight w:val="270"/>
        </w:trPr>
        <w:tc>
          <w:tcPr>
            <w:tcW w:w="1384" w:type="dxa"/>
            <w:noWrap/>
            <w:vAlign w:val="center"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FF300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D06A5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0C63D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F5289D">
        <w:trPr>
          <w:trHeight w:val="270"/>
        </w:trPr>
        <w:tc>
          <w:tcPr>
            <w:tcW w:w="1384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F5289D">
        <w:trPr>
          <w:trHeight w:val="270"/>
        </w:trPr>
        <w:tc>
          <w:tcPr>
            <w:tcW w:w="1384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B314D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5C04AC">
        <w:trPr>
          <w:trHeight w:val="270"/>
        </w:trPr>
        <w:tc>
          <w:tcPr>
            <w:tcW w:w="1384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13056" w:rsidRPr="009A537B" w:rsidTr="00807340">
        <w:trPr>
          <w:trHeight w:val="270"/>
        </w:trPr>
        <w:tc>
          <w:tcPr>
            <w:tcW w:w="1384" w:type="dxa"/>
            <w:tcBorders>
              <w:bottom w:val="single" w:sz="4" w:space="0" w:color="auto"/>
            </w:tcBorders>
            <w:noWrap/>
            <w:hideMark/>
          </w:tcPr>
          <w:p w:rsidR="00E13056" w:rsidRPr="009A537B" w:rsidRDefault="00E13056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资产合计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9C3DC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2019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80734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负债合计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2019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155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2019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</w:tr>
      <w:tr w:rsidR="00E13056" w:rsidRPr="009A537B" w:rsidTr="001B5773">
        <w:trPr>
          <w:trHeight w:val="270"/>
        </w:trPr>
        <w:tc>
          <w:tcPr>
            <w:tcW w:w="8776" w:type="dxa"/>
            <w:gridSpan w:val="6"/>
            <w:tcBorders>
              <w:left w:val="nil"/>
              <w:bottom w:val="nil"/>
              <w:right w:val="nil"/>
            </w:tcBorders>
            <w:noWrap/>
            <w:vAlign w:val="center"/>
          </w:tcPr>
          <w:p w:rsidR="00E13056" w:rsidRPr="009A537B" w:rsidRDefault="00E13056" w:rsidP="0039681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数据来源：COMSTAR系统、省联社资金统一平台，余额采用系统中市值数据计算，与会计核算数据口径上存在的差异</w:t>
            </w:r>
          </w:p>
        </w:tc>
      </w:tr>
    </w:tbl>
    <w:p w:rsidR="00432F41" w:rsidRPr="002A03CC" w:rsidRDefault="00432F41" w:rsidP="00432F4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2A03CC">
        <w:rPr>
          <w:rFonts w:ascii="仿宋_GB2312" w:eastAsia="仿宋_GB2312" w:hAnsi="Calibri" w:cs="Times New Roman" w:hint="eastAsia"/>
          <w:b/>
          <w:sz w:val="32"/>
          <w:szCs w:val="32"/>
        </w:rPr>
        <w:t>（二）理财事业部</w:t>
      </w:r>
    </w:p>
    <w:tbl>
      <w:tblPr>
        <w:tblStyle w:val="a3"/>
        <w:tblW w:w="9238" w:type="dxa"/>
        <w:jc w:val="center"/>
        <w:tblInd w:w="416" w:type="dxa"/>
        <w:tblLook w:val="04A0" w:firstRow="1" w:lastRow="0" w:firstColumn="1" w:lastColumn="0" w:noHBand="0" w:noVBand="1"/>
      </w:tblPr>
      <w:tblGrid>
        <w:gridCol w:w="1440"/>
        <w:gridCol w:w="2120"/>
        <w:gridCol w:w="1056"/>
        <w:gridCol w:w="1581"/>
        <w:gridCol w:w="1985"/>
        <w:gridCol w:w="1056"/>
      </w:tblGrid>
      <w:tr w:rsidR="00432F41" w:rsidRPr="002A03CC" w:rsidTr="00F15BE1">
        <w:trPr>
          <w:trHeight w:val="270"/>
          <w:jc w:val="center"/>
        </w:trPr>
        <w:tc>
          <w:tcPr>
            <w:tcW w:w="4616" w:type="dxa"/>
            <w:gridSpan w:val="3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2A03CC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部门:理财事业部</w:t>
            </w:r>
          </w:p>
        </w:tc>
        <w:tc>
          <w:tcPr>
            <w:tcW w:w="1581" w:type="dxa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2A03CC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41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432F41" w:rsidRPr="002A03CC" w:rsidRDefault="00432F41" w:rsidP="001B577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32F41" w:rsidRPr="002A03CC" w:rsidTr="00F15BE1">
        <w:trPr>
          <w:trHeight w:val="270"/>
          <w:jc w:val="center"/>
        </w:trPr>
        <w:tc>
          <w:tcPr>
            <w:tcW w:w="1440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</w:t>
            </w:r>
          </w:p>
        </w:tc>
        <w:tc>
          <w:tcPr>
            <w:tcW w:w="2120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056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  <w:tc>
          <w:tcPr>
            <w:tcW w:w="1581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</w:t>
            </w:r>
          </w:p>
        </w:tc>
        <w:tc>
          <w:tcPr>
            <w:tcW w:w="1985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056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</w:tr>
      <w:tr w:rsidR="00E7627E" w:rsidRPr="002A03CC" w:rsidTr="000A57D4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4564D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3F18C9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0A57D4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A97A8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A97A8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0A57D4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4564D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3D1EF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A97A8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A97A8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4564D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4564D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F70155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92DA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E7627E" w:rsidRPr="002A03CC" w:rsidTr="00363A4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92DA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E7627E" w:rsidRPr="002A03CC" w:rsidTr="00363A4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92DA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E7627E" w:rsidRPr="002A03CC" w:rsidTr="00E27F60">
        <w:trPr>
          <w:trHeight w:val="270"/>
          <w:jc w:val="center"/>
        </w:trPr>
        <w:tc>
          <w:tcPr>
            <w:tcW w:w="1440" w:type="dxa"/>
            <w:noWrap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92DA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A97A80" w:rsidRPr="002A03CC" w:rsidTr="00505565">
        <w:trPr>
          <w:trHeight w:val="270"/>
          <w:jc w:val="center"/>
        </w:trPr>
        <w:tc>
          <w:tcPr>
            <w:tcW w:w="1440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7305B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资产合计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0757C8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7305B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7305B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负债合计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8B0E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8B0E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</w:tr>
      <w:tr w:rsidR="00A97A80" w:rsidRPr="002A03CC" w:rsidTr="00F15BE1">
        <w:trPr>
          <w:trHeight w:val="270"/>
          <w:jc w:val="center"/>
        </w:trPr>
        <w:tc>
          <w:tcPr>
            <w:tcW w:w="9238" w:type="dxa"/>
            <w:gridSpan w:val="6"/>
            <w:tcBorders>
              <w:left w:val="nil"/>
              <w:bottom w:val="nil"/>
              <w:right w:val="nil"/>
            </w:tcBorders>
            <w:noWrap/>
            <w:vAlign w:val="center"/>
          </w:tcPr>
          <w:p w:rsidR="00A97A80" w:rsidRPr="002A03CC" w:rsidRDefault="00A97A80" w:rsidP="0039681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数据来源：</w:t>
            </w:r>
            <w:r w:rsidR="00DE33B0" w:rsidRPr="000F3526">
              <w:rPr>
                <w:rFonts w:ascii="仿宋_GB2312" w:eastAsia="仿宋_GB2312" w:hAnsi="Calibri" w:cs="Times New Roman" w:hint="eastAsia"/>
                <w:sz w:val="24"/>
                <w:szCs w:val="32"/>
              </w:rPr>
              <w:t>理财资产管理系统</w:t>
            </w:r>
            <w:r w:rsidR="0039681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、宁波银行估值表</w:t>
            </w: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，余额采用系统中市值数据计算，与会计核算数据口径上存在的差异</w:t>
            </w:r>
          </w:p>
        </w:tc>
      </w:tr>
    </w:tbl>
    <w:p w:rsidR="004411DA" w:rsidRPr="00D57643" w:rsidRDefault="00432F41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二、交易</w:t>
      </w:r>
      <w:r w:rsidR="004411DA" w:rsidRPr="00D57643">
        <w:rPr>
          <w:rFonts w:ascii="仿宋_GB2312" w:eastAsia="仿宋_GB2312" w:hAnsi="Calibri" w:cs="Times New Roman" w:hint="eastAsia"/>
          <w:b/>
          <w:sz w:val="32"/>
          <w:szCs w:val="32"/>
        </w:rPr>
        <w:t>概况</w:t>
      </w:r>
    </w:p>
    <w:p w:rsidR="008E06F4" w:rsidRPr="00D57643" w:rsidRDefault="00131002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（</w:t>
      </w:r>
      <w:r w:rsidR="00432F41" w:rsidRPr="00D57643">
        <w:rPr>
          <w:rFonts w:ascii="仿宋_GB2312" w:eastAsia="仿宋_GB2312" w:hAnsi="Calibri" w:cs="Times New Roman" w:hint="eastAsia"/>
          <w:b/>
          <w:sz w:val="32"/>
          <w:szCs w:val="32"/>
        </w:rPr>
        <w:t>一</w:t>
      </w: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）</w:t>
      </w:r>
      <w:r w:rsidR="002C4571">
        <w:rPr>
          <w:rFonts w:ascii="仿宋_GB2312" w:eastAsia="仿宋_GB2312" w:hAnsi="Calibri" w:cs="Times New Roman" w:hint="eastAsia"/>
          <w:b/>
          <w:sz w:val="32"/>
          <w:szCs w:val="32"/>
        </w:rPr>
        <w:t>自营</w:t>
      </w:r>
      <w:r w:rsidR="008E06F4" w:rsidRPr="00D57643">
        <w:rPr>
          <w:rFonts w:ascii="仿宋_GB2312" w:eastAsia="仿宋_GB2312" w:hAnsi="Calibri" w:cs="Times New Roman" w:hint="eastAsia"/>
          <w:b/>
          <w:sz w:val="32"/>
          <w:szCs w:val="32"/>
        </w:rPr>
        <w:t>业务</w:t>
      </w:r>
    </w:p>
    <w:p w:rsidR="004411DA" w:rsidRPr="00D57643" w:rsidRDefault="004411DA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1.按业务类别划分</w:t>
      </w:r>
    </w:p>
    <w:p w:rsidR="00B13BEC" w:rsidRPr="00D57643" w:rsidRDefault="00857F5F" w:rsidP="00B13BEC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</w:p>
    <w:tbl>
      <w:tblPr>
        <w:tblStyle w:val="a3"/>
        <w:tblW w:w="9298" w:type="dxa"/>
        <w:jc w:val="center"/>
        <w:tblLayout w:type="fixed"/>
        <w:tblLook w:val="04A0" w:firstRow="1" w:lastRow="0" w:firstColumn="1" w:lastColumn="0" w:noHBand="0" w:noVBand="1"/>
      </w:tblPr>
      <w:tblGrid>
        <w:gridCol w:w="1341"/>
        <w:gridCol w:w="1056"/>
        <w:gridCol w:w="830"/>
        <w:gridCol w:w="2089"/>
        <w:gridCol w:w="1984"/>
        <w:gridCol w:w="1998"/>
      </w:tblGrid>
      <w:tr w:rsidR="002B1799" w:rsidRPr="002E2174" w:rsidTr="00C13DED">
        <w:trPr>
          <w:trHeight w:val="288"/>
          <w:jc w:val="center"/>
        </w:trPr>
        <w:tc>
          <w:tcPr>
            <w:tcW w:w="1341" w:type="dxa"/>
            <w:noWrap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业务类别</w:t>
            </w:r>
          </w:p>
        </w:tc>
        <w:tc>
          <w:tcPr>
            <w:tcW w:w="1056" w:type="dxa"/>
            <w:noWrap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830" w:type="dxa"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2089" w:type="dxa"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4" w:type="dxa"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98" w:type="dxa"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BF5498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BF5498" w:rsidRPr="002E2174" w:rsidRDefault="00BF5498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BF5498" w:rsidRPr="002E2174" w:rsidRDefault="00BF5498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BF5498" w:rsidRPr="002E2174" w:rsidRDefault="00BF5498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BF5498" w:rsidRPr="002E2174" w:rsidRDefault="00BF5498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F5498" w:rsidRPr="002E2174" w:rsidRDefault="00BF5498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BF5498" w:rsidRPr="002E2174" w:rsidRDefault="00BF5498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AF0C52" w:rsidRPr="000317CB" w:rsidTr="00C13DED">
        <w:trPr>
          <w:trHeight w:val="288"/>
          <w:jc w:val="center"/>
        </w:trPr>
        <w:tc>
          <w:tcPr>
            <w:tcW w:w="2397" w:type="dxa"/>
            <w:gridSpan w:val="2"/>
            <w:vAlign w:val="center"/>
          </w:tcPr>
          <w:p w:rsidR="00AF0C52" w:rsidRPr="000317CB" w:rsidRDefault="00AF0C52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合计</w:t>
            </w:r>
          </w:p>
        </w:tc>
        <w:tc>
          <w:tcPr>
            <w:tcW w:w="830" w:type="dxa"/>
            <w:vAlign w:val="center"/>
          </w:tcPr>
          <w:p w:rsidR="00AF0C52" w:rsidRPr="000317CB" w:rsidRDefault="00AF0C52" w:rsidP="00AF0C5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AF0C52" w:rsidRPr="000317CB" w:rsidRDefault="00AF0C52" w:rsidP="00AF0C5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F0C52" w:rsidRPr="000317CB" w:rsidRDefault="00AF0C52" w:rsidP="00C13DE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AF0C52" w:rsidRPr="000317CB" w:rsidRDefault="00AF0C52" w:rsidP="00C13DE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B13BEC" w:rsidRPr="000317CB" w:rsidRDefault="00B13BEC" w:rsidP="003D7C56">
      <w:pPr>
        <w:adjustRightInd w:val="0"/>
        <w:snapToGrid w:val="0"/>
        <w:ind w:firstLineChars="250" w:firstLine="600"/>
        <w:rPr>
          <w:rFonts w:ascii="仿宋_GB2312" w:eastAsia="仿宋_GB2312" w:hAnsi="Calibri" w:cs="Times New Roman"/>
          <w:sz w:val="24"/>
          <w:szCs w:val="32"/>
        </w:rPr>
      </w:pPr>
      <w:r w:rsidRPr="000317CB">
        <w:rPr>
          <w:rFonts w:ascii="仿宋_GB2312" w:eastAsia="仿宋_GB2312" w:hAnsi="Calibri" w:cs="Times New Roman" w:hint="eastAsia"/>
          <w:sz w:val="24"/>
          <w:szCs w:val="32"/>
        </w:rPr>
        <w:lastRenderedPageBreak/>
        <w:t>数据来源：</w:t>
      </w:r>
      <w:r w:rsidR="00396810" w:rsidRPr="009A537B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COMSTAR系统、省联社资金统一平台</w:t>
      </w:r>
    </w:p>
    <w:p w:rsidR="004411DA" w:rsidRPr="000317CB" w:rsidRDefault="004411DA" w:rsidP="00F42EAF">
      <w:pPr>
        <w:spacing w:line="60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0317CB">
        <w:rPr>
          <w:rFonts w:ascii="仿宋_GB2312" w:eastAsia="仿宋_GB2312" w:hAnsi="Calibri" w:cs="Times New Roman" w:hint="eastAsia"/>
          <w:b/>
          <w:sz w:val="32"/>
          <w:szCs w:val="32"/>
        </w:rPr>
        <w:t>2.按</w:t>
      </w:r>
      <w:proofErr w:type="gramStart"/>
      <w:r w:rsidRPr="000317CB">
        <w:rPr>
          <w:rFonts w:ascii="仿宋_GB2312" w:eastAsia="仿宋_GB2312" w:hAnsi="Calibri" w:cs="Times New Roman" w:hint="eastAsia"/>
          <w:b/>
          <w:sz w:val="32"/>
          <w:szCs w:val="32"/>
        </w:rPr>
        <w:t>投组划分</w:t>
      </w:r>
      <w:proofErr w:type="gramEnd"/>
    </w:p>
    <w:p w:rsidR="00B13BEC" w:rsidRPr="000317CB" w:rsidRDefault="009A42D9" w:rsidP="00031324">
      <w:pPr>
        <w:wordWrap w:val="0"/>
        <w:adjustRightInd w:val="0"/>
        <w:snapToGrid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0317CB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</w:p>
    <w:tbl>
      <w:tblPr>
        <w:tblStyle w:val="a3"/>
        <w:tblW w:w="11623" w:type="dxa"/>
        <w:jc w:val="center"/>
        <w:tblInd w:w="-837" w:type="dxa"/>
        <w:tblLayout w:type="fixed"/>
        <w:tblLook w:val="04A0" w:firstRow="1" w:lastRow="0" w:firstColumn="1" w:lastColumn="0" w:noHBand="0" w:noVBand="1"/>
      </w:tblPr>
      <w:tblGrid>
        <w:gridCol w:w="3067"/>
        <w:gridCol w:w="1374"/>
        <w:gridCol w:w="992"/>
        <w:gridCol w:w="2221"/>
        <w:gridCol w:w="1984"/>
        <w:gridCol w:w="1985"/>
      </w:tblGrid>
      <w:tr w:rsidR="002B1799" w:rsidRPr="000317CB" w:rsidTr="00B714F8">
        <w:trPr>
          <w:trHeight w:val="288"/>
          <w:jc w:val="center"/>
        </w:trPr>
        <w:tc>
          <w:tcPr>
            <w:tcW w:w="3067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proofErr w:type="gramStart"/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投组</w:t>
            </w:r>
            <w:proofErr w:type="gramEnd"/>
          </w:p>
        </w:tc>
        <w:tc>
          <w:tcPr>
            <w:tcW w:w="1374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992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2221" w:type="dxa"/>
          </w:tcPr>
          <w:p w:rsidR="002B1799" w:rsidRPr="000317CB" w:rsidRDefault="004F0530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4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85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0317CB" w:rsidRPr="000317CB" w:rsidRDefault="000317CB" w:rsidP="00BC6EA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0317CB" w:rsidRPr="000317CB" w:rsidRDefault="000317CB" w:rsidP="00BC6EA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4441" w:type="dxa"/>
            <w:gridSpan w:val="2"/>
            <w:noWrap/>
            <w:vAlign w:val="center"/>
          </w:tcPr>
          <w:p w:rsidR="000317CB" w:rsidRPr="000317CB" w:rsidRDefault="000317CB" w:rsidP="00524658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0317CB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992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B13BEC" w:rsidRPr="000317CB" w:rsidRDefault="00B13BEC" w:rsidP="003D7C56">
      <w:pPr>
        <w:adjustRightInd w:val="0"/>
        <w:snapToGrid w:val="0"/>
        <w:ind w:firstLineChars="200" w:firstLine="480"/>
        <w:rPr>
          <w:rFonts w:ascii="仿宋_GB2312" w:eastAsia="仿宋_GB2312" w:hAnsi="Calibri" w:cs="Times New Roman"/>
          <w:sz w:val="24"/>
          <w:szCs w:val="32"/>
        </w:rPr>
      </w:pPr>
      <w:r w:rsidRPr="000317CB">
        <w:rPr>
          <w:rFonts w:ascii="仿宋_GB2312" w:eastAsia="仿宋_GB2312" w:hAnsi="Calibri" w:cs="Times New Roman" w:hint="eastAsia"/>
          <w:sz w:val="24"/>
          <w:szCs w:val="32"/>
        </w:rPr>
        <w:t>数据来源：</w:t>
      </w:r>
      <w:r w:rsidR="00396810" w:rsidRPr="009A537B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COMSTAR系统、省联社资金统一平台</w:t>
      </w:r>
    </w:p>
    <w:p w:rsidR="002A5322" w:rsidRPr="000317CB" w:rsidRDefault="002A5322" w:rsidP="002A5322">
      <w:pPr>
        <w:spacing w:line="48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0317CB">
        <w:rPr>
          <w:rFonts w:ascii="仿宋_GB2312" w:eastAsia="仿宋_GB2312" w:hAnsi="Calibri" w:cs="Times New Roman" w:hint="eastAsia"/>
          <w:b/>
          <w:sz w:val="32"/>
          <w:szCs w:val="32"/>
        </w:rPr>
        <w:t>（二）理财业务</w:t>
      </w:r>
    </w:p>
    <w:p w:rsidR="00432F41" w:rsidRPr="007C6736" w:rsidRDefault="00432F41" w:rsidP="00432F41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C6736">
        <w:rPr>
          <w:rFonts w:ascii="仿宋_GB2312" w:eastAsia="仿宋_GB2312" w:hAnsi="Calibri" w:cs="Times New Roman" w:hint="eastAsia"/>
          <w:b/>
          <w:sz w:val="32"/>
          <w:szCs w:val="32"/>
        </w:rPr>
        <w:t>1.按业务类别划分</w:t>
      </w:r>
    </w:p>
    <w:p w:rsidR="00432F41" w:rsidRPr="007C6736" w:rsidRDefault="00432F41" w:rsidP="00432F41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sz w:val="24"/>
          <w:szCs w:val="32"/>
        </w:rPr>
      </w:pPr>
      <w:r w:rsidRPr="007C6736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</w:p>
    <w:tbl>
      <w:tblPr>
        <w:tblStyle w:val="a3"/>
        <w:tblW w:w="9374" w:type="dxa"/>
        <w:jc w:val="center"/>
        <w:tblInd w:w="35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850"/>
        <w:gridCol w:w="2002"/>
        <w:gridCol w:w="1984"/>
        <w:gridCol w:w="1985"/>
      </w:tblGrid>
      <w:tr w:rsidR="00432F41" w:rsidRPr="007C6736" w:rsidTr="00BC6EA4">
        <w:trPr>
          <w:trHeight w:val="288"/>
          <w:jc w:val="center"/>
        </w:trPr>
        <w:tc>
          <w:tcPr>
            <w:tcW w:w="1419" w:type="dxa"/>
            <w:noWrap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业务类别</w:t>
            </w:r>
          </w:p>
        </w:tc>
        <w:tc>
          <w:tcPr>
            <w:tcW w:w="1134" w:type="dxa"/>
            <w:noWrap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850" w:type="dxa"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2002" w:type="dxa"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4" w:type="dxa"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85" w:type="dxa"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0F3526" w:rsidTr="00BC6EA4">
        <w:trPr>
          <w:trHeight w:val="288"/>
          <w:jc w:val="center"/>
        </w:trPr>
        <w:tc>
          <w:tcPr>
            <w:tcW w:w="2553" w:type="dxa"/>
            <w:gridSpan w:val="2"/>
            <w:vAlign w:val="center"/>
          </w:tcPr>
          <w:p w:rsidR="000F3526" w:rsidRPr="000F3526" w:rsidRDefault="000F3526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F352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合计</w:t>
            </w:r>
          </w:p>
        </w:tc>
        <w:tc>
          <w:tcPr>
            <w:tcW w:w="850" w:type="dxa"/>
            <w:vAlign w:val="center"/>
          </w:tcPr>
          <w:p w:rsidR="000F3526" w:rsidRPr="000F3526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0F3526" w:rsidRPr="000F3526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0F3526" w:rsidRPr="000F3526" w:rsidRDefault="000F3526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0F3526" w:rsidRPr="000F3526" w:rsidRDefault="000F3526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432F41" w:rsidRPr="000F3526" w:rsidRDefault="00432F41" w:rsidP="00432F41">
      <w:pPr>
        <w:adjustRightInd w:val="0"/>
        <w:snapToGrid w:val="0"/>
        <w:ind w:firstLineChars="250" w:firstLine="600"/>
        <w:rPr>
          <w:rFonts w:ascii="仿宋_GB2312" w:eastAsia="仿宋_GB2312" w:hAnsi="Calibri" w:cs="Times New Roman"/>
          <w:sz w:val="24"/>
          <w:szCs w:val="32"/>
        </w:rPr>
      </w:pPr>
      <w:r w:rsidRPr="000F3526">
        <w:rPr>
          <w:rFonts w:ascii="仿宋_GB2312" w:eastAsia="仿宋_GB2312" w:hAnsi="Calibri" w:cs="Times New Roman" w:hint="eastAsia"/>
          <w:sz w:val="24"/>
          <w:szCs w:val="32"/>
        </w:rPr>
        <w:t>数据来源：</w:t>
      </w:r>
      <w:r w:rsidR="00DE33B0" w:rsidRPr="000F3526">
        <w:rPr>
          <w:rFonts w:ascii="仿宋_GB2312" w:eastAsia="仿宋_GB2312" w:hAnsi="Calibri" w:cs="Times New Roman" w:hint="eastAsia"/>
          <w:sz w:val="24"/>
          <w:szCs w:val="32"/>
        </w:rPr>
        <w:t>理财资产管理系统</w:t>
      </w:r>
      <w:r w:rsidR="00DE33B0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、宁波银行估值表</w:t>
      </w:r>
    </w:p>
    <w:p w:rsidR="00432F41" w:rsidRPr="00F410A8" w:rsidRDefault="00432F41" w:rsidP="00432F41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F410A8">
        <w:rPr>
          <w:rFonts w:ascii="仿宋_GB2312" w:eastAsia="仿宋_GB2312" w:hAnsi="Calibri" w:cs="Times New Roman" w:hint="eastAsia"/>
          <w:b/>
          <w:sz w:val="32"/>
          <w:szCs w:val="32"/>
        </w:rPr>
        <w:t>2.按</w:t>
      </w:r>
      <w:proofErr w:type="gramStart"/>
      <w:r w:rsidRPr="00F410A8">
        <w:rPr>
          <w:rFonts w:ascii="仿宋_GB2312" w:eastAsia="仿宋_GB2312" w:hAnsi="Calibri" w:cs="Times New Roman" w:hint="eastAsia"/>
          <w:b/>
          <w:sz w:val="32"/>
          <w:szCs w:val="32"/>
        </w:rPr>
        <w:t>投组划分</w:t>
      </w:r>
      <w:proofErr w:type="gramEnd"/>
    </w:p>
    <w:tbl>
      <w:tblPr>
        <w:tblStyle w:val="a3"/>
        <w:tblW w:w="10857" w:type="dxa"/>
        <w:jc w:val="center"/>
        <w:tblInd w:w="-366" w:type="dxa"/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992"/>
        <w:gridCol w:w="1926"/>
        <w:gridCol w:w="1985"/>
        <w:gridCol w:w="1984"/>
      </w:tblGrid>
      <w:tr w:rsidR="00432F41" w:rsidRPr="00F410A8" w:rsidTr="001B5773">
        <w:trPr>
          <w:trHeight w:val="288"/>
          <w:jc w:val="center"/>
        </w:trPr>
        <w:tc>
          <w:tcPr>
            <w:tcW w:w="1985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926" w:type="dxa"/>
            <w:tcBorders>
              <w:top w:val="nil"/>
              <w:left w:val="nil"/>
              <w:right w:val="nil"/>
            </w:tcBorders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仿宋_GB2312" w:eastAsia="仿宋_GB2312" w:hAnsi="Calibri" w:cs="Times New Roman" w:hint="eastAsia"/>
                <w:sz w:val="24"/>
                <w:szCs w:val="32"/>
              </w:rPr>
              <w:t>单位：</w:t>
            </w:r>
            <w:r w:rsidR="00DF56B9">
              <w:rPr>
                <w:rFonts w:ascii="仿宋_GB2312" w:eastAsia="仿宋_GB2312" w:hAnsi="Calibri" w:cs="Times New Roman" w:hint="eastAsia"/>
                <w:sz w:val="24"/>
                <w:szCs w:val="32"/>
              </w:rPr>
              <w:t>亿元</w:t>
            </w:r>
          </w:p>
        </w:tc>
      </w:tr>
      <w:tr w:rsidR="00432F41" w:rsidRPr="00F410A8" w:rsidTr="001B5773">
        <w:trPr>
          <w:trHeight w:val="288"/>
          <w:jc w:val="center"/>
        </w:trPr>
        <w:tc>
          <w:tcPr>
            <w:tcW w:w="1985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proofErr w:type="gramStart"/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投组</w:t>
            </w:r>
            <w:proofErr w:type="gramEnd"/>
          </w:p>
        </w:tc>
        <w:tc>
          <w:tcPr>
            <w:tcW w:w="1985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992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1926" w:type="dxa"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5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84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670C2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670C2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9F2B69">
        <w:trPr>
          <w:trHeight w:val="288"/>
          <w:jc w:val="center"/>
        </w:trPr>
        <w:tc>
          <w:tcPr>
            <w:tcW w:w="3970" w:type="dxa"/>
            <w:gridSpan w:val="2"/>
            <w:noWrap/>
            <w:vAlign w:val="center"/>
          </w:tcPr>
          <w:p w:rsidR="000F3526" w:rsidRPr="00F410A8" w:rsidRDefault="000F3526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F410A8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432F41" w:rsidRPr="00F410A8" w:rsidRDefault="00432F41" w:rsidP="00432F41">
      <w:pPr>
        <w:adjustRightInd w:val="0"/>
        <w:snapToGrid w:val="0"/>
        <w:ind w:firstLineChars="250" w:firstLine="600"/>
        <w:rPr>
          <w:rFonts w:ascii="仿宋_GB2312" w:eastAsia="仿宋_GB2312" w:hAnsi="Calibri" w:cs="Times New Roman"/>
          <w:sz w:val="24"/>
          <w:szCs w:val="32"/>
        </w:rPr>
      </w:pPr>
      <w:r w:rsidRPr="00F410A8">
        <w:rPr>
          <w:rFonts w:ascii="仿宋_GB2312" w:eastAsia="仿宋_GB2312" w:hAnsi="Calibri" w:cs="Times New Roman" w:hint="eastAsia"/>
          <w:sz w:val="24"/>
          <w:szCs w:val="32"/>
        </w:rPr>
        <w:t>数据来源：</w:t>
      </w:r>
      <w:r w:rsidR="00DE33B0" w:rsidRPr="000F3526">
        <w:rPr>
          <w:rFonts w:ascii="仿宋_GB2312" w:eastAsia="仿宋_GB2312" w:hAnsi="Calibri" w:cs="Times New Roman" w:hint="eastAsia"/>
          <w:sz w:val="24"/>
          <w:szCs w:val="32"/>
        </w:rPr>
        <w:t>理财资产管理系统</w:t>
      </w:r>
      <w:r w:rsidR="00DE33B0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、宁波银行估值表</w:t>
      </w:r>
    </w:p>
    <w:p w:rsidR="00EE2B2D" w:rsidRPr="00542893" w:rsidRDefault="002E58C4" w:rsidP="00F42EAF">
      <w:pPr>
        <w:spacing w:line="60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42893">
        <w:rPr>
          <w:rFonts w:ascii="仿宋_GB2312" w:eastAsia="仿宋_GB2312" w:hAnsi="Calibri" w:cs="Times New Roman" w:hint="eastAsia"/>
          <w:b/>
          <w:sz w:val="32"/>
          <w:szCs w:val="32"/>
        </w:rPr>
        <w:t>（四）</w:t>
      </w:r>
      <w:r w:rsidR="00EE2B2D" w:rsidRPr="00542893">
        <w:rPr>
          <w:rFonts w:ascii="仿宋_GB2312" w:eastAsia="仿宋_GB2312" w:hAnsi="Calibri" w:cs="Times New Roman" w:hint="eastAsia"/>
          <w:b/>
          <w:sz w:val="32"/>
          <w:szCs w:val="32"/>
        </w:rPr>
        <w:t>交易对手</w:t>
      </w:r>
    </w:p>
    <w:tbl>
      <w:tblPr>
        <w:tblStyle w:val="a3"/>
        <w:tblW w:w="11157" w:type="dxa"/>
        <w:jc w:val="center"/>
        <w:tblInd w:w="-61" w:type="dxa"/>
        <w:tblLayout w:type="fixed"/>
        <w:tblLook w:val="04A0" w:firstRow="1" w:lastRow="0" w:firstColumn="1" w:lastColumn="0" w:noHBand="0" w:noVBand="1"/>
      </w:tblPr>
      <w:tblGrid>
        <w:gridCol w:w="1673"/>
        <w:gridCol w:w="851"/>
        <w:gridCol w:w="850"/>
        <w:gridCol w:w="906"/>
        <w:gridCol w:w="498"/>
        <w:gridCol w:w="851"/>
        <w:gridCol w:w="850"/>
        <w:gridCol w:w="851"/>
        <w:gridCol w:w="850"/>
        <w:gridCol w:w="851"/>
        <w:gridCol w:w="425"/>
        <w:gridCol w:w="851"/>
        <w:gridCol w:w="850"/>
      </w:tblGrid>
      <w:tr w:rsidR="009C1DC5" w:rsidRPr="00542893" w:rsidTr="00BA4191">
        <w:trPr>
          <w:trHeight w:val="270"/>
          <w:jc w:val="center"/>
        </w:trPr>
        <w:tc>
          <w:tcPr>
            <w:tcW w:w="1673" w:type="dxa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77" w:type="dxa"/>
            <w:gridSpan w:val="9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542893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单位：亿元</w:t>
            </w:r>
          </w:p>
        </w:tc>
      </w:tr>
      <w:tr w:rsidR="0052432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交易对手</w:t>
            </w:r>
          </w:p>
        </w:tc>
        <w:tc>
          <w:tcPr>
            <w:tcW w:w="851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方向</w:t>
            </w:r>
          </w:p>
        </w:tc>
        <w:tc>
          <w:tcPr>
            <w:tcW w:w="850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部门</w:t>
            </w:r>
          </w:p>
        </w:tc>
        <w:tc>
          <w:tcPr>
            <w:tcW w:w="906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金额</w:t>
            </w:r>
          </w:p>
        </w:tc>
        <w:tc>
          <w:tcPr>
            <w:tcW w:w="498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  <w:tc>
          <w:tcPr>
            <w:tcW w:w="851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最大单笔</w:t>
            </w:r>
          </w:p>
        </w:tc>
        <w:tc>
          <w:tcPr>
            <w:tcW w:w="850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最小单笔</w:t>
            </w:r>
          </w:p>
        </w:tc>
        <w:tc>
          <w:tcPr>
            <w:tcW w:w="851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方向</w:t>
            </w:r>
          </w:p>
        </w:tc>
        <w:tc>
          <w:tcPr>
            <w:tcW w:w="850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部门</w:t>
            </w:r>
          </w:p>
        </w:tc>
        <w:tc>
          <w:tcPr>
            <w:tcW w:w="851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金额</w:t>
            </w:r>
          </w:p>
        </w:tc>
        <w:tc>
          <w:tcPr>
            <w:tcW w:w="425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  <w:tc>
          <w:tcPr>
            <w:tcW w:w="851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最大单笔</w:t>
            </w:r>
          </w:p>
        </w:tc>
        <w:tc>
          <w:tcPr>
            <w:tcW w:w="850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最小单笔</w:t>
            </w: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1157" w:type="dxa"/>
            <w:gridSpan w:val="13"/>
            <w:tcBorders>
              <w:left w:val="nil"/>
              <w:bottom w:val="nil"/>
              <w:right w:val="nil"/>
            </w:tcBorders>
            <w:noWrap/>
            <w:vAlign w:val="center"/>
          </w:tcPr>
          <w:p w:rsidR="00542893" w:rsidRPr="00542893" w:rsidRDefault="00542893" w:rsidP="0052432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2893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  <w:r w:rsidRPr="00542893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、理财资产管理系统、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1157" w:type="dxa"/>
            <w:gridSpan w:val="1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2893" w:rsidRPr="00542893" w:rsidRDefault="00542893" w:rsidP="00DD4F94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542893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备注：针对主体评级AAA以下、注册资本100亿元以下的交易对手分析</w:t>
            </w:r>
          </w:p>
        </w:tc>
      </w:tr>
    </w:tbl>
    <w:p w:rsidR="002E58C4" w:rsidRPr="005F475E" w:rsidRDefault="00EE2B2D" w:rsidP="00031324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b/>
          <w:sz w:val="32"/>
          <w:szCs w:val="32"/>
        </w:rPr>
        <w:t>（五）</w:t>
      </w:r>
      <w:r w:rsidR="002E58C4" w:rsidRPr="005F475E">
        <w:rPr>
          <w:rFonts w:ascii="仿宋_GB2312" w:eastAsia="仿宋_GB2312" w:hAnsi="Calibri" w:cs="Times New Roman" w:hint="eastAsia"/>
          <w:b/>
          <w:sz w:val="32"/>
          <w:szCs w:val="32"/>
        </w:rPr>
        <w:t>预警债券名单</w:t>
      </w:r>
    </w:p>
    <w:p w:rsidR="002E58C4" w:rsidRPr="005F475E" w:rsidRDefault="002E58C4" w:rsidP="002E58C4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sz w:val="24"/>
          <w:szCs w:val="32"/>
        </w:rPr>
        <w:t>单位：亿元</w:t>
      </w:r>
    </w:p>
    <w:tbl>
      <w:tblPr>
        <w:tblStyle w:val="a3"/>
        <w:tblW w:w="935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3"/>
        <w:gridCol w:w="4536"/>
        <w:gridCol w:w="850"/>
        <w:gridCol w:w="1418"/>
      </w:tblGrid>
      <w:tr w:rsidR="002E58C4" w:rsidRPr="005F475E" w:rsidTr="0059208E">
        <w:tc>
          <w:tcPr>
            <w:tcW w:w="2553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债券名称</w:t>
            </w:r>
          </w:p>
        </w:tc>
        <w:tc>
          <w:tcPr>
            <w:tcW w:w="4536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发行主体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余额</w:t>
            </w:r>
          </w:p>
        </w:tc>
        <w:tc>
          <w:tcPr>
            <w:tcW w:w="141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分类</w:t>
            </w:r>
          </w:p>
        </w:tc>
      </w:tr>
      <w:tr w:rsidR="002E58C4" w:rsidRPr="005F475E" w:rsidTr="0059208E">
        <w:tc>
          <w:tcPr>
            <w:tcW w:w="2553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青国投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MTN001</w:t>
            </w:r>
          </w:p>
        </w:tc>
        <w:tc>
          <w:tcPr>
            <w:tcW w:w="4536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青海省国有资产投资管理有限公司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0.50</w:t>
            </w:r>
          </w:p>
        </w:tc>
        <w:tc>
          <w:tcPr>
            <w:tcW w:w="141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永续预警</w:t>
            </w:r>
          </w:p>
        </w:tc>
      </w:tr>
      <w:tr w:rsidR="002E58C4" w:rsidRPr="005F475E" w:rsidTr="0059208E">
        <w:tc>
          <w:tcPr>
            <w:tcW w:w="2553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lastRenderedPageBreak/>
              <w:t>17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开元专项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债01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16道桥01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遵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桥01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15遵义道桥债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17红果专项债01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18红果专项债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遵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停车债</w:t>
            </w:r>
          </w:p>
          <w:p w:rsidR="00766C40" w:rsidRPr="005F475E" w:rsidRDefault="00766C40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17遵义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播投债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02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贵州凯里开元城市投资开发有限责任公司；遵义道桥建设（集团）有限公司；贵州省红果经济技术开发区开发有限责任公司；遵义市新区开发投资有限责任公司</w:t>
            </w:r>
            <w:r w:rsidR="00766C40"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；遵义市播州区城市建设投资经营(集团)有限公司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766C40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5</w:t>
            </w:r>
            <w:r w:rsidR="002E58C4"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.75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2E58C4" w:rsidRPr="005F475E" w:rsidRDefault="002F61FA" w:rsidP="002F61F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区域</w:t>
            </w:r>
            <w:r w:rsidR="002E58C4" w:rsidRPr="005F475E">
              <w:rPr>
                <w:rFonts w:asciiTheme="minorEastAsia" w:hAnsiTheme="minorEastAsia" w:cs="Times New Roman"/>
                <w:sz w:val="28"/>
                <w:szCs w:val="28"/>
              </w:rPr>
              <w:t>风险</w:t>
            </w:r>
          </w:p>
        </w:tc>
      </w:tr>
      <w:tr w:rsidR="005D3352" w:rsidRPr="005F475E" w:rsidTr="0059208E">
        <w:tc>
          <w:tcPr>
            <w:tcW w:w="2553" w:type="dxa"/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15营口沿海债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营口沿海开发建设集团有限公司</w:t>
            </w:r>
          </w:p>
        </w:tc>
        <w:tc>
          <w:tcPr>
            <w:tcW w:w="850" w:type="dxa"/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</w:t>
            </w:r>
            <w:r w:rsidR="00083425"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</w:t>
            </w: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评级观察</w:t>
            </w:r>
          </w:p>
        </w:tc>
      </w:tr>
      <w:tr w:rsidR="00083425" w:rsidRPr="005F475E" w:rsidTr="0059208E">
        <w:tc>
          <w:tcPr>
            <w:tcW w:w="2553" w:type="dxa"/>
            <w:vAlign w:val="center"/>
          </w:tcPr>
          <w:p w:rsidR="00083425" w:rsidRPr="005F475E" w:rsidRDefault="0008342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19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迈科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083425" w:rsidRPr="005F475E" w:rsidRDefault="00083425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西安迈科金属国际集团有限公司</w:t>
            </w:r>
          </w:p>
        </w:tc>
        <w:tc>
          <w:tcPr>
            <w:tcW w:w="850" w:type="dxa"/>
            <w:vAlign w:val="center"/>
          </w:tcPr>
          <w:p w:rsidR="00083425" w:rsidRPr="005F475E" w:rsidRDefault="0008342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1.49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83425" w:rsidRPr="005F475E" w:rsidRDefault="00C0233D" w:rsidP="002F61F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弱资质</w:t>
            </w:r>
          </w:p>
        </w:tc>
      </w:tr>
      <w:tr w:rsidR="002E58C4" w:rsidRPr="005F475E" w:rsidTr="0059208E">
        <w:tc>
          <w:tcPr>
            <w:tcW w:w="2553" w:type="dxa"/>
            <w:tcBorders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4536" w:type="dxa"/>
            <w:tcBorders>
              <w:left w:val="nil"/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E58C4" w:rsidRPr="005F475E" w:rsidRDefault="00B36D4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8.74</w:t>
            </w:r>
          </w:p>
        </w:tc>
        <w:tc>
          <w:tcPr>
            <w:tcW w:w="1418" w:type="dxa"/>
            <w:tcBorders>
              <w:lef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2E58C4" w:rsidRPr="005F475E" w:rsidRDefault="00EE2B2D" w:rsidP="002E58C4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b/>
          <w:sz w:val="32"/>
          <w:szCs w:val="32"/>
        </w:rPr>
        <w:t>（六</w:t>
      </w:r>
      <w:r w:rsidR="002E58C4" w:rsidRPr="005F475E">
        <w:rPr>
          <w:rFonts w:ascii="仿宋_GB2312" w:eastAsia="仿宋_GB2312" w:hAnsi="Calibri" w:cs="Times New Roman" w:hint="eastAsia"/>
          <w:b/>
          <w:sz w:val="32"/>
          <w:szCs w:val="32"/>
        </w:rPr>
        <w:t>）违约/欠息债券</w:t>
      </w:r>
    </w:p>
    <w:p w:rsidR="002E58C4" w:rsidRPr="005F475E" w:rsidRDefault="002E58C4" w:rsidP="002E58C4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sz w:val="24"/>
          <w:szCs w:val="32"/>
        </w:rPr>
        <w:t>单位：亿元</w:t>
      </w:r>
    </w:p>
    <w:tbl>
      <w:tblPr>
        <w:tblStyle w:val="a3"/>
        <w:tblW w:w="8931" w:type="dxa"/>
        <w:jc w:val="center"/>
        <w:tblInd w:w="-459" w:type="dxa"/>
        <w:tblLayout w:type="fixed"/>
        <w:tblLook w:val="04A0" w:firstRow="1" w:lastRow="0" w:firstColumn="1" w:lastColumn="0" w:noHBand="0" w:noVBand="1"/>
      </w:tblPr>
      <w:tblGrid>
        <w:gridCol w:w="3002"/>
        <w:gridCol w:w="4228"/>
        <w:gridCol w:w="850"/>
        <w:gridCol w:w="851"/>
      </w:tblGrid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债券名称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发行主体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余额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分类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18永泰集团SCP001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永泰集团有限公司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1.00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17华阳04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中国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华阳经贸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集团有限公司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0.40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16美兰01、16美兰02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海口美兰国际机场有限责任公司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0.80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811505" w:rsidRPr="005F475E" w:rsidTr="0059208E">
        <w:trPr>
          <w:jc w:val="center"/>
        </w:trPr>
        <w:tc>
          <w:tcPr>
            <w:tcW w:w="3002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海航203</w:t>
            </w:r>
          </w:p>
        </w:tc>
        <w:tc>
          <w:tcPr>
            <w:tcW w:w="4228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海南航空控股股份有限公司</w:t>
            </w:r>
          </w:p>
        </w:tc>
        <w:tc>
          <w:tcPr>
            <w:tcW w:w="850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0.49</w:t>
            </w:r>
          </w:p>
        </w:tc>
        <w:tc>
          <w:tcPr>
            <w:tcW w:w="851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15中信国安MTN001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中信国安集团股份有限公司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0.30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15包商银行二级</w:t>
            </w:r>
          </w:p>
        </w:tc>
        <w:tc>
          <w:tcPr>
            <w:tcW w:w="4228" w:type="dxa"/>
            <w:tcBorders>
              <w:bottom w:val="single" w:sz="4" w:space="0" w:color="auto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包商银行股份有限公司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1.00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E58C4" w:rsidRPr="005F475E" w:rsidRDefault="00AF461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减记</w:t>
            </w:r>
            <w:proofErr w:type="gramEnd"/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tcBorders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4228" w:type="dxa"/>
            <w:tcBorders>
              <w:left w:val="nil"/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E58C4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3.99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4411DA" w:rsidRPr="007672DA" w:rsidRDefault="004B5445" w:rsidP="007753CC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三、</w:t>
      </w:r>
      <w:r w:rsidR="004411DA" w:rsidRPr="007672DA">
        <w:rPr>
          <w:rFonts w:ascii="仿宋_GB2312" w:eastAsia="仿宋_GB2312" w:hAnsi="Calibri" w:cs="Times New Roman" w:hint="eastAsia"/>
          <w:b/>
          <w:sz w:val="32"/>
          <w:szCs w:val="32"/>
        </w:rPr>
        <w:t>风险监测</w:t>
      </w:r>
    </w:p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（一）监测指标</w:t>
      </w:r>
    </w:p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1.</w:t>
      </w:r>
      <w:r w:rsidR="00E6221A" w:rsidRPr="007672DA">
        <w:rPr>
          <w:rFonts w:ascii="仿宋_GB2312" w:eastAsia="仿宋_GB2312" w:hAnsi="Calibri" w:cs="Times New Roman" w:hint="eastAsia"/>
          <w:b/>
          <w:sz w:val="32"/>
          <w:szCs w:val="32"/>
        </w:rPr>
        <w:t>非金融企业债券</w:t>
      </w: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主体集中度</w:t>
      </w:r>
    </w:p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（1）同业业务中心</w:t>
      </w:r>
    </w:p>
    <w:tbl>
      <w:tblPr>
        <w:tblStyle w:val="a3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417"/>
        <w:gridCol w:w="1418"/>
        <w:gridCol w:w="1701"/>
        <w:gridCol w:w="1276"/>
      </w:tblGrid>
      <w:tr w:rsidR="00BC6F6D" w:rsidRPr="007672DA" w:rsidTr="009822EF">
        <w:trPr>
          <w:trHeight w:val="270"/>
          <w:jc w:val="center"/>
        </w:trPr>
        <w:tc>
          <w:tcPr>
            <w:tcW w:w="4077" w:type="dxa"/>
            <w:gridSpan w:val="2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BC6F6D" w:rsidRPr="007672DA" w:rsidRDefault="00BC6F6D" w:rsidP="00BC6F6D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、笔</w:t>
            </w:r>
          </w:p>
        </w:tc>
      </w:tr>
      <w:tr w:rsidR="00BC6F6D" w:rsidRPr="007672DA" w:rsidTr="009822EF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主体持仓金额区间</w:t>
            </w:r>
          </w:p>
        </w:tc>
        <w:tc>
          <w:tcPr>
            <w:tcW w:w="1417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主体数量</w:t>
            </w:r>
          </w:p>
        </w:tc>
        <w:tc>
          <w:tcPr>
            <w:tcW w:w="1418" w:type="dxa"/>
            <w:noWrap/>
            <w:hideMark/>
          </w:tcPr>
          <w:p w:rsidR="00BC6F6D" w:rsidRPr="007672DA" w:rsidRDefault="00BC6F6D" w:rsidP="00BC6F6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业务笔数</w:t>
            </w:r>
          </w:p>
        </w:tc>
        <w:tc>
          <w:tcPr>
            <w:tcW w:w="1701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1276" w:type="dxa"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532F96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低于5</w:t>
            </w:r>
            <w:proofErr w:type="gramStart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（含）</w:t>
            </w:r>
          </w:p>
        </w:tc>
        <w:tc>
          <w:tcPr>
            <w:tcW w:w="1417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8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532F96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5</w:t>
            </w:r>
            <w:proofErr w:type="gramStart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至1亿（含）</w:t>
            </w:r>
          </w:p>
        </w:tc>
        <w:tc>
          <w:tcPr>
            <w:tcW w:w="1417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8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1亿至2亿（含）</w:t>
            </w:r>
          </w:p>
        </w:tc>
        <w:tc>
          <w:tcPr>
            <w:tcW w:w="1417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8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超过2亿</w:t>
            </w:r>
          </w:p>
        </w:tc>
        <w:tc>
          <w:tcPr>
            <w:tcW w:w="1417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8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tcBorders>
              <w:bottom w:val="single" w:sz="4" w:space="0" w:color="auto"/>
            </w:tcBorders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360535" w:rsidRPr="007672DA" w:rsidTr="00360535">
        <w:trPr>
          <w:trHeight w:val="270"/>
          <w:jc w:val="center"/>
        </w:trPr>
        <w:tc>
          <w:tcPr>
            <w:tcW w:w="8472" w:type="dxa"/>
            <w:gridSpan w:val="5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:rsidR="00360535" w:rsidRPr="007672DA" w:rsidRDefault="00360535" w:rsidP="00360535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</w:p>
        </w:tc>
      </w:tr>
    </w:tbl>
    <w:p w:rsidR="00964915" w:rsidRPr="007672DA" w:rsidRDefault="00964915" w:rsidP="00C41E9D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其中，前十大发行主体明细：</w:t>
      </w:r>
    </w:p>
    <w:tbl>
      <w:tblPr>
        <w:tblStyle w:val="a3"/>
        <w:tblW w:w="5249" w:type="pct"/>
        <w:jc w:val="center"/>
        <w:tblInd w:w="-1026" w:type="dxa"/>
        <w:tblLayout w:type="fixed"/>
        <w:tblLook w:val="04A0" w:firstRow="1" w:lastRow="0" w:firstColumn="1" w:lastColumn="0" w:noHBand="0" w:noVBand="1"/>
      </w:tblPr>
      <w:tblGrid>
        <w:gridCol w:w="6197"/>
        <w:gridCol w:w="1786"/>
        <w:gridCol w:w="963"/>
      </w:tblGrid>
      <w:tr w:rsidR="00964915" w:rsidRPr="007672DA" w:rsidTr="0016337A">
        <w:trPr>
          <w:trHeight w:val="270"/>
          <w:jc w:val="center"/>
        </w:trPr>
        <w:tc>
          <w:tcPr>
            <w:tcW w:w="3464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964915" w:rsidRPr="007672DA" w:rsidRDefault="00964915" w:rsidP="00964915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1536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、笔</w:t>
            </w:r>
          </w:p>
        </w:tc>
      </w:tr>
      <w:tr w:rsidR="00C41E9D" w:rsidRPr="007672DA" w:rsidTr="0016337A">
        <w:trPr>
          <w:trHeight w:val="270"/>
          <w:jc w:val="center"/>
        </w:trPr>
        <w:tc>
          <w:tcPr>
            <w:tcW w:w="3464" w:type="pct"/>
            <w:noWrap/>
            <w:hideMark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lastRenderedPageBreak/>
              <w:t>发行主体</w:t>
            </w:r>
          </w:p>
        </w:tc>
        <w:tc>
          <w:tcPr>
            <w:tcW w:w="998" w:type="pct"/>
            <w:noWrap/>
            <w:hideMark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538" w:type="pct"/>
            <w:noWrap/>
            <w:hideMark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64915" w:rsidRPr="007672DA" w:rsidTr="0016337A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964915" w:rsidRPr="007672DA" w:rsidRDefault="00964915" w:rsidP="00396810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</w:p>
        </w:tc>
      </w:tr>
      <w:tr w:rsidR="00964915" w:rsidRPr="007672DA" w:rsidTr="0016337A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64915" w:rsidRPr="007672DA" w:rsidRDefault="00396810" w:rsidP="00396810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同业线下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和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债基项</w:t>
            </w:r>
            <w:proofErr w:type="gramEnd"/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下非金融企业债券投资</w:t>
            </w:r>
          </w:p>
        </w:tc>
      </w:tr>
    </w:tbl>
    <w:p w:rsidR="00457C9F" w:rsidRPr="007672DA" w:rsidRDefault="00457C9F" w:rsidP="00457C9F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省内各地市非金融债券投资情况：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733"/>
        <w:gridCol w:w="3218"/>
        <w:gridCol w:w="1571"/>
      </w:tblGrid>
      <w:tr w:rsidR="00457C9F" w:rsidRPr="007672DA" w:rsidTr="00457C9F">
        <w:trPr>
          <w:trHeight w:val="270"/>
          <w:jc w:val="center"/>
        </w:trPr>
        <w:tc>
          <w:tcPr>
            <w:tcW w:w="2190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773832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2810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457C9F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57C9F" w:rsidRPr="007672DA" w:rsidTr="00457C9F">
        <w:trPr>
          <w:trHeight w:val="270"/>
          <w:jc w:val="center"/>
        </w:trPr>
        <w:tc>
          <w:tcPr>
            <w:tcW w:w="2190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城市</w:t>
            </w:r>
          </w:p>
        </w:tc>
        <w:tc>
          <w:tcPr>
            <w:tcW w:w="1888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922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1888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922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457C9F" w:rsidRPr="007672DA" w:rsidTr="00457C9F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457C9F" w:rsidP="0022695A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</w:p>
        </w:tc>
      </w:tr>
      <w:tr w:rsidR="00457C9F" w:rsidRPr="007672DA" w:rsidTr="00457C9F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396810" w:rsidP="00773832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同业线下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和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债基项</w:t>
            </w:r>
            <w:proofErr w:type="gramEnd"/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下非金融企业债券投资</w:t>
            </w:r>
          </w:p>
        </w:tc>
      </w:tr>
    </w:tbl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/>
          <w:b/>
          <w:sz w:val="32"/>
          <w:szCs w:val="32"/>
        </w:rPr>
        <w:t>（</w:t>
      </w: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2</w:t>
      </w:r>
      <w:r w:rsidRPr="007672DA">
        <w:rPr>
          <w:rFonts w:ascii="仿宋_GB2312" w:eastAsia="仿宋_GB2312" w:hAnsi="Calibri" w:cs="Times New Roman"/>
          <w:b/>
          <w:sz w:val="32"/>
          <w:szCs w:val="32"/>
        </w:rPr>
        <w:t>）理财事业部</w:t>
      </w:r>
    </w:p>
    <w:tbl>
      <w:tblPr>
        <w:tblStyle w:val="a3"/>
        <w:tblW w:w="8440" w:type="dxa"/>
        <w:jc w:val="center"/>
        <w:tblInd w:w="142" w:type="dxa"/>
        <w:tblLayout w:type="fixed"/>
        <w:tblLook w:val="04A0" w:firstRow="1" w:lastRow="0" w:firstColumn="1" w:lastColumn="0" w:noHBand="0" w:noVBand="1"/>
      </w:tblPr>
      <w:tblGrid>
        <w:gridCol w:w="2518"/>
        <w:gridCol w:w="1410"/>
        <w:gridCol w:w="1421"/>
        <w:gridCol w:w="1701"/>
        <w:gridCol w:w="1390"/>
      </w:tblGrid>
      <w:tr w:rsidR="00BC6F6D" w:rsidRPr="007672DA" w:rsidTr="009822EF">
        <w:trPr>
          <w:trHeight w:val="270"/>
          <w:jc w:val="center"/>
        </w:trPr>
        <w:tc>
          <w:tcPr>
            <w:tcW w:w="2518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部门:理财事业部</w:t>
            </w:r>
          </w:p>
        </w:tc>
        <w:tc>
          <w:tcPr>
            <w:tcW w:w="1410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1421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3091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BC6F6D" w:rsidRPr="007672DA" w:rsidRDefault="00BC6F6D" w:rsidP="00BC6F6D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、笔</w:t>
            </w:r>
          </w:p>
        </w:tc>
      </w:tr>
      <w:tr w:rsidR="00BC6F6D" w:rsidRPr="007672DA" w:rsidTr="009822EF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区间</w:t>
            </w:r>
          </w:p>
        </w:tc>
        <w:tc>
          <w:tcPr>
            <w:tcW w:w="1410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主体数量</w:t>
            </w:r>
          </w:p>
        </w:tc>
        <w:tc>
          <w:tcPr>
            <w:tcW w:w="1421" w:type="dxa"/>
            <w:noWrap/>
            <w:hideMark/>
          </w:tcPr>
          <w:p w:rsidR="00BC6F6D" w:rsidRPr="007672DA" w:rsidRDefault="00BC6F6D" w:rsidP="00BC6F6D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业务笔数</w:t>
            </w:r>
          </w:p>
        </w:tc>
        <w:tc>
          <w:tcPr>
            <w:tcW w:w="1701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1390" w:type="dxa"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532F96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低于5</w:t>
            </w:r>
            <w:proofErr w:type="gramStart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（含）</w:t>
            </w:r>
          </w:p>
        </w:tc>
        <w:tc>
          <w:tcPr>
            <w:tcW w:w="1410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2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5</w:t>
            </w:r>
            <w:proofErr w:type="gramStart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至1亿（含）</w:t>
            </w:r>
          </w:p>
        </w:tc>
        <w:tc>
          <w:tcPr>
            <w:tcW w:w="1410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2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1亿至2亿（含）</w:t>
            </w:r>
          </w:p>
        </w:tc>
        <w:tc>
          <w:tcPr>
            <w:tcW w:w="1410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2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超过2亿</w:t>
            </w:r>
          </w:p>
        </w:tc>
        <w:tc>
          <w:tcPr>
            <w:tcW w:w="1410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2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tcBorders>
              <w:bottom w:val="single" w:sz="4" w:space="0" w:color="auto"/>
            </w:tcBorders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1410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421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1A717C" w:rsidRPr="007672DA" w:rsidTr="00873378">
        <w:trPr>
          <w:trHeight w:val="270"/>
          <w:jc w:val="center"/>
        </w:trPr>
        <w:tc>
          <w:tcPr>
            <w:tcW w:w="8440" w:type="dxa"/>
            <w:gridSpan w:val="5"/>
            <w:tcBorders>
              <w:left w:val="nil"/>
              <w:bottom w:val="nil"/>
              <w:right w:val="nil"/>
            </w:tcBorders>
            <w:noWrap/>
            <w:hideMark/>
          </w:tcPr>
          <w:p w:rsidR="001A717C" w:rsidRPr="007672DA" w:rsidRDefault="001A717C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数据来源：理财资产管理系统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  <w:p w:rsidR="001A717C" w:rsidRPr="007672DA" w:rsidRDefault="001A717C" w:rsidP="008276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8276D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委外项下非金融企业债券投资</w:t>
            </w:r>
          </w:p>
        </w:tc>
      </w:tr>
    </w:tbl>
    <w:p w:rsidR="00C41E9D" w:rsidRPr="007672DA" w:rsidRDefault="00C41E9D" w:rsidP="00C41E9D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其中，前十大发行主体明细：</w:t>
      </w:r>
    </w:p>
    <w:tbl>
      <w:tblPr>
        <w:tblStyle w:val="a3"/>
        <w:tblW w:w="4991" w:type="pct"/>
        <w:jc w:val="center"/>
        <w:tblInd w:w="-318" w:type="dxa"/>
        <w:tblLayout w:type="fixed"/>
        <w:tblLook w:val="04A0" w:firstRow="1" w:lastRow="0" w:firstColumn="1" w:lastColumn="0" w:noHBand="0" w:noVBand="1"/>
      </w:tblPr>
      <w:tblGrid>
        <w:gridCol w:w="5297"/>
        <w:gridCol w:w="1934"/>
        <w:gridCol w:w="1276"/>
      </w:tblGrid>
      <w:tr w:rsidR="00C41E9D" w:rsidRPr="007672DA" w:rsidTr="007018DF">
        <w:trPr>
          <w:trHeight w:val="270"/>
          <w:jc w:val="center"/>
        </w:trPr>
        <w:tc>
          <w:tcPr>
            <w:tcW w:w="3113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C41E9D" w:rsidRPr="007672DA" w:rsidRDefault="00C41E9D" w:rsidP="00C41E9D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部门:理财事业部</w:t>
            </w:r>
          </w:p>
        </w:tc>
        <w:tc>
          <w:tcPr>
            <w:tcW w:w="1887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C41E9D" w:rsidRPr="007672DA" w:rsidRDefault="00C41E9D" w:rsidP="00C41E9D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、笔</w:t>
            </w:r>
          </w:p>
        </w:tc>
      </w:tr>
      <w:tr w:rsidR="00C41E9D" w:rsidRPr="007672DA" w:rsidTr="007018DF">
        <w:trPr>
          <w:trHeight w:val="270"/>
          <w:jc w:val="center"/>
        </w:trPr>
        <w:tc>
          <w:tcPr>
            <w:tcW w:w="3113" w:type="pct"/>
            <w:noWrap/>
            <w:hideMark/>
          </w:tcPr>
          <w:p w:rsidR="00C41E9D" w:rsidRPr="007672DA" w:rsidRDefault="00C41E9D" w:rsidP="00C41E9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发行主体</w:t>
            </w:r>
          </w:p>
        </w:tc>
        <w:tc>
          <w:tcPr>
            <w:tcW w:w="1137" w:type="pct"/>
            <w:noWrap/>
            <w:hideMark/>
          </w:tcPr>
          <w:p w:rsidR="00C41E9D" w:rsidRPr="007672DA" w:rsidRDefault="00C41E9D" w:rsidP="00C41E9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750" w:type="pct"/>
            <w:noWrap/>
            <w:hideMark/>
          </w:tcPr>
          <w:p w:rsidR="00C41E9D" w:rsidRPr="007672DA" w:rsidRDefault="00C41E9D" w:rsidP="00C41E9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41E9D" w:rsidRPr="007672DA" w:rsidTr="007018DF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C41E9D" w:rsidRPr="007672DA" w:rsidRDefault="00C41E9D" w:rsidP="008276DC">
            <w:pPr>
              <w:widowControl/>
              <w:adjustRightInd w:val="0"/>
              <w:snapToGrid w:val="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数据来源：理财资产管理系统</w:t>
            </w:r>
            <w:r w:rsidR="001A717C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  <w:tr w:rsidR="00C41E9D" w:rsidRPr="007672DA" w:rsidTr="007018DF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41E9D" w:rsidRPr="007672DA" w:rsidRDefault="00C41E9D" w:rsidP="001B6BD5">
            <w:pPr>
              <w:widowControl/>
              <w:adjustRightInd w:val="0"/>
              <w:snapToGrid w:val="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1B6BD5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委外项下非金融企业债券投资</w:t>
            </w:r>
          </w:p>
        </w:tc>
      </w:tr>
    </w:tbl>
    <w:p w:rsidR="00457C9F" w:rsidRPr="007672DA" w:rsidRDefault="00457C9F" w:rsidP="00457C9F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省内各地市非金融债券投资情况：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733"/>
        <w:gridCol w:w="3218"/>
        <w:gridCol w:w="1571"/>
      </w:tblGrid>
      <w:tr w:rsidR="00457C9F" w:rsidRPr="007672DA" w:rsidTr="00773832">
        <w:trPr>
          <w:trHeight w:val="270"/>
          <w:jc w:val="center"/>
        </w:trPr>
        <w:tc>
          <w:tcPr>
            <w:tcW w:w="2190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457C9F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部门:理财事业部</w:t>
            </w:r>
          </w:p>
        </w:tc>
        <w:tc>
          <w:tcPr>
            <w:tcW w:w="2810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457C9F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57C9F" w:rsidRPr="007672DA" w:rsidTr="00773832">
        <w:trPr>
          <w:trHeight w:val="270"/>
          <w:jc w:val="center"/>
        </w:trPr>
        <w:tc>
          <w:tcPr>
            <w:tcW w:w="2190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城市</w:t>
            </w:r>
          </w:p>
        </w:tc>
        <w:tc>
          <w:tcPr>
            <w:tcW w:w="1888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922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厦门市</w:t>
            </w: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泉州市</w:t>
            </w: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漳州市</w:t>
            </w: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福州市</w:t>
            </w: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1888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922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457C9F" w:rsidRPr="007672DA" w:rsidTr="00773832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457C9F" w:rsidP="00574DC8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AE3B80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理财资产管理系统</w:t>
            </w:r>
            <w:r w:rsidR="001A717C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  <w:tr w:rsidR="00457C9F" w:rsidRPr="007672DA" w:rsidTr="00773832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457C9F" w:rsidP="00574DC8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574DC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="00AE3B80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委外项下非金融企业债券投资</w:t>
            </w:r>
          </w:p>
        </w:tc>
      </w:tr>
    </w:tbl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2.</w:t>
      </w:r>
      <w:proofErr w:type="gramStart"/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久期指标</w:t>
      </w:r>
      <w:proofErr w:type="gramEnd"/>
    </w:p>
    <w:p w:rsidR="009E2131" w:rsidRPr="007672DA" w:rsidRDefault="009E2131" w:rsidP="009E2131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  <w:r w:rsidRPr="007672DA">
        <w:rPr>
          <w:rFonts w:ascii="仿宋_GB2312" w:eastAsia="仿宋_GB2312" w:hAnsi="Calibri" w:cs="Times New Roman" w:hint="eastAsia"/>
          <w:sz w:val="24"/>
          <w:szCs w:val="32"/>
        </w:rPr>
        <w:t>、年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468"/>
        <w:gridCol w:w="2209"/>
        <w:gridCol w:w="1845"/>
      </w:tblGrid>
      <w:tr w:rsidR="009E2131" w:rsidRPr="007672DA" w:rsidTr="005F475E">
        <w:trPr>
          <w:trHeight w:val="270"/>
        </w:trPr>
        <w:tc>
          <w:tcPr>
            <w:tcW w:w="2626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指标名称</w:t>
            </w:r>
          </w:p>
        </w:tc>
        <w:tc>
          <w:tcPr>
            <w:tcW w:w="1294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债券规模</w:t>
            </w:r>
          </w:p>
        </w:tc>
        <w:tc>
          <w:tcPr>
            <w:tcW w:w="1080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proofErr w:type="gramStart"/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加权久期</w:t>
            </w:r>
            <w:proofErr w:type="gramEnd"/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同业业务中心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其中：利率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债久期（除利率债</w:t>
            </w:r>
            <w:proofErr w:type="gramEnd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外）</w:t>
            </w:r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非金融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企业债券久期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理财事业部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其中：利率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2626" w:type="pct"/>
            <w:noWrap/>
            <w:vAlign w:val="center"/>
            <w:hideMark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债久期（除利率债</w:t>
            </w:r>
            <w:proofErr w:type="gramEnd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外）</w:t>
            </w:r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2626" w:type="pct"/>
            <w:noWrap/>
            <w:vAlign w:val="center"/>
            <w:hideMark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非金融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企业债券久期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A415CE" w:rsidRPr="007672DA" w:rsidTr="004A6CF0">
        <w:trPr>
          <w:trHeight w:val="270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A415CE" w:rsidRPr="007672DA" w:rsidRDefault="00A415CE" w:rsidP="003D174F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数据来源：理财资产管理系统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</w:t>
            </w:r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资金业务管理系统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、COMSTAR系统</w:t>
            </w:r>
          </w:p>
        </w:tc>
      </w:tr>
      <w:tr w:rsidR="00A415CE" w:rsidRPr="007672DA" w:rsidTr="004A6CF0">
        <w:trPr>
          <w:trHeight w:val="27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415CE" w:rsidRPr="007672DA" w:rsidRDefault="00A415CE" w:rsidP="00396810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39681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同业线下</w:t>
            </w:r>
            <w:r w:rsidR="0039681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债基、委外项下债券投资</w:t>
            </w:r>
          </w:p>
        </w:tc>
      </w:tr>
    </w:tbl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3.杠杆指标</w:t>
      </w:r>
    </w:p>
    <w:p w:rsidR="009E2131" w:rsidRPr="007672DA" w:rsidRDefault="009E2131" w:rsidP="009E2131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sz w:val="24"/>
          <w:szCs w:val="32"/>
        </w:rPr>
        <w:lastRenderedPageBreak/>
        <w:t>单位：%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030"/>
        <w:gridCol w:w="2753"/>
        <w:gridCol w:w="2739"/>
      </w:tblGrid>
      <w:tr w:rsidR="009E2131" w:rsidRPr="007672DA" w:rsidTr="003D174F">
        <w:trPr>
          <w:trHeight w:val="270"/>
        </w:trPr>
        <w:tc>
          <w:tcPr>
            <w:tcW w:w="1778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指标名称</w:t>
            </w:r>
          </w:p>
        </w:tc>
        <w:tc>
          <w:tcPr>
            <w:tcW w:w="1615" w:type="pct"/>
            <w:tcBorders>
              <w:bottom w:val="single" w:sz="4" w:space="0" w:color="auto"/>
            </w:tcBorders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杠杆率</w:t>
            </w:r>
          </w:p>
        </w:tc>
        <w:tc>
          <w:tcPr>
            <w:tcW w:w="1607" w:type="pct"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监管值</w:t>
            </w:r>
          </w:p>
        </w:tc>
      </w:tr>
      <w:tr w:rsidR="009E2131" w:rsidRPr="007672DA" w:rsidTr="003D174F">
        <w:trPr>
          <w:trHeight w:val="270"/>
        </w:trPr>
        <w:tc>
          <w:tcPr>
            <w:tcW w:w="1778" w:type="pct"/>
            <w:tcBorders>
              <w:right w:val="nil"/>
            </w:tcBorders>
            <w:noWrap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自营业务：</w:t>
            </w:r>
          </w:p>
        </w:tc>
        <w:tc>
          <w:tcPr>
            <w:tcW w:w="1615" w:type="pct"/>
            <w:tcBorders>
              <w:left w:val="nil"/>
              <w:right w:val="nil"/>
            </w:tcBorders>
            <w:noWrap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607" w:type="pct"/>
            <w:tcBorders>
              <w:left w:val="nil"/>
            </w:tcBorders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</w:tr>
      <w:tr w:rsidR="005F475E" w:rsidRPr="007672DA" w:rsidTr="003D174F">
        <w:trPr>
          <w:trHeight w:val="270"/>
        </w:trPr>
        <w:tc>
          <w:tcPr>
            <w:tcW w:w="1778" w:type="pct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自营债券正回购杠杆率</w:t>
            </w:r>
          </w:p>
        </w:tc>
        <w:tc>
          <w:tcPr>
            <w:tcW w:w="1615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607" w:type="pct"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80%</w:t>
            </w:r>
          </w:p>
        </w:tc>
      </w:tr>
      <w:tr w:rsidR="005F475E" w:rsidRPr="007672DA" w:rsidTr="003D174F">
        <w:trPr>
          <w:trHeight w:val="270"/>
        </w:trPr>
        <w:tc>
          <w:tcPr>
            <w:tcW w:w="1778" w:type="pct"/>
            <w:noWrap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自营债券逆回购杠杆率</w:t>
            </w:r>
          </w:p>
        </w:tc>
        <w:tc>
          <w:tcPr>
            <w:tcW w:w="1615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607" w:type="pct"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80%</w:t>
            </w:r>
          </w:p>
        </w:tc>
      </w:tr>
      <w:tr w:rsidR="009E2131" w:rsidRPr="007672DA" w:rsidTr="003D174F">
        <w:trPr>
          <w:trHeight w:val="270"/>
        </w:trPr>
        <w:tc>
          <w:tcPr>
            <w:tcW w:w="1778" w:type="pct"/>
            <w:tcBorders>
              <w:right w:val="nil"/>
            </w:tcBorders>
            <w:noWrap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理财产品：</w:t>
            </w:r>
          </w:p>
        </w:tc>
        <w:tc>
          <w:tcPr>
            <w:tcW w:w="1615" w:type="pct"/>
            <w:tcBorders>
              <w:left w:val="nil"/>
              <w:right w:val="nil"/>
            </w:tcBorders>
            <w:noWrap/>
            <w:vAlign w:val="center"/>
          </w:tcPr>
          <w:p w:rsidR="009E2131" w:rsidRPr="007672DA" w:rsidRDefault="009E2131" w:rsidP="007018DF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607" w:type="pct"/>
            <w:tcBorders>
              <w:left w:val="nil"/>
            </w:tcBorders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</w:tr>
      <w:tr w:rsidR="005F475E" w:rsidRPr="007672DA" w:rsidTr="003D174F">
        <w:trPr>
          <w:trHeight w:val="270"/>
        </w:trPr>
        <w:tc>
          <w:tcPr>
            <w:tcW w:w="1778" w:type="pct"/>
            <w:noWrap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丰裕杠杆率</w:t>
            </w:r>
          </w:p>
        </w:tc>
        <w:tc>
          <w:tcPr>
            <w:tcW w:w="1615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607" w:type="pct"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140%</w:t>
            </w:r>
          </w:p>
        </w:tc>
      </w:tr>
    </w:tbl>
    <w:p w:rsidR="00A65CB6" w:rsidRPr="007672DA" w:rsidRDefault="00773832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4.债券投资比例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5778"/>
        <w:gridCol w:w="1418"/>
        <w:gridCol w:w="1326"/>
      </w:tblGrid>
      <w:tr w:rsidR="008A0B8B" w:rsidRPr="007672DA" w:rsidTr="008A0B8B">
        <w:trPr>
          <w:trHeight w:val="270"/>
        </w:trPr>
        <w:tc>
          <w:tcPr>
            <w:tcW w:w="3390" w:type="pct"/>
            <w:noWrap/>
          </w:tcPr>
          <w:p w:rsidR="008A0B8B" w:rsidRPr="007672DA" w:rsidRDefault="008A0B8B" w:rsidP="00773832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指标名称</w:t>
            </w:r>
          </w:p>
        </w:tc>
        <w:tc>
          <w:tcPr>
            <w:tcW w:w="832" w:type="pct"/>
            <w:noWrap/>
          </w:tcPr>
          <w:p w:rsidR="008A0B8B" w:rsidRPr="007672DA" w:rsidRDefault="008A0B8B" w:rsidP="00773832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自营</w:t>
            </w:r>
          </w:p>
        </w:tc>
        <w:tc>
          <w:tcPr>
            <w:tcW w:w="778" w:type="pct"/>
          </w:tcPr>
          <w:p w:rsidR="008A0B8B" w:rsidRPr="007672DA" w:rsidRDefault="008A0B8B" w:rsidP="00773832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理财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DD70DD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债券投资占2021年一季度末全行总资产比例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</w:tcPr>
          <w:p w:rsidR="005F475E" w:rsidRPr="007672DA" w:rsidRDefault="005F475E" w:rsidP="007672DA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非金融企业债券投资占债券投资总额比例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AA+以下非金融企业债券投资占非金融企业债券总额比例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城投债投资</w:t>
            </w:r>
            <w:proofErr w:type="gramEnd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占债券投资总额比例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私募债投资占债券投资总额比例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永续债投资占债券投资总额比例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次级债投资占债券投资总额比例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tcBorders>
              <w:bottom w:val="single" w:sz="4" w:space="0" w:color="auto"/>
            </w:tcBorders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混合资本债投资占债券投资总额比例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</w:tbl>
    <w:p w:rsidR="00773832" w:rsidRPr="007672DA" w:rsidRDefault="000A1803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5.货币市场基金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628"/>
        <w:gridCol w:w="1894"/>
      </w:tblGrid>
      <w:tr w:rsidR="00976E04" w:rsidRPr="007672DA" w:rsidTr="000A57D4">
        <w:trPr>
          <w:trHeight w:val="270"/>
        </w:trPr>
        <w:tc>
          <w:tcPr>
            <w:tcW w:w="3889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11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_GB2312" w:eastAsia="仿宋_GB2312" w:hAnsi="Calibri" w:cs="Times New Roman" w:hint="eastAsia"/>
                <w:sz w:val="24"/>
                <w:szCs w:val="32"/>
              </w:rPr>
              <w:t>单位：</w:t>
            </w:r>
            <w:r w:rsidR="00DF56B9">
              <w:rPr>
                <w:rFonts w:ascii="仿宋_GB2312" w:eastAsia="仿宋_GB2312" w:hAnsi="Calibri" w:cs="Times New Roman" w:hint="eastAsia"/>
                <w:sz w:val="24"/>
                <w:szCs w:val="32"/>
              </w:rPr>
              <w:t>亿元</w:t>
            </w:r>
          </w:p>
        </w:tc>
      </w:tr>
      <w:tr w:rsidR="00976E04" w:rsidRPr="007672DA" w:rsidTr="000A57D4">
        <w:trPr>
          <w:trHeight w:val="270"/>
        </w:trPr>
        <w:tc>
          <w:tcPr>
            <w:tcW w:w="3889" w:type="pct"/>
            <w:noWrap/>
            <w:hideMark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指标名称</w:t>
            </w:r>
          </w:p>
        </w:tc>
        <w:tc>
          <w:tcPr>
            <w:tcW w:w="1111" w:type="pct"/>
            <w:noWrap/>
            <w:hideMark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指标值</w:t>
            </w: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单只投资金额占该只基金发行规模的最大比例</w:t>
            </w:r>
          </w:p>
        </w:tc>
        <w:tc>
          <w:tcPr>
            <w:tcW w:w="1111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单只投资金额占该只基金发行规模的最小比例</w:t>
            </w:r>
          </w:p>
        </w:tc>
        <w:tc>
          <w:tcPr>
            <w:tcW w:w="1111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货币基金管理人</w:t>
            </w:r>
          </w:p>
        </w:tc>
        <w:tc>
          <w:tcPr>
            <w:tcW w:w="1111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最大一家管理人投资金额</w:t>
            </w:r>
          </w:p>
        </w:tc>
        <w:tc>
          <w:tcPr>
            <w:tcW w:w="1111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最小一家管理人投资金额</w:t>
            </w:r>
          </w:p>
        </w:tc>
        <w:tc>
          <w:tcPr>
            <w:tcW w:w="1111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</w:tbl>
    <w:p w:rsidR="000A1803" w:rsidRPr="007672DA" w:rsidRDefault="004D26FE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6.市场风险限额</w:t>
      </w:r>
    </w:p>
    <w:tbl>
      <w:tblPr>
        <w:tblStyle w:val="a3"/>
        <w:tblW w:w="9073" w:type="dxa"/>
        <w:tblInd w:w="-318" w:type="dxa"/>
        <w:tblLook w:val="04A0" w:firstRow="1" w:lastRow="0" w:firstColumn="1" w:lastColumn="0" w:noHBand="0" w:noVBand="1"/>
      </w:tblPr>
      <w:tblGrid>
        <w:gridCol w:w="4254"/>
        <w:gridCol w:w="1701"/>
        <w:gridCol w:w="3118"/>
      </w:tblGrid>
      <w:tr w:rsidR="004D26FE" w:rsidRPr="0031419A" w:rsidTr="009C27A1">
        <w:tc>
          <w:tcPr>
            <w:tcW w:w="4254" w:type="dxa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b/>
                <w:sz w:val="28"/>
                <w:szCs w:val="28"/>
              </w:rPr>
              <w:t>指标名称</w:t>
            </w:r>
          </w:p>
        </w:tc>
        <w:tc>
          <w:tcPr>
            <w:tcW w:w="1701" w:type="dxa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b/>
                <w:sz w:val="28"/>
                <w:szCs w:val="28"/>
              </w:rPr>
              <w:t>指标值</w:t>
            </w:r>
          </w:p>
        </w:tc>
        <w:tc>
          <w:tcPr>
            <w:tcW w:w="3118" w:type="dxa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b/>
                <w:sz w:val="28"/>
                <w:szCs w:val="28"/>
              </w:rPr>
              <w:t>指标要求</w:t>
            </w:r>
          </w:p>
        </w:tc>
      </w:tr>
      <w:tr w:rsidR="004D26FE" w:rsidRPr="0031419A" w:rsidTr="009C27A1">
        <w:tc>
          <w:tcPr>
            <w:tcW w:w="4254" w:type="dxa"/>
          </w:tcPr>
          <w:p w:rsidR="004D26FE" w:rsidRPr="0031419A" w:rsidRDefault="002110F8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sz w:val="28"/>
                <w:szCs w:val="28"/>
              </w:rPr>
              <w:t>自营资金投资债券</w:t>
            </w:r>
            <w:proofErr w:type="gramStart"/>
            <w:r w:rsidR="004D26FE" w:rsidRPr="0031419A">
              <w:rPr>
                <w:rFonts w:asciiTheme="minorEastAsia" w:hAnsiTheme="minorEastAsia" w:cs="Times New Roman"/>
                <w:sz w:val="28"/>
                <w:szCs w:val="28"/>
              </w:rPr>
              <w:t>组合久期</w:t>
            </w:r>
            <w:proofErr w:type="gramEnd"/>
          </w:p>
        </w:tc>
        <w:tc>
          <w:tcPr>
            <w:tcW w:w="1701" w:type="dxa"/>
            <w:vAlign w:val="center"/>
          </w:tcPr>
          <w:p w:rsidR="004D26FE" w:rsidRPr="0031419A" w:rsidRDefault="004D26FE" w:rsidP="0031419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≤5年</w:t>
            </w:r>
          </w:p>
        </w:tc>
      </w:tr>
      <w:tr w:rsidR="004D26FE" w:rsidRPr="0031419A" w:rsidTr="009C27A1">
        <w:tc>
          <w:tcPr>
            <w:tcW w:w="4254" w:type="dxa"/>
          </w:tcPr>
          <w:p w:rsidR="004D26FE" w:rsidRPr="0031419A" w:rsidRDefault="002110F8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sz w:val="28"/>
                <w:szCs w:val="28"/>
              </w:rPr>
              <w:t>理财资金投资债券</w:t>
            </w:r>
            <w:proofErr w:type="gramStart"/>
            <w:r w:rsidR="004D26FE" w:rsidRPr="0031419A">
              <w:rPr>
                <w:rFonts w:asciiTheme="minorEastAsia" w:hAnsiTheme="minorEastAsia" w:cs="Times New Roman"/>
                <w:sz w:val="28"/>
                <w:szCs w:val="28"/>
              </w:rPr>
              <w:t>组合久期</w:t>
            </w:r>
            <w:proofErr w:type="gramEnd"/>
          </w:p>
        </w:tc>
        <w:tc>
          <w:tcPr>
            <w:tcW w:w="1701" w:type="dxa"/>
            <w:vAlign w:val="center"/>
          </w:tcPr>
          <w:p w:rsidR="004D26FE" w:rsidRPr="0031419A" w:rsidRDefault="004D26FE" w:rsidP="0031419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≤5年</w:t>
            </w:r>
          </w:p>
        </w:tc>
      </w:tr>
      <w:tr w:rsidR="004D26FE" w:rsidRPr="0031419A" w:rsidTr="009C27A1">
        <w:tc>
          <w:tcPr>
            <w:tcW w:w="4254" w:type="dxa"/>
          </w:tcPr>
          <w:p w:rsidR="004D26FE" w:rsidRPr="0031419A" w:rsidRDefault="002110F8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sz w:val="28"/>
                <w:szCs w:val="28"/>
              </w:rPr>
              <w:t>自营债券回购</w:t>
            </w:r>
            <w:r w:rsidR="00FA6657" w:rsidRPr="0031419A">
              <w:rPr>
                <w:rFonts w:asciiTheme="minorEastAsia" w:hAnsiTheme="minorEastAsia" w:cs="Times New Roman"/>
                <w:sz w:val="28"/>
                <w:szCs w:val="28"/>
              </w:rPr>
              <w:t>杠杆率</w:t>
            </w:r>
          </w:p>
        </w:tc>
        <w:tc>
          <w:tcPr>
            <w:tcW w:w="1701" w:type="dxa"/>
            <w:vAlign w:val="center"/>
          </w:tcPr>
          <w:p w:rsidR="004D26FE" w:rsidRPr="0031419A" w:rsidRDefault="004D26FE" w:rsidP="00E61BD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4D26FE" w:rsidRPr="0031419A" w:rsidRDefault="000A315B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≤上季末净资产的80%</w:t>
            </w:r>
          </w:p>
        </w:tc>
      </w:tr>
      <w:tr w:rsidR="00C95532" w:rsidRPr="0031419A" w:rsidTr="009C27A1">
        <w:tc>
          <w:tcPr>
            <w:tcW w:w="4254" w:type="dxa"/>
            <w:tcBorders>
              <w:bottom w:val="single" w:sz="4" w:space="0" w:color="auto"/>
            </w:tcBorders>
          </w:tcPr>
          <w:p w:rsidR="00C95532" w:rsidRPr="0031419A" w:rsidRDefault="00C95532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交易价格偏离度</w:t>
            </w:r>
            <w:r w:rsidR="00D45D1B"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绝对值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95532" w:rsidRPr="0031419A" w:rsidRDefault="00C95532" w:rsidP="0031419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C95532" w:rsidRPr="0031419A" w:rsidRDefault="00C95532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≤1.5%</w:t>
            </w:r>
          </w:p>
        </w:tc>
      </w:tr>
    </w:tbl>
    <w:p w:rsidR="006A1724" w:rsidRPr="007672DA" w:rsidRDefault="00910A0A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7.</w:t>
      </w:r>
      <w:r w:rsidR="006A1724" w:rsidRPr="007672DA">
        <w:rPr>
          <w:rFonts w:ascii="仿宋_GB2312" w:eastAsia="仿宋_GB2312" w:hAnsi="Calibri" w:cs="Times New Roman" w:hint="eastAsia"/>
          <w:b/>
          <w:sz w:val="32"/>
          <w:szCs w:val="32"/>
        </w:rPr>
        <w:t>单</w:t>
      </w:r>
      <w:proofErr w:type="gramStart"/>
      <w:r w:rsidR="006A1724" w:rsidRPr="007672DA">
        <w:rPr>
          <w:rFonts w:ascii="仿宋_GB2312" w:eastAsia="仿宋_GB2312" w:hAnsi="Calibri" w:cs="Times New Roman" w:hint="eastAsia"/>
          <w:b/>
          <w:sz w:val="32"/>
          <w:szCs w:val="32"/>
        </w:rPr>
        <w:t>券</w:t>
      </w:r>
      <w:proofErr w:type="gramEnd"/>
      <w:r w:rsidR="006A1724" w:rsidRPr="007672DA">
        <w:rPr>
          <w:rFonts w:ascii="仿宋_GB2312" w:eastAsia="仿宋_GB2312" w:hAnsi="Calibri" w:cs="Times New Roman" w:hint="eastAsia"/>
          <w:b/>
          <w:sz w:val="32"/>
          <w:szCs w:val="32"/>
        </w:rPr>
        <w:t>止损限额</w:t>
      </w:r>
    </w:p>
    <w:tbl>
      <w:tblPr>
        <w:tblStyle w:val="a3"/>
        <w:tblW w:w="9217" w:type="dxa"/>
        <w:jc w:val="center"/>
        <w:tblInd w:w="-642" w:type="dxa"/>
        <w:tblLayout w:type="fixed"/>
        <w:tblLook w:val="04A0" w:firstRow="1" w:lastRow="0" w:firstColumn="1" w:lastColumn="0" w:noHBand="0" w:noVBand="1"/>
      </w:tblPr>
      <w:tblGrid>
        <w:gridCol w:w="2623"/>
        <w:gridCol w:w="1890"/>
        <w:gridCol w:w="1529"/>
        <w:gridCol w:w="1474"/>
        <w:gridCol w:w="1701"/>
      </w:tblGrid>
      <w:tr w:rsidR="006A1724" w:rsidRPr="007672DA" w:rsidTr="006A1724">
        <w:trPr>
          <w:jc w:val="center"/>
        </w:trPr>
        <w:tc>
          <w:tcPr>
            <w:tcW w:w="2623" w:type="dxa"/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债券名称</w:t>
            </w:r>
          </w:p>
        </w:tc>
        <w:tc>
          <w:tcPr>
            <w:tcW w:w="1890" w:type="dxa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业务部门</w:t>
            </w:r>
          </w:p>
        </w:tc>
        <w:tc>
          <w:tcPr>
            <w:tcW w:w="1529" w:type="dxa"/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指标值</w:t>
            </w:r>
          </w:p>
        </w:tc>
        <w:tc>
          <w:tcPr>
            <w:tcW w:w="1474" w:type="dxa"/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指标要求</w:t>
            </w:r>
          </w:p>
        </w:tc>
        <w:tc>
          <w:tcPr>
            <w:tcW w:w="1701" w:type="dxa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备注</w:t>
            </w:r>
          </w:p>
        </w:tc>
      </w:tr>
      <w:tr w:rsidR="006A1724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6A1724" w:rsidRPr="007672DA" w:rsidRDefault="006A1724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A6525E" w:rsidRPr="007672DA" w:rsidTr="008738B6">
        <w:trPr>
          <w:jc w:val="center"/>
        </w:trPr>
        <w:tc>
          <w:tcPr>
            <w:tcW w:w="9217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A6525E" w:rsidRPr="007672DA" w:rsidRDefault="00A6525E" w:rsidP="006A1724">
            <w:pPr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数据来源：理财资产管理系统</w:t>
            </w:r>
            <w:r w:rsidR="001A717C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、COMSTAR系统</w:t>
            </w:r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</w:t>
            </w:r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资金业务管理系统，尚未</w:t>
            </w:r>
            <w:proofErr w:type="gramStart"/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涵盖省联社</w:t>
            </w:r>
            <w:proofErr w:type="gramEnd"/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资金统一平台数据</w:t>
            </w:r>
          </w:p>
          <w:p w:rsidR="00A6525E" w:rsidRPr="007672DA" w:rsidRDefault="00A6525E" w:rsidP="00BA1EC4">
            <w:pPr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注：违约债券不再更新估值数据，故不再计算止损限额</w:t>
            </w:r>
          </w:p>
        </w:tc>
      </w:tr>
    </w:tbl>
    <w:p w:rsidR="00597A9A" w:rsidRPr="007672DA" w:rsidRDefault="006A1724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8.</w:t>
      </w:r>
      <w:r w:rsidR="00D63925" w:rsidRPr="007672DA">
        <w:rPr>
          <w:rFonts w:ascii="仿宋_GB2312" w:eastAsia="仿宋_GB2312" w:hAnsi="Calibri" w:cs="Times New Roman" w:hint="eastAsia"/>
          <w:b/>
          <w:sz w:val="32"/>
          <w:szCs w:val="32"/>
        </w:rPr>
        <w:t>信用风险限额</w:t>
      </w:r>
    </w:p>
    <w:tbl>
      <w:tblPr>
        <w:tblStyle w:val="a3"/>
        <w:tblW w:w="0" w:type="auto"/>
        <w:jc w:val="center"/>
        <w:tblInd w:w="1" w:type="dxa"/>
        <w:tblLook w:val="04A0" w:firstRow="1" w:lastRow="0" w:firstColumn="1" w:lastColumn="0" w:noHBand="0" w:noVBand="1"/>
      </w:tblPr>
      <w:tblGrid>
        <w:gridCol w:w="3837"/>
        <w:gridCol w:w="1417"/>
        <w:gridCol w:w="2432"/>
      </w:tblGrid>
      <w:tr w:rsidR="00D63925" w:rsidRPr="007672DA" w:rsidTr="00423AFC">
        <w:trPr>
          <w:jc w:val="center"/>
        </w:trPr>
        <w:tc>
          <w:tcPr>
            <w:tcW w:w="3837" w:type="dxa"/>
          </w:tcPr>
          <w:p w:rsidR="00D63925" w:rsidRPr="007672DA" w:rsidRDefault="00D63925" w:rsidP="00A55FC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指标名称</w:t>
            </w:r>
          </w:p>
        </w:tc>
        <w:tc>
          <w:tcPr>
            <w:tcW w:w="1417" w:type="dxa"/>
          </w:tcPr>
          <w:p w:rsidR="00D63925" w:rsidRPr="007672DA" w:rsidRDefault="00D63925" w:rsidP="00A55FC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指标值</w:t>
            </w:r>
          </w:p>
        </w:tc>
        <w:tc>
          <w:tcPr>
            <w:tcW w:w="2432" w:type="dxa"/>
          </w:tcPr>
          <w:p w:rsidR="00D63925" w:rsidRPr="007672DA" w:rsidRDefault="00D63925" w:rsidP="00A55FC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指标要求</w:t>
            </w:r>
          </w:p>
        </w:tc>
      </w:tr>
      <w:tr w:rsidR="00D63925" w:rsidRPr="007672DA" w:rsidTr="00423AFC">
        <w:trPr>
          <w:jc w:val="center"/>
        </w:trPr>
        <w:tc>
          <w:tcPr>
            <w:tcW w:w="3837" w:type="dxa"/>
            <w:tcBorders>
              <w:bottom w:val="single" w:sz="4" w:space="0" w:color="auto"/>
            </w:tcBorders>
          </w:tcPr>
          <w:p w:rsidR="00D63925" w:rsidRPr="007672DA" w:rsidRDefault="00D63925" w:rsidP="00A55FC1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sz w:val="28"/>
                <w:szCs w:val="28"/>
              </w:rPr>
              <w:t>非金融企业债券</w:t>
            </w:r>
            <w:r w:rsidR="00423AFC"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单</w:t>
            </w:r>
            <w:proofErr w:type="gramStart"/>
            <w:r w:rsidR="00423AFC"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券</w:t>
            </w:r>
            <w:proofErr w:type="gramEnd"/>
            <w:r w:rsidRPr="007672DA">
              <w:rPr>
                <w:rFonts w:asciiTheme="minorEastAsia" w:hAnsiTheme="minorEastAsia" w:cs="Times New Roman"/>
                <w:sz w:val="28"/>
                <w:szCs w:val="28"/>
              </w:rPr>
              <w:t>集中度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D63925" w:rsidRPr="007672DA" w:rsidRDefault="00D63925" w:rsidP="00455E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432" w:type="dxa"/>
            <w:tcBorders>
              <w:bottom w:val="single" w:sz="4" w:space="0" w:color="auto"/>
            </w:tcBorders>
            <w:vAlign w:val="center"/>
          </w:tcPr>
          <w:p w:rsidR="00D63925" w:rsidRPr="007672DA" w:rsidRDefault="00D63925" w:rsidP="00D6392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≤30%</w:t>
            </w:r>
          </w:p>
        </w:tc>
      </w:tr>
      <w:tr w:rsidR="00D63925" w:rsidRPr="007672DA" w:rsidTr="00423AFC">
        <w:trPr>
          <w:jc w:val="center"/>
        </w:trPr>
        <w:tc>
          <w:tcPr>
            <w:tcW w:w="7686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D63925" w:rsidRPr="007672DA" w:rsidRDefault="00D63925" w:rsidP="00D63925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备注：非金融企业债券集中度不含ABS</w:t>
            </w:r>
          </w:p>
        </w:tc>
      </w:tr>
    </w:tbl>
    <w:p w:rsidR="00B5386E" w:rsidRPr="005F475E" w:rsidRDefault="006A1724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b/>
          <w:sz w:val="32"/>
          <w:szCs w:val="32"/>
        </w:rPr>
        <w:t>9</w:t>
      </w:r>
      <w:r w:rsidR="00B5386E" w:rsidRPr="005F475E">
        <w:rPr>
          <w:rFonts w:ascii="仿宋_GB2312" w:eastAsia="仿宋_GB2312" w:hAnsi="Calibri" w:cs="Times New Roman" w:hint="eastAsia"/>
          <w:b/>
          <w:sz w:val="32"/>
          <w:szCs w:val="32"/>
        </w:rPr>
        <w:t>.匿名客户集中度</w:t>
      </w:r>
    </w:p>
    <w:tbl>
      <w:tblPr>
        <w:tblStyle w:val="a3"/>
        <w:tblW w:w="7903" w:type="dxa"/>
        <w:jc w:val="center"/>
        <w:tblInd w:w="5" w:type="dxa"/>
        <w:tblLook w:val="04A0" w:firstRow="1" w:lastRow="0" w:firstColumn="1" w:lastColumn="0" w:noHBand="0" w:noVBand="1"/>
      </w:tblPr>
      <w:tblGrid>
        <w:gridCol w:w="2285"/>
        <w:gridCol w:w="3030"/>
        <w:gridCol w:w="2588"/>
      </w:tblGrid>
      <w:tr w:rsidR="008B4040" w:rsidRPr="005F475E" w:rsidTr="001A717C">
        <w:trPr>
          <w:trHeight w:val="270"/>
          <w:jc w:val="center"/>
        </w:trPr>
        <w:tc>
          <w:tcPr>
            <w:tcW w:w="2285" w:type="dxa"/>
            <w:tcBorders>
              <w:top w:val="nil"/>
              <w:left w:val="nil"/>
              <w:right w:val="nil"/>
            </w:tcBorders>
          </w:tcPr>
          <w:p w:rsidR="008B4040" w:rsidRPr="005F475E" w:rsidRDefault="008B4040" w:rsidP="00B5386E">
            <w:pPr>
              <w:widowControl/>
              <w:jc w:val="right"/>
              <w:rPr>
                <w:rFonts w:ascii="仿宋_GB2312" w:eastAsia="仿宋_GB2312" w:hAnsi="Calibri" w:cs="Times New Roman"/>
                <w:sz w:val="24"/>
                <w:szCs w:val="32"/>
              </w:rPr>
            </w:pPr>
          </w:p>
        </w:tc>
        <w:tc>
          <w:tcPr>
            <w:tcW w:w="5618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8B4040" w:rsidRPr="005F475E" w:rsidRDefault="008B4040" w:rsidP="00B5386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475E">
              <w:rPr>
                <w:rFonts w:ascii="仿宋_GB2312" w:eastAsia="仿宋_GB2312" w:hAnsi="Calibri" w:cs="Times New Roman" w:hint="eastAsia"/>
                <w:sz w:val="24"/>
                <w:szCs w:val="32"/>
              </w:rPr>
              <w:t>单位：</w:t>
            </w:r>
            <w:r w:rsidR="00DF56B9">
              <w:rPr>
                <w:rFonts w:ascii="仿宋_GB2312" w:eastAsia="仿宋_GB2312" w:hAnsi="Calibri" w:cs="Times New Roman" w:hint="eastAsia"/>
                <w:sz w:val="24"/>
                <w:szCs w:val="32"/>
              </w:rPr>
              <w:t>亿元</w:t>
            </w:r>
          </w:p>
        </w:tc>
      </w:tr>
      <w:tr w:rsidR="00041D28" w:rsidRPr="005F475E" w:rsidTr="001A717C">
        <w:trPr>
          <w:trHeight w:val="270"/>
          <w:jc w:val="center"/>
        </w:trPr>
        <w:tc>
          <w:tcPr>
            <w:tcW w:w="5315" w:type="dxa"/>
            <w:gridSpan w:val="2"/>
            <w:vAlign w:val="center"/>
          </w:tcPr>
          <w:p w:rsidR="00041D28" w:rsidRPr="005F475E" w:rsidRDefault="00041D28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类别</w:t>
            </w:r>
          </w:p>
        </w:tc>
        <w:tc>
          <w:tcPr>
            <w:tcW w:w="2588" w:type="dxa"/>
            <w:noWrap/>
          </w:tcPr>
          <w:p w:rsidR="00041D28" w:rsidRPr="005F475E" w:rsidRDefault="00041D28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金额</w:t>
            </w: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2285" w:type="dxa"/>
            <w:vMerge w:val="restart"/>
            <w:vAlign w:val="center"/>
          </w:tcPr>
          <w:p w:rsidR="00B515CC" w:rsidRPr="005F475E" w:rsidRDefault="00B515CC" w:rsidP="008B404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细分类别</w:t>
            </w:r>
          </w:p>
        </w:tc>
        <w:tc>
          <w:tcPr>
            <w:tcW w:w="3030" w:type="dxa"/>
            <w:noWrap/>
            <w:hideMark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华融优</w:t>
            </w:r>
            <w:proofErr w:type="gramEnd"/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智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6B5ED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1A717C">
        <w:trPr>
          <w:trHeight w:val="270"/>
          <w:jc w:val="center"/>
        </w:trPr>
        <w:tc>
          <w:tcPr>
            <w:tcW w:w="2285" w:type="dxa"/>
            <w:vMerge/>
            <w:vAlign w:val="center"/>
          </w:tcPr>
          <w:p w:rsidR="00B515CC" w:rsidRPr="005F475E" w:rsidRDefault="00B515CC" w:rsidP="008B404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0" w:type="dxa"/>
            <w:noWrap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货币基金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58445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2285" w:type="dxa"/>
            <w:vMerge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0" w:type="dxa"/>
            <w:noWrap/>
            <w:hideMark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资产支持证券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3853F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5315" w:type="dxa"/>
            <w:gridSpan w:val="2"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3853F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5315" w:type="dxa"/>
            <w:gridSpan w:val="2"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一级资本净额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58445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1A717C">
        <w:trPr>
          <w:trHeight w:val="270"/>
          <w:jc w:val="center"/>
        </w:trPr>
        <w:tc>
          <w:tcPr>
            <w:tcW w:w="5315" w:type="dxa"/>
            <w:gridSpan w:val="2"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  <w:tc>
          <w:tcPr>
            <w:tcW w:w="2588" w:type="dxa"/>
            <w:noWrap/>
            <w:vAlign w:val="center"/>
            <w:hideMark/>
          </w:tcPr>
          <w:p w:rsidR="00B515CC" w:rsidRPr="005F475E" w:rsidRDefault="00B515CC" w:rsidP="00122FA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  <w:tr w:rsidR="00BD2338" w:rsidRPr="005F475E" w:rsidTr="001A717C">
        <w:trPr>
          <w:trHeight w:val="270"/>
          <w:jc w:val="center"/>
        </w:trPr>
        <w:tc>
          <w:tcPr>
            <w:tcW w:w="5315" w:type="dxa"/>
            <w:gridSpan w:val="2"/>
            <w:tcBorders>
              <w:bottom w:val="single" w:sz="4" w:space="0" w:color="auto"/>
            </w:tcBorders>
          </w:tcPr>
          <w:p w:rsidR="00BD2338" w:rsidRPr="005F475E" w:rsidRDefault="00BD2338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限额</w:t>
            </w:r>
          </w:p>
        </w:tc>
        <w:tc>
          <w:tcPr>
            <w:tcW w:w="2588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BD2338" w:rsidRPr="005F475E" w:rsidRDefault="00BD2338" w:rsidP="00C16D7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8B4040" w:rsidRPr="005F475E" w:rsidTr="001A717C">
        <w:trPr>
          <w:trHeight w:val="270"/>
          <w:jc w:val="center"/>
        </w:trPr>
        <w:tc>
          <w:tcPr>
            <w:tcW w:w="7903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8B4040" w:rsidRPr="005F475E" w:rsidRDefault="008B4040" w:rsidP="003D174F">
            <w:pPr>
              <w:widowControl/>
              <w:adjustRightInd w:val="0"/>
              <w:snapToGrid w:val="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数据来源：理财资产管理系统</w:t>
            </w:r>
            <w:r w:rsidR="001A717C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、COMSTAR系统</w:t>
            </w:r>
            <w:r w:rsidR="0022695A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</w:t>
            </w:r>
            <w:r w:rsidR="0022695A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资金业务管理系统</w:t>
            </w:r>
          </w:p>
        </w:tc>
      </w:tr>
      <w:tr w:rsidR="008B4040" w:rsidRPr="005F475E" w:rsidTr="001A717C">
        <w:trPr>
          <w:trHeight w:val="270"/>
          <w:jc w:val="center"/>
        </w:trPr>
        <w:tc>
          <w:tcPr>
            <w:tcW w:w="7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4040" w:rsidRPr="005F475E" w:rsidRDefault="008B4040" w:rsidP="00A32E73">
            <w:pPr>
              <w:widowControl/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备注1：一级资本净额采用202</w:t>
            </w:r>
            <w:r w:rsidR="00A32E73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1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年</w:t>
            </w:r>
            <w:r w:rsidR="00A32E73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3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月3</w:t>
            </w:r>
            <w:r w:rsidR="00550BF9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1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日数据</w:t>
            </w:r>
          </w:p>
        </w:tc>
      </w:tr>
      <w:tr w:rsidR="008B4040" w:rsidRPr="005F475E" w:rsidTr="001A717C">
        <w:trPr>
          <w:trHeight w:val="270"/>
          <w:jc w:val="center"/>
        </w:trPr>
        <w:tc>
          <w:tcPr>
            <w:tcW w:w="7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4040" w:rsidRPr="005F475E" w:rsidRDefault="008B4040" w:rsidP="00E85891">
            <w:pPr>
              <w:widowControl/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备注</w:t>
            </w:r>
            <w:r w:rsidR="00E85891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2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：货币基金、资产支持证券计算依据WIND分类数据，与人工识别可能存在差异，计算结果供参考</w:t>
            </w:r>
          </w:p>
        </w:tc>
      </w:tr>
    </w:tbl>
    <w:p w:rsidR="00192DAB" w:rsidRPr="007672DA" w:rsidRDefault="00192DAB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lastRenderedPageBreak/>
        <w:t>10.沪深300ETF</w:t>
      </w:r>
    </w:p>
    <w:p w:rsidR="005B1EAF" w:rsidRPr="007672DA" w:rsidRDefault="005B1EAF" w:rsidP="005B1EAF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sz w:val="24"/>
          <w:szCs w:val="32"/>
        </w:rPr>
        <w:t>单位：亿元、年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436"/>
        <w:gridCol w:w="2545"/>
        <w:gridCol w:w="2541"/>
      </w:tblGrid>
      <w:tr w:rsidR="005B1EAF" w:rsidRPr="007672DA" w:rsidTr="00045135">
        <w:trPr>
          <w:trHeight w:val="270"/>
        </w:trPr>
        <w:tc>
          <w:tcPr>
            <w:tcW w:w="3436" w:type="dxa"/>
            <w:noWrap/>
            <w:hideMark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指标名称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hideMark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实际值</w:t>
            </w: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审批条件</w:t>
            </w:r>
          </w:p>
        </w:tc>
      </w:tr>
      <w:tr w:rsidR="005B1EAF" w:rsidRPr="007672DA" w:rsidTr="004B0E10">
        <w:trPr>
          <w:trHeight w:val="270"/>
        </w:trPr>
        <w:tc>
          <w:tcPr>
            <w:tcW w:w="3436" w:type="dxa"/>
            <w:noWrap/>
            <w:hideMark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沪深300ETF持仓总额</w:t>
            </w:r>
          </w:p>
        </w:tc>
        <w:tc>
          <w:tcPr>
            <w:tcW w:w="2545" w:type="dxa"/>
            <w:noWrap/>
            <w:vAlign w:val="center"/>
          </w:tcPr>
          <w:p w:rsidR="005B1EAF" w:rsidRPr="007672DA" w:rsidRDefault="005B1EAF" w:rsidP="00D25F2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≤3.00</w:t>
            </w:r>
          </w:p>
        </w:tc>
      </w:tr>
      <w:tr w:rsidR="005B1EAF" w:rsidRPr="007672DA" w:rsidTr="00045135">
        <w:trPr>
          <w:trHeight w:val="270"/>
        </w:trPr>
        <w:tc>
          <w:tcPr>
            <w:tcW w:w="3436" w:type="dxa"/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单笔沪深300ETF金额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≤0.30</w:t>
            </w:r>
          </w:p>
        </w:tc>
      </w:tr>
      <w:tr w:rsidR="005B1EAF" w:rsidRPr="007672DA" w:rsidTr="00045135">
        <w:trPr>
          <w:trHeight w:val="270"/>
        </w:trPr>
        <w:tc>
          <w:tcPr>
            <w:tcW w:w="3436" w:type="dxa"/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单只理财持仓比例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 w:rsidR="005B1EAF" w:rsidRPr="007672DA" w:rsidRDefault="005B1EAF" w:rsidP="007672DA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≤净资产的5%</w:t>
            </w:r>
          </w:p>
        </w:tc>
      </w:tr>
      <w:tr w:rsidR="00FC26D3" w:rsidRPr="007672DA" w:rsidTr="00045135">
        <w:trPr>
          <w:trHeight w:val="270"/>
        </w:trPr>
        <w:tc>
          <w:tcPr>
            <w:tcW w:w="3436" w:type="dxa"/>
            <w:noWrap/>
          </w:tcPr>
          <w:p w:rsidR="00FC26D3" w:rsidRPr="007672DA" w:rsidRDefault="00FC26D3" w:rsidP="00FC26D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proofErr w:type="gramStart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盈</w:t>
            </w: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比例</w:t>
            </w:r>
            <w:proofErr w:type="gramEnd"/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 w:rsidR="00FC26D3" w:rsidRPr="007672DA" w:rsidRDefault="00FC26D3" w:rsidP="007672DA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FC26D3" w:rsidRPr="007672DA" w:rsidRDefault="00C7665E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</w:t>
            </w: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2</w:t>
            </w: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0%</w:t>
            </w:r>
          </w:p>
        </w:tc>
      </w:tr>
      <w:tr w:rsidR="005B1EAF" w:rsidRPr="007672DA" w:rsidTr="00045135">
        <w:trPr>
          <w:trHeight w:val="270"/>
        </w:trPr>
        <w:tc>
          <w:tcPr>
            <w:tcW w:w="3436" w:type="dxa"/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浮亏比例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 w:rsidR="005B1EAF" w:rsidRPr="007672DA" w:rsidRDefault="005B1EAF" w:rsidP="005F475E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≤10%</w:t>
            </w:r>
          </w:p>
        </w:tc>
      </w:tr>
      <w:tr w:rsidR="005B1EAF" w:rsidRPr="007672DA" w:rsidTr="00045135">
        <w:trPr>
          <w:trHeight w:val="270"/>
        </w:trPr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数据来源：理财资产管理系统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</w:tbl>
    <w:p w:rsidR="00E37074" w:rsidRPr="00E7080C" w:rsidRDefault="00164675" w:rsidP="00D12E03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31419A">
        <w:rPr>
          <w:rFonts w:ascii="仿宋_GB2312" w:eastAsia="仿宋_GB2312" w:hAnsi="Calibri" w:cs="Times New Roman" w:hint="eastAsia"/>
          <w:b/>
          <w:sz w:val="32"/>
          <w:szCs w:val="32"/>
        </w:rPr>
        <w:t>（</w:t>
      </w:r>
      <w:r w:rsidR="009E2131" w:rsidRPr="0031419A">
        <w:rPr>
          <w:rFonts w:ascii="仿宋_GB2312" w:eastAsia="仿宋_GB2312" w:hAnsi="Calibri" w:cs="Times New Roman" w:hint="eastAsia"/>
          <w:b/>
          <w:sz w:val="32"/>
          <w:szCs w:val="32"/>
        </w:rPr>
        <w:t>二</w:t>
      </w:r>
      <w:r w:rsidRPr="0031419A">
        <w:rPr>
          <w:rFonts w:ascii="仿宋_GB2312" w:eastAsia="仿宋_GB2312" w:hAnsi="Calibri" w:cs="Times New Roman" w:hint="eastAsia"/>
          <w:b/>
          <w:sz w:val="32"/>
          <w:szCs w:val="32"/>
        </w:rPr>
        <w:t>）</w:t>
      </w:r>
      <w:r w:rsidR="002E04D0" w:rsidRPr="00E7080C">
        <w:rPr>
          <w:rFonts w:ascii="仿宋_GB2312" w:eastAsia="仿宋_GB2312" w:hAnsi="Calibri" w:cs="Times New Roman" w:hint="eastAsia"/>
          <w:b/>
          <w:sz w:val="32"/>
          <w:szCs w:val="32"/>
        </w:rPr>
        <w:t>负面舆情监测</w:t>
      </w:r>
    </w:p>
    <w:p w:rsidR="00283446" w:rsidRDefault="00283446" w:rsidP="00E7080C">
      <w:pPr>
        <w:spacing w:line="560" w:lineRule="exact"/>
        <w:ind w:firstLineChars="200" w:firstLine="640"/>
        <w:rPr>
          <w:rFonts w:ascii="仿宋_GB2312" w:eastAsia="仿宋_GB2312" w:hAnsi="Calibri" w:cs="Times New Roman"/>
          <w:sz w:val="32"/>
          <w:szCs w:val="32"/>
        </w:rPr>
      </w:pPr>
    </w:p>
    <w:sectPr w:rsidR="00283446" w:rsidSect="007C205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EF0" w:rsidRDefault="00A02EF0" w:rsidP="007753CC">
      <w:r>
        <w:separator/>
      </w:r>
    </w:p>
  </w:endnote>
  <w:endnote w:type="continuationSeparator" w:id="0">
    <w:p w:rsidR="00A02EF0" w:rsidRDefault="00A02EF0" w:rsidP="00775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ngSong">
    <w:altName w:val="Arial Unicode MS"/>
    <w:panose1 w:val="00000000000000000000"/>
    <w:charset w:val="00"/>
    <w:family w:val="swiss"/>
    <w:notTrueType/>
    <w:pitch w:val="default"/>
    <w:sig w:usb0="00000000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宋体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EF0" w:rsidRDefault="00A02EF0" w:rsidP="007753CC">
      <w:r>
        <w:separator/>
      </w:r>
    </w:p>
  </w:footnote>
  <w:footnote w:type="continuationSeparator" w:id="0">
    <w:p w:rsidR="00A02EF0" w:rsidRDefault="00A02EF0" w:rsidP="007753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97C" w:rsidRDefault="0072497C" w:rsidP="00C8439F">
    <w:pPr>
      <w:spacing w:line="560" w:lineRule="exact"/>
      <w:rPr>
        <w:rFonts w:ascii="方正小标宋简体" w:eastAsia="方正小标宋简体" w:hAnsi="宋体" w:cs="Times New Roman"/>
        <w:sz w:val="44"/>
        <w:szCs w:val="44"/>
      </w:rPr>
    </w:pPr>
    <w:r>
      <w:rPr>
        <w:rFonts w:ascii="方正小标宋简体" w:eastAsia="方正小标宋简体" w:hAnsi="宋体" w:cs="Times New Roman" w:hint="eastAsia"/>
        <w:sz w:val="44"/>
        <w:szCs w:val="44"/>
      </w:rPr>
      <w:t>金融市场风险</w:t>
    </w:r>
    <w:r w:rsidRPr="00093F3F">
      <w:rPr>
        <w:rFonts w:ascii="方正小标宋简体" w:eastAsia="方正小标宋简体" w:hAnsi="宋体" w:cs="Times New Roman" w:hint="eastAsia"/>
        <w:sz w:val="44"/>
        <w:szCs w:val="44"/>
      </w:rPr>
      <w:t>监测报告</w:t>
    </w:r>
    <w:r w:rsidRPr="00FB7539">
      <w:rPr>
        <w:rFonts w:ascii="方正小标宋简体" w:eastAsia="方正小标宋简体" w:hAnsi="宋体" w:cs="Times New Roman" w:hint="eastAsia"/>
        <w:sz w:val="28"/>
        <w:szCs w:val="44"/>
      </w:rPr>
      <w:t>（</w:t>
    </w:r>
    <w:r>
      <w:rPr>
        <w:rFonts w:ascii="方正小标宋简体" w:eastAsia="方正小标宋简体" w:hAnsi="宋体" w:cs="Times New Roman" w:hint="eastAsia"/>
        <w:sz w:val="28"/>
        <w:szCs w:val="44"/>
      </w:rPr>
      <w:t>2021/5/6-2021/5/8</w:t>
    </w:r>
    <w:r w:rsidRPr="00FB7539">
      <w:rPr>
        <w:rFonts w:ascii="方正小标宋简体" w:eastAsia="方正小标宋简体" w:hAnsi="宋体" w:cs="Times New Roman" w:hint="eastAsia"/>
        <w:sz w:val="28"/>
        <w:szCs w:val="44"/>
      </w:rPr>
      <w:t>）</w:t>
    </w:r>
    <w:r>
      <w:rPr>
        <w:rFonts w:ascii="方正小标宋简体" w:eastAsia="方正小标宋简体" w:hAnsi="宋体" w:cs="Times New Roman" w:hint="eastAsia"/>
        <w:sz w:val="28"/>
        <w:szCs w:val="44"/>
      </w:rPr>
      <w:t xml:space="preserve">                                 </w:t>
    </w:r>
    <w:r>
      <w:rPr>
        <w:rFonts w:ascii="方正小标宋简体" w:eastAsia="方正小标宋简体" w:hAnsi="宋体" w:cs="Times New Roman" w:hint="eastAsia"/>
        <w:sz w:val="44"/>
        <w:szCs w:val="44"/>
      </w:rPr>
      <w:t>风险管理</w:t>
    </w:r>
    <w:r w:rsidRPr="00093F3F">
      <w:rPr>
        <w:rFonts w:ascii="方正小标宋简体" w:eastAsia="方正小标宋简体" w:hAnsi="宋体" w:cs="Times New Roman" w:hint="eastAsia"/>
        <w:sz w:val="44"/>
        <w:szCs w:val="44"/>
      </w:rPr>
      <w:t>部</w:t>
    </w:r>
  </w:p>
  <w:p w:rsidR="0072497C" w:rsidRPr="00C8439F" w:rsidRDefault="0072497C" w:rsidP="00C8439F">
    <w:pPr>
      <w:spacing w:line="200" w:lineRule="exact"/>
      <w:jc w:val="left"/>
    </w:pPr>
    <w:r>
      <w:rPr>
        <w:rFonts w:ascii="方正小标宋简体" w:eastAsia="方正小标宋简体" w:hAnsi="宋体" w:cs="Times New Roman"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CD9C29" wp14:editId="44EC8E56">
              <wp:simplePos x="0" y="0"/>
              <wp:positionH relativeFrom="column">
                <wp:posOffset>-335280</wp:posOffset>
              </wp:positionH>
              <wp:positionV relativeFrom="paragraph">
                <wp:posOffset>76200</wp:posOffset>
              </wp:positionV>
              <wp:extent cx="9509760" cy="0"/>
              <wp:effectExtent l="0" t="0" r="15240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50976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直接连接符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6pt" to="722.4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" strokecolor="#c00000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97C" w:rsidRPr="00FB7539" w:rsidRDefault="0072497C" w:rsidP="00FB7539">
    <w:pPr>
      <w:rPr>
        <w:rFonts w:ascii="方正小标宋简体" w:eastAsia="方正小标宋简体"/>
        <w:b/>
        <w:sz w:val="44"/>
        <w:szCs w:val="44"/>
      </w:rPr>
    </w:pPr>
    <w:r w:rsidRPr="00927ABA">
      <w:rPr>
        <w:rFonts w:ascii="方正小标宋简体" w:eastAsia="方正小标宋简体" w:hAnsi="宋体" w:cs="Times New Roman" w:hint="eastAsia"/>
        <w:b/>
        <w:noProof/>
        <w:sz w:val="40"/>
        <w:szCs w:val="4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1CD99C" wp14:editId="70D52384">
              <wp:simplePos x="0" y="0"/>
              <wp:positionH relativeFrom="column">
                <wp:posOffset>-175260</wp:posOffset>
              </wp:positionH>
              <wp:positionV relativeFrom="paragraph">
                <wp:posOffset>393700</wp:posOffset>
              </wp:positionV>
              <wp:extent cx="5722620" cy="0"/>
              <wp:effectExtent l="0" t="0" r="11430" b="1905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26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直接连接符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8pt,31pt" to="436.8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" strokecolor="#c00000" strokeweight="1pt"/>
          </w:pict>
        </mc:Fallback>
      </mc:AlternateContent>
    </w:r>
    <w:r>
      <w:rPr>
        <w:rFonts w:ascii="方正小标宋简体" w:eastAsia="方正小标宋简体" w:hint="eastAsia"/>
        <w:b/>
        <w:sz w:val="40"/>
        <w:szCs w:val="44"/>
      </w:rPr>
      <w:t>金融市场风险</w:t>
    </w:r>
    <w:r w:rsidRPr="00927ABA">
      <w:rPr>
        <w:rFonts w:ascii="方正小标宋简体" w:eastAsia="方正小标宋简体" w:hint="eastAsia"/>
        <w:b/>
        <w:sz w:val="40"/>
        <w:szCs w:val="44"/>
      </w:rPr>
      <w:t>监测报告</w:t>
    </w:r>
    <w:r w:rsidRPr="00927ABA">
      <w:rPr>
        <w:rFonts w:ascii="方正小标宋简体" w:eastAsia="方正小标宋简体" w:hint="eastAsia"/>
        <w:b/>
        <w:sz w:val="24"/>
        <w:szCs w:val="44"/>
      </w:rPr>
      <w:t>（</w:t>
    </w:r>
    <w:r>
      <w:rPr>
        <w:rFonts w:ascii="方正小标宋简体" w:eastAsia="方正小标宋简体" w:hint="eastAsia"/>
        <w:b/>
        <w:sz w:val="24"/>
        <w:szCs w:val="44"/>
      </w:rPr>
      <w:t>5/6-5/8</w:t>
    </w:r>
    <w:r w:rsidRPr="00927ABA">
      <w:rPr>
        <w:rFonts w:ascii="方正小标宋简体" w:eastAsia="方正小标宋简体" w:hint="eastAsia"/>
        <w:b/>
        <w:sz w:val="24"/>
        <w:szCs w:val="44"/>
      </w:rPr>
      <w:t>）</w:t>
    </w:r>
    <w:r>
      <w:rPr>
        <w:rFonts w:ascii="方正小标宋简体" w:eastAsia="方正小标宋简体" w:hint="eastAsia"/>
        <w:b/>
        <w:sz w:val="24"/>
        <w:szCs w:val="44"/>
      </w:rPr>
      <w:t xml:space="preserve">         </w:t>
    </w:r>
    <w:r>
      <w:rPr>
        <w:rFonts w:ascii="方正小标宋简体" w:eastAsia="方正小标宋简体" w:hint="eastAsia"/>
        <w:b/>
        <w:sz w:val="40"/>
        <w:szCs w:val="44"/>
      </w:rPr>
      <w:t>风险管理</w:t>
    </w:r>
    <w:r w:rsidRPr="00927ABA">
      <w:rPr>
        <w:rFonts w:ascii="方正小标宋简体" w:eastAsia="方正小标宋简体" w:hint="eastAsia"/>
        <w:b/>
        <w:sz w:val="40"/>
        <w:szCs w:val="44"/>
      </w:rPr>
      <w:t>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F3F"/>
    <w:rsid w:val="00000B36"/>
    <w:rsid w:val="00003E25"/>
    <w:rsid w:val="00004ECF"/>
    <w:rsid w:val="000050B9"/>
    <w:rsid w:val="000104EB"/>
    <w:rsid w:val="00010D5C"/>
    <w:rsid w:val="00012985"/>
    <w:rsid w:val="0001332E"/>
    <w:rsid w:val="00013A77"/>
    <w:rsid w:val="0001464F"/>
    <w:rsid w:val="000163F0"/>
    <w:rsid w:val="00016FCC"/>
    <w:rsid w:val="000173B1"/>
    <w:rsid w:val="000214B1"/>
    <w:rsid w:val="000217C4"/>
    <w:rsid w:val="00023C82"/>
    <w:rsid w:val="00024AA9"/>
    <w:rsid w:val="000265DD"/>
    <w:rsid w:val="00026AF9"/>
    <w:rsid w:val="00026B75"/>
    <w:rsid w:val="0002783E"/>
    <w:rsid w:val="00030041"/>
    <w:rsid w:val="00030C30"/>
    <w:rsid w:val="00031324"/>
    <w:rsid w:val="00031759"/>
    <w:rsid w:val="000317CB"/>
    <w:rsid w:val="00033227"/>
    <w:rsid w:val="00033E14"/>
    <w:rsid w:val="00034E02"/>
    <w:rsid w:val="00035043"/>
    <w:rsid w:val="000351FB"/>
    <w:rsid w:val="00036BD8"/>
    <w:rsid w:val="00037D60"/>
    <w:rsid w:val="00037E88"/>
    <w:rsid w:val="00040F97"/>
    <w:rsid w:val="00041D28"/>
    <w:rsid w:val="00045135"/>
    <w:rsid w:val="00045CE8"/>
    <w:rsid w:val="00045E09"/>
    <w:rsid w:val="00046CD6"/>
    <w:rsid w:val="00046F7B"/>
    <w:rsid w:val="00047D8E"/>
    <w:rsid w:val="000521EA"/>
    <w:rsid w:val="00054DFE"/>
    <w:rsid w:val="0005561F"/>
    <w:rsid w:val="0005590D"/>
    <w:rsid w:val="00055C61"/>
    <w:rsid w:val="00056C0D"/>
    <w:rsid w:val="00056F86"/>
    <w:rsid w:val="000570D9"/>
    <w:rsid w:val="000639EB"/>
    <w:rsid w:val="00063C53"/>
    <w:rsid w:val="00065095"/>
    <w:rsid w:val="00070558"/>
    <w:rsid w:val="00072F77"/>
    <w:rsid w:val="00074266"/>
    <w:rsid w:val="00074F1B"/>
    <w:rsid w:val="000757C8"/>
    <w:rsid w:val="0007646F"/>
    <w:rsid w:val="00077AF3"/>
    <w:rsid w:val="00077BD3"/>
    <w:rsid w:val="00077C3D"/>
    <w:rsid w:val="0008013D"/>
    <w:rsid w:val="00082890"/>
    <w:rsid w:val="00083425"/>
    <w:rsid w:val="00086221"/>
    <w:rsid w:val="00087A01"/>
    <w:rsid w:val="000917CA"/>
    <w:rsid w:val="000930EE"/>
    <w:rsid w:val="000932BE"/>
    <w:rsid w:val="00093F3F"/>
    <w:rsid w:val="00094310"/>
    <w:rsid w:val="00095F6B"/>
    <w:rsid w:val="00095F6E"/>
    <w:rsid w:val="00097326"/>
    <w:rsid w:val="000A1803"/>
    <w:rsid w:val="000A1B44"/>
    <w:rsid w:val="000A1D64"/>
    <w:rsid w:val="000A25EF"/>
    <w:rsid w:val="000A2D6A"/>
    <w:rsid w:val="000A315B"/>
    <w:rsid w:val="000A4F4A"/>
    <w:rsid w:val="000A57D4"/>
    <w:rsid w:val="000A78D0"/>
    <w:rsid w:val="000A79C0"/>
    <w:rsid w:val="000A7F7E"/>
    <w:rsid w:val="000B0F7E"/>
    <w:rsid w:val="000B2DEA"/>
    <w:rsid w:val="000B3886"/>
    <w:rsid w:val="000B3957"/>
    <w:rsid w:val="000B57B0"/>
    <w:rsid w:val="000B624F"/>
    <w:rsid w:val="000C0375"/>
    <w:rsid w:val="000C0ED3"/>
    <w:rsid w:val="000C2A29"/>
    <w:rsid w:val="000C3516"/>
    <w:rsid w:val="000C3A01"/>
    <w:rsid w:val="000C474A"/>
    <w:rsid w:val="000C4917"/>
    <w:rsid w:val="000C63D8"/>
    <w:rsid w:val="000C76E0"/>
    <w:rsid w:val="000D2A52"/>
    <w:rsid w:val="000D5839"/>
    <w:rsid w:val="000D599A"/>
    <w:rsid w:val="000D6B5B"/>
    <w:rsid w:val="000E046C"/>
    <w:rsid w:val="000E0811"/>
    <w:rsid w:val="000E106D"/>
    <w:rsid w:val="000E23FB"/>
    <w:rsid w:val="000E26A9"/>
    <w:rsid w:val="000E3A82"/>
    <w:rsid w:val="000E4C79"/>
    <w:rsid w:val="000E6A79"/>
    <w:rsid w:val="000E6E7F"/>
    <w:rsid w:val="000F155B"/>
    <w:rsid w:val="000F1B78"/>
    <w:rsid w:val="000F3133"/>
    <w:rsid w:val="000F3452"/>
    <w:rsid w:val="000F3526"/>
    <w:rsid w:val="000F41DC"/>
    <w:rsid w:val="000F435D"/>
    <w:rsid w:val="000F4D0B"/>
    <w:rsid w:val="000F4EED"/>
    <w:rsid w:val="000F7010"/>
    <w:rsid w:val="000F7FAD"/>
    <w:rsid w:val="0010093F"/>
    <w:rsid w:val="0010369B"/>
    <w:rsid w:val="001038C5"/>
    <w:rsid w:val="001042D6"/>
    <w:rsid w:val="00105FDC"/>
    <w:rsid w:val="0011006C"/>
    <w:rsid w:val="00112B61"/>
    <w:rsid w:val="00115E67"/>
    <w:rsid w:val="00116F16"/>
    <w:rsid w:val="00117E54"/>
    <w:rsid w:val="00120610"/>
    <w:rsid w:val="00121660"/>
    <w:rsid w:val="00121C19"/>
    <w:rsid w:val="00121D15"/>
    <w:rsid w:val="00122FA3"/>
    <w:rsid w:val="00123FDA"/>
    <w:rsid w:val="001244D9"/>
    <w:rsid w:val="00124B0C"/>
    <w:rsid w:val="001255AA"/>
    <w:rsid w:val="0012683D"/>
    <w:rsid w:val="00126FBE"/>
    <w:rsid w:val="00127F73"/>
    <w:rsid w:val="00131002"/>
    <w:rsid w:val="00131775"/>
    <w:rsid w:val="00132D78"/>
    <w:rsid w:val="00133654"/>
    <w:rsid w:val="00134118"/>
    <w:rsid w:val="00135DD2"/>
    <w:rsid w:val="00136EBC"/>
    <w:rsid w:val="00141252"/>
    <w:rsid w:val="00143ECF"/>
    <w:rsid w:val="001476BB"/>
    <w:rsid w:val="001500ED"/>
    <w:rsid w:val="00150C07"/>
    <w:rsid w:val="00151413"/>
    <w:rsid w:val="0015631A"/>
    <w:rsid w:val="0015718E"/>
    <w:rsid w:val="001571E5"/>
    <w:rsid w:val="0016337A"/>
    <w:rsid w:val="00163429"/>
    <w:rsid w:val="0016364B"/>
    <w:rsid w:val="00164675"/>
    <w:rsid w:val="00164DD9"/>
    <w:rsid w:val="00166437"/>
    <w:rsid w:val="00167103"/>
    <w:rsid w:val="0016731C"/>
    <w:rsid w:val="00170C50"/>
    <w:rsid w:val="001724B4"/>
    <w:rsid w:val="001736B5"/>
    <w:rsid w:val="00173AA0"/>
    <w:rsid w:val="00173AE2"/>
    <w:rsid w:val="00173E84"/>
    <w:rsid w:val="00175095"/>
    <w:rsid w:val="00175AB4"/>
    <w:rsid w:val="00175C1D"/>
    <w:rsid w:val="0018031A"/>
    <w:rsid w:val="00180E92"/>
    <w:rsid w:val="00182FCC"/>
    <w:rsid w:val="00183493"/>
    <w:rsid w:val="001835F8"/>
    <w:rsid w:val="0018369F"/>
    <w:rsid w:val="00183818"/>
    <w:rsid w:val="00184655"/>
    <w:rsid w:val="00184E6A"/>
    <w:rsid w:val="001852AF"/>
    <w:rsid w:val="00186E8F"/>
    <w:rsid w:val="001870F2"/>
    <w:rsid w:val="001879C6"/>
    <w:rsid w:val="0019072D"/>
    <w:rsid w:val="00190CAA"/>
    <w:rsid w:val="00192336"/>
    <w:rsid w:val="00192D13"/>
    <w:rsid w:val="00192DAB"/>
    <w:rsid w:val="0019394D"/>
    <w:rsid w:val="0019416D"/>
    <w:rsid w:val="00196BFE"/>
    <w:rsid w:val="001A0842"/>
    <w:rsid w:val="001A1354"/>
    <w:rsid w:val="001A2498"/>
    <w:rsid w:val="001A3F96"/>
    <w:rsid w:val="001A3FE9"/>
    <w:rsid w:val="001A4902"/>
    <w:rsid w:val="001A5C53"/>
    <w:rsid w:val="001A6A57"/>
    <w:rsid w:val="001A6C0C"/>
    <w:rsid w:val="001A717C"/>
    <w:rsid w:val="001B04D3"/>
    <w:rsid w:val="001B16D4"/>
    <w:rsid w:val="001B1C4D"/>
    <w:rsid w:val="001B2030"/>
    <w:rsid w:val="001B2241"/>
    <w:rsid w:val="001B303D"/>
    <w:rsid w:val="001B3FAC"/>
    <w:rsid w:val="001B4228"/>
    <w:rsid w:val="001B4674"/>
    <w:rsid w:val="001B5773"/>
    <w:rsid w:val="001B6BD5"/>
    <w:rsid w:val="001B73D2"/>
    <w:rsid w:val="001B787B"/>
    <w:rsid w:val="001C1509"/>
    <w:rsid w:val="001C26D7"/>
    <w:rsid w:val="001C28AB"/>
    <w:rsid w:val="001C33BC"/>
    <w:rsid w:val="001C391A"/>
    <w:rsid w:val="001C3E38"/>
    <w:rsid w:val="001C48B7"/>
    <w:rsid w:val="001C5846"/>
    <w:rsid w:val="001C624B"/>
    <w:rsid w:val="001C68A7"/>
    <w:rsid w:val="001C6D98"/>
    <w:rsid w:val="001C6E12"/>
    <w:rsid w:val="001C79B7"/>
    <w:rsid w:val="001D0817"/>
    <w:rsid w:val="001D4973"/>
    <w:rsid w:val="001D5447"/>
    <w:rsid w:val="001D65B4"/>
    <w:rsid w:val="001D6961"/>
    <w:rsid w:val="001D706D"/>
    <w:rsid w:val="001E1F72"/>
    <w:rsid w:val="001E25AE"/>
    <w:rsid w:val="001E4B45"/>
    <w:rsid w:val="001E4BBB"/>
    <w:rsid w:val="001E6153"/>
    <w:rsid w:val="001E737D"/>
    <w:rsid w:val="001E73CE"/>
    <w:rsid w:val="001E75C4"/>
    <w:rsid w:val="001F1400"/>
    <w:rsid w:val="001F279E"/>
    <w:rsid w:val="001F3272"/>
    <w:rsid w:val="001F433B"/>
    <w:rsid w:val="001F56D8"/>
    <w:rsid w:val="001F624B"/>
    <w:rsid w:val="001F6BD8"/>
    <w:rsid w:val="001F7866"/>
    <w:rsid w:val="001F7C33"/>
    <w:rsid w:val="002000D0"/>
    <w:rsid w:val="0020024F"/>
    <w:rsid w:val="00200515"/>
    <w:rsid w:val="002005A4"/>
    <w:rsid w:val="00201991"/>
    <w:rsid w:val="00202604"/>
    <w:rsid w:val="00203757"/>
    <w:rsid w:val="00204115"/>
    <w:rsid w:val="002063E3"/>
    <w:rsid w:val="002075F5"/>
    <w:rsid w:val="002078AB"/>
    <w:rsid w:val="002079AB"/>
    <w:rsid w:val="002104B7"/>
    <w:rsid w:val="00210682"/>
    <w:rsid w:val="002110F8"/>
    <w:rsid w:val="002118B1"/>
    <w:rsid w:val="00211CF1"/>
    <w:rsid w:val="0021343B"/>
    <w:rsid w:val="002142AF"/>
    <w:rsid w:val="00214775"/>
    <w:rsid w:val="00214E89"/>
    <w:rsid w:val="00217B80"/>
    <w:rsid w:val="00223A7B"/>
    <w:rsid w:val="00223BEC"/>
    <w:rsid w:val="002241B2"/>
    <w:rsid w:val="002262C3"/>
    <w:rsid w:val="0022695A"/>
    <w:rsid w:val="00227213"/>
    <w:rsid w:val="002276E0"/>
    <w:rsid w:val="002300AC"/>
    <w:rsid w:val="002308B9"/>
    <w:rsid w:val="00231289"/>
    <w:rsid w:val="002312DC"/>
    <w:rsid w:val="00231360"/>
    <w:rsid w:val="00231773"/>
    <w:rsid w:val="00233561"/>
    <w:rsid w:val="0023431E"/>
    <w:rsid w:val="002356F8"/>
    <w:rsid w:val="00235742"/>
    <w:rsid w:val="0023644D"/>
    <w:rsid w:val="002366C4"/>
    <w:rsid w:val="00240102"/>
    <w:rsid w:val="00240468"/>
    <w:rsid w:val="00240558"/>
    <w:rsid w:val="00241832"/>
    <w:rsid w:val="0024383D"/>
    <w:rsid w:val="00243B9D"/>
    <w:rsid w:val="00243F56"/>
    <w:rsid w:val="0024415A"/>
    <w:rsid w:val="00244D46"/>
    <w:rsid w:val="00246527"/>
    <w:rsid w:val="00246DC0"/>
    <w:rsid w:val="00247CE5"/>
    <w:rsid w:val="0025030F"/>
    <w:rsid w:val="002504AD"/>
    <w:rsid w:val="002515E6"/>
    <w:rsid w:val="00251B94"/>
    <w:rsid w:val="00257B03"/>
    <w:rsid w:val="00257BB8"/>
    <w:rsid w:val="0026062D"/>
    <w:rsid w:val="00261EBA"/>
    <w:rsid w:val="002651CE"/>
    <w:rsid w:val="0026654F"/>
    <w:rsid w:val="002667D9"/>
    <w:rsid w:val="002668C6"/>
    <w:rsid w:val="00266BBF"/>
    <w:rsid w:val="00266C1D"/>
    <w:rsid w:val="00267598"/>
    <w:rsid w:val="0027013C"/>
    <w:rsid w:val="002701B4"/>
    <w:rsid w:val="002706E0"/>
    <w:rsid w:val="00270F2B"/>
    <w:rsid w:val="00271FD2"/>
    <w:rsid w:val="00272577"/>
    <w:rsid w:val="002744AD"/>
    <w:rsid w:val="00274653"/>
    <w:rsid w:val="0027492E"/>
    <w:rsid w:val="00275529"/>
    <w:rsid w:val="00276035"/>
    <w:rsid w:val="00276208"/>
    <w:rsid w:val="0028042D"/>
    <w:rsid w:val="002805F3"/>
    <w:rsid w:val="00280F13"/>
    <w:rsid w:val="0028108D"/>
    <w:rsid w:val="00281258"/>
    <w:rsid w:val="002820D5"/>
    <w:rsid w:val="00282BD4"/>
    <w:rsid w:val="00283446"/>
    <w:rsid w:val="002865CC"/>
    <w:rsid w:val="002903F0"/>
    <w:rsid w:val="002923E7"/>
    <w:rsid w:val="00292740"/>
    <w:rsid w:val="00293B00"/>
    <w:rsid w:val="0029648D"/>
    <w:rsid w:val="00296E61"/>
    <w:rsid w:val="002A03CC"/>
    <w:rsid w:val="002A0CC0"/>
    <w:rsid w:val="002A1950"/>
    <w:rsid w:val="002A2BB9"/>
    <w:rsid w:val="002A4865"/>
    <w:rsid w:val="002A5322"/>
    <w:rsid w:val="002A7F16"/>
    <w:rsid w:val="002B1799"/>
    <w:rsid w:val="002B3C37"/>
    <w:rsid w:val="002B3E3B"/>
    <w:rsid w:val="002B565E"/>
    <w:rsid w:val="002B6177"/>
    <w:rsid w:val="002B62B8"/>
    <w:rsid w:val="002B7ED3"/>
    <w:rsid w:val="002C1404"/>
    <w:rsid w:val="002C20F9"/>
    <w:rsid w:val="002C2300"/>
    <w:rsid w:val="002C44D4"/>
    <w:rsid w:val="002C4571"/>
    <w:rsid w:val="002D12C6"/>
    <w:rsid w:val="002D2514"/>
    <w:rsid w:val="002D3984"/>
    <w:rsid w:val="002D4848"/>
    <w:rsid w:val="002D5C10"/>
    <w:rsid w:val="002D633E"/>
    <w:rsid w:val="002D775C"/>
    <w:rsid w:val="002E04D0"/>
    <w:rsid w:val="002E173F"/>
    <w:rsid w:val="002E2174"/>
    <w:rsid w:val="002E2F10"/>
    <w:rsid w:val="002E58C4"/>
    <w:rsid w:val="002E593F"/>
    <w:rsid w:val="002E709F"/>
    <w:rsid w:val="002E72AE"/>
    <w:rsid w:val="002E7426"/>
    <w:rsid w:val="002E76A0"/>
    <w:rsid w:val="002F06B5"/>
    <w:rsid w:val="002F3559"/>
    <w:rsid w:val="002F48CB"/>
    <w:rsid w:val="002F5D4D"/>
    <w:rsid w:val="002F61FA"/>
    <w:rsid w:val="002F6691"/>
    <w:rsid w:val="002F7178"/>
    <w:rsid w:val="00300690"/>
    <w:rsid w:val="00302B39"/>
    <w:rsid w:val="003046FF"/>
    <w:rsid w:val="0030506D"/>
    <w:rsid w:val="003054F9"/>
    <w:rsid w:val="003065F2"/>
    <w:rsid w:val="003076D5"/>
    <w:rsid w:val="003100F8"/>
    <w:rsid w:val="003103C5"/>
    <w:rsid w:val="0031054F"/>
    <w:rsid w:val="00310596"/>
    <w:rsid w:val="00311171"/>
    <w:rsid w:val="0031351F"/>
    <w:rsid w:val="0031419A"/>
    <w:rsid w:val="00314C51"/>
    <w:rsid w:val="00322246"/>
    <w:rsid w:val="003232EB"/>
    <w:rsid w:val="00324392"/>
    <w:rsid w:val="00324490"/>
    <w:rsid w:val="003258E4"/>
    <w:rsid w:val="00325994"/>
    <w:rsid w:val="00326D51"/>
    <w:rsid w:val="00326E31"/>
    <w:rsid w:val="00327E3E"/>
    <w:rsid w:val="00327F44"/>
    <w:rsid w:val="00330DD5"/>
    <w:rsid w:val="00330EBF"/>
    <w:rsid w:val="00331B1E"/>
    <w:rsid w:val="00331D76"/>
    <w:rsid w:val="00331D7A"/>
    <w:rsid w:val="00332103"/>
    <w:rsid w:val="00332CAD"/>
    <w:rsid w:val="00333124"/>
    <w:rsid w:val="0033698E"/>
    <w:rsid w:val="003371DD"/>
    <w:rsid w:val="003404FE"/>
    <w:rsid w:val="00341FA5"/>
    <w:rsid w:val="003429AA"/>
    <w:rsid w:val="00344C79"/>
    <w:rsid w:val="0034641D"/>
    <w:rsid w:val="00347740"/>
    <w:rsid w:val="00347D98"/>
    <w:rsid w:val="00351498"/>
    <w:rsid w:val="00352F8C"/>
    <w:rsid w:val="00353051"/>
    <w:rsid w:val="0035339F"/>
    <w:rsid w:val="003557B6"/>
    <w:rsid w:val="00356651"/>
    <w:rsid w:val="00360535"/>
    <w:rsid w:val="00361B23"/>
    <w:rsid w:val="00362106"/>
    <w:rsid w:val="0036316A"/>
    <w:rsid w:val="003633F6"/>
    <w:rsid w:val="00363A47"/>
    <w:rsid w:val="003641CA"/>
    <w:rsid w:val="00364D27"/>
    <w:rsid w:val="00365C51"/>
    <w:rsid w:val="00370020"/>
    <w:rsid w:val="00370D80"/>
    <w:rsid w:val="00371100"/>
    <w:rsid w:val="0037180E"/>
    <w:rsid w:val="003720CF"/>
    <w:rsid w:val="00372196"/>
    <w:rsid w:val="0037293D"/>
    <w:rsid w:val="003732CB"/>
    <w:rsid w:val="00374C02"/>
    <w:rsid w:val="00374C72"/>
    <w:rsid w:val="003755F2"/>
    <w:rsid w:val="00375DB0"/>
    <w:rsid w:val="00376D8C"/>
    <w:rsid w:val="00377676"/>
    <w:rsid w:val="00381781"/>
    <w:rsid w:val="003817C2"/>
    <w:rsid w:val="00381A5E"/>
    <w:rsid w:val="00383427"/>
    <w:rsid w:val="0038379D"/>
    <w:rsid w:val="0038450C"/>
    <w:rsid w:val="003853F4"/>
    <w:rsid w:val="00385B22"/>
    <w:rsid w:val="00386C6A"/>
    <w:rsid w:val="00387080"/>
    <w:rsid w:val="00387FA4"/>
    <w:rsid w:val="003912A1"/>
    <w:rsid w:val="00392D00"/>
    <w:rsid w:val="00392D0F"/>
    <w:rsid w:val="0039313B"/>
    <w:rsid w:val="00393828"/>
    <w:rsid w:val="00393E7F"/>
    <w:rsid w:val="0039595E"/>
    <w:rsid w:val="00395B26"/>
    <w:rsid w:val="00396810"/>
    <w:rsid w:val="00396A1A"/>
    <w:rsid w:val="0039704E"/>
    <w:rsid w:val="003A32AE"/>
    <w:rsid w:val="003A700F"/>
    <w:rsid w:val="003A7627"/>
    <w:rsid w:val="003B03F4"/>
    <w:rsid w:val="003B0444"/>
    <w:rsid w:val="003B12F6"/>
    <w:rsid w:val="003B23C2"/>
    <w:rsid w:val="003B276F"/>
    <w:rsid w:val="003B7303"/>
    <w:rsid w:val="003B76DC"/>
    <w:rsid w:val="003C1455"/>
    <w:rsid w:val="003C2E6B"/>
    <w:rsid w:val="003C362D"/>
    <w:rsid w:val="003C73D4"/>
    <w:rsid w:val="003C7FC9"/>
    <w:rsid w:val="003D0332"/>
    <w:rsid w:val="003D0929"/>
    <w:rsid w:val="003D0F7F"/>
    <w:rsid w:val="003D174F"/>
    <w:rsid w:val="003D1EF2"/>
    <w:rsid w:val="003D41D5"/>
    <w:rsid w:val="003D5D34"/>
    <w:rsid w:val="003D6159"/>
    <w:rsid w:val="003D68BF"/>
    <w:rsid w:val="003D7B63"/>
    <w:rsid w:val="003D7C56"/>
    <w:rsid w:val="003E18F0"/>
    <w:rsid w:val="003E2DDC"/>
    <w:rsid w:val="003E2EBB"/>
    <w:rsid w:val="003E328B"/>
    <w:rsid w:val="003E3B1B"/>
    <w:rsid w:val="003E4D8F"/>
    <w:rsid w:val="003E568A"/>
    <w:rsid w:val="003E7AB3"/>
    <w:rsid w:val="003E7AE2"/>
    <w:rsid w:val="003F0C74"/>
    <w:rsid w:val="003F0EAD"/>
    <w:rsid w:val="003F0EF9"/>
    <w:rsid w:val="003F18C9"/>
    <w:rsid w:val="003F34A8"/>
    <w:rsid w:val="003F38FF"/>
    <w:rsid w:val="003F5DDC"/>
    <w:rsid w:val="003F7A31"/>
    <w:rsid w:val="00401261"/>
    <w:rsid w:val="00402176"/>
    <w:rsid w:val="00402518"/>
    <w:rsid w:val="004031C3"/>
    <w:rsid w:val="00403529"/>
    <w:rsid w:val="00405334"/>
    <w:rsid w:val="004059AB"/>
    <w:rsid w:val="00405C61"/>
    <w:rsid w:val="00405CD3"/>
    <w:rsid w:val="00406F47"/>
    <w:rsid w:val="004079CD"/>
    <w:rsid w:val="0041093A"/>
    <w:rsid w:val="004111F9"/>
    <w:rsid w:val="00411FAC"/>
    <w:rsid w:val="00412336"/>
    <w:rsid w:val="00415C48"/>
    <w:rsid w:val="00417392"/>
    <w:rsid w:val="0041765F"/>
    <w:rsid w:val="00417E8B"/>
    <w:rsid w:val="00421005"/>
    <w:rsid w:val="004211EC"/>
    <w:rsid w:val="004216B4"/>
    <w:rsid w:val="004230D2"/>
    <w:rsid w:val="00423627"/>
    <w:rsid w:val="00423AFC"/>
    <w:rsid w:val="00424B75"/>
    <w:rsid w:val="00425FAB"/>
    <w:rsid w:val="00426713"/>
    <w:rsid w:val="00426D32"/>
    <w:rsid w:val="00431163"/>
    <w:rsid w:val="00431D04"/>
    <w:rsid w:val="00431FD2"/>
    <w:rsid w:val="00432F41"/>
    <w:rsid w:val="00434528"/>
    <w:rsid w:val="00434861"/>
    <w:rsid w:val="004351BE"/>
    <w:rsid w:val="004354D2"/>
    <w:rsid w:val="00437D1C"/>
    <w:rsid w:val="004411DA"/>
    <w:rsid w:val="00441302"/>
    <w:rsid w:val="00441964"/>
    <w:rsid w:val="00442141"/>
    <w:rsid w:val="0044435A"/>
    <w:rsid w:val="004459FE"/>
    <w:rsid w:val="00446379"/>
    <w:rsid w:val="004467E9"/>
    <w:rsid w:val="00447207"/>
    <w:rsid w:val="00450854"/>
    <w:rsid w:val="00455A4B"/>
    <w:rsid w:val="00455EE6"/>
    <w:rsid w:val="004564D7"/>
    <w:rsid w:val="0045726E"/>
    <w:rsid w:val="004579D0"/>
    <w:rsid w:val="00457C9F"/>
    <w:rsid w:val="00460C1E"/>
    <w:rsid w:val="00460D94"/>
    <w:rsid w:val="004615CA"/>
    <w:rsid w:val="004622D3"/>
    <w:rsid w:val="00462356"/>
    <w:rsid w:val="0046288F"/>
    <w:rsid w:val="00463303"/>
    <w:rsid w:val="00463BDD"/>
    <w:rsid w:val="0046402A"/>
    <w:rsid w:val="00464580"/>
    <w:rsid w:val="004656C7"/>
    <w:rsid w:val="004659BD"/>
    <w:rsid w:val="0046667C"/>
    <w:rsid w:val="00467A6A"/>
    <w:rsid w:val="00467A95"/>
    <w:rsid w:val="00467E58"/>
    <w:rsid w:val="004711E8"/>
    <w:rsid w:val="004722FF"/>
    <w:rsid w:val="00473FCF"/>
    <w:rsid w:val="004766B9"/>
    <w:rsid w:val="0047742D"/>
    <w:rsid w:val="00477DDD"/>
    <w:rsid w:val="00480117"/>
    <w:rsid w:val="00482F4F"/>
    <w:rsid w:val="0048489C"/>
    <w:rsid w:val="00485017"/>
    <w:rsid w:val="00487789"/>
    <w:rsid w:val="0049045D"/>
    <w:rsid w:val="004907BB"/>
    <w:rsid w:val="00490D07"/>
    <w:rsid w:val="00491AF9"/>
    <w:rsid w:val="00491E7B"/>
    <w:rsid w:val="004930FA"/>
    <w:rsid w:val="00493A60"/>
    <w:rsid w:val="00494435"/>
    <w:rsid w:val="00496834"/>
    <w:rsid w:val="004A1C25"/>
    <w:rsid w:val="004A4421"/>
    <w:rsid w:val="004A4832"/>
    <w:rsid w:val="004A487E"/>
    <w:rsid w:val="004A4C93"/>
    <w:rsid w:val="004A6939"/>
    <w:rsid w:val="004A6CF0"/>
    <w:rsid w:val="004A7987"/>
    <w:rsid w:val="004A7A78"/>
    <w:rsid w:val="004B05FD"/>
    <w:rsid w:val="004B08DC"/>
    <w:rsid w:val="004B0ABA"/>
    <w:rsid w:val="004B0E10"/>
    <w:rsid w:val="004B22A2"/>
    <w:rsid w:val="004B42D2"/>
    <w:rsid w:val="004B5445"/>
    <w:rsid w:val="004B62F7"/>
    <w:rsid w:val="004C09F5"/>
    <w:rsid w:val="004C0DA8"/>
    <w:rsid w:val="004C30B0"/>
    <w:rsid w:val="004C35B8"/>
    <w:rsid w:val="004D0BA4"/>
    <w:rsid w:val="004D168A"/>
    <w:rsid w:val="004D26FE"/>
    <w:rsid w:val="004D27BB"/>
    <w:rsid w:val="004D31C0"/>
    <w:rsid w:val="004D41A9"/>
    <w:rsid w:val="004D44DF"/>
    <w:rsid w:val="004D5735"/>
    <w:rsid w:val="004D5FE0"/>
    <w:rsid w:val="004D7807"/>
    <w:rsid w:val="004D7B39"/>
    <w:rsid w:val="004D7D99"/>
    <w:rsid w:val="004E0938"/>
    <w:rsid w:val="004E3AAB"/>
    <w:rsid w:val="004E3E56"/>
    <w:rsid w:val="004E6B09"/>
    <w:rsid w:val="004E7329"/>
    <w:rsid w:val="004E7E3A"/>
    <w:rsid w:val="004F0530"/>
    <w:rsid w:val="004F19A1"/>
    <w:rsid w:val="004F39A9"/>
    <w:rsid w:val="004F3E13"/>
    <w:rsid w:val="004F5E83"/>
    <w:rsid w:val="004F6066"/>
    <w:rsid w:val="004F6CE1"/>
    <w:rsid w:val="004F6FD5"/>
    <w:rsid w:val="0050024A"/>
    <w:rsid w:val="005009FF"/>
    <w:rsid w:val="00500ACF"/>
    <w:rsid w:val="00502A12"/>
    <w:rsid w:val="0050310C"/>
    <w:rsid w:val="005041C3"/>
    <w:rsid w:val="0050511B"/>
    <w:rsid w:val="00505241"/>
    <w:rsid w:val="00505565"/>
    <w:rsid w:val="00507F96"/>
    <w:rsid w:val="00510BAE"/>
    <w:rsid w:val="00512F41"/>
    <w:rsid w:val="005136BA"/>
    <w:rsid w:val="005137CD"/>
    <w:rsid w:val="00513A46"/>
    <w:rsid w:val="005155EE"/>
    <w:rsid w:val="00516FCA"/>
    <w:rsid w:val="0051723E"/>
    <w:rsid w:val="005175E9"/>
    <w:rsid w:val="005179F0"/>
    <w:rsid w:val="005202AC"/>
    <w:rsid w:val="00520460"/>
    <w:rsid w:val="005207DA"/>
    <w:rsid w:val="00522870"/>
    <w:rsid w:val="00524327"/>
    <w:rsid w:val="00524658"/>
    <w:rsid w:val="00525ABF"/>
    <w:rsid w:val="00526DBF"/>
    <w:rsid w:val="005279C6"/>
    <w:rsid w:val="00527EB2"/>
    <w:rsid w:val="0053020D"/>
    <w:rsid w:val="00530664"/>
    <w:rsid w:val="00530D15"/>
    <w:rsid w:val="00532F96"/>
    <w:rsid w:val="00533CCB"/>
    <w:rsid w:val="00536005"/>
    <w:rsid w:val="00536F14"/>
    <w:rsid w:val="00537555"/>
    <w:rsid w:val="00540422"/>
    <w:rsid w:val="005410EA"/>
    <w:rsid w:val="00541CB3"/>
    <w:rsid w:val="00542893"/>
    <w:rsid w:val="00543264"/>
    <w:rsid w:val="005434E1"/>
    <w:rsid w:val="00546D4F"/>
    <w:rsid w:val="00550BF9"/>
    <w:rsid w:val="005518E1"/>
    <w:rsid w:val="00555534"/>
    <w:rsid w:val="00555F95"/>
    <w:rsid w:val="00556E8D"/>
    <w:rsid w:val="0056003A"/>
    <w:rsid w:val="0056016C"/>
    <w:rsid w:val="0056033D"/>
    <w:rsid w:val="005617CB"/>
    <w:rsid w:val="00563D21"/>
    <w:rsid w:val="00564456"/>
    <w:rsid w:val="00565A4D"/>
    <w:rsid w:val="00566222"/>
    <w:rsid w:val="00570756"/>
    <w:rsid w:val="00570C99"/>
    <w:rsid w:val="00570DAD"/>
    <w:rsid w:val="005719D3"/>
    <w:rsid w:val="00571B06"/>
    <w:rsid w:val="005726DE"/>
    <w:rsid w:val="0057278C"/>
    <w:rsid w:val="00572977"/>
    <w:rsid w:val="00572A5D"/>
    <w:rsid w:val="00572DC6"/>
    <w:rsid w:val="00574204"/>
    <w:rsid w:val="0057473F"/>
    <w:rsid w:val="00574DC8"/>
    <w:rsid w:val="00576B8E"/>
    <w:rsid w:val="00576E4C"/>
    <w:rsid w:val="005776FA"/>
    <w:rsid w:val="00580089"/>
    <w:rsid w:val="005809D9"/>
    <w:rsid w:val="00581E09"/>
    <w:rsid w:val="005823A7"/>
    <w:rsid w:val="0058272F"/>
    <w:rsid w:val="00582A5B"/>
    <w:rsid w:val="0058445A"/>
    <w:rsid w:val="00585E3E"/>
    <w:rsid w:val="00586F6A"/>
    <w:rsid w:val="00587EBB"/>
    <w:rsid w:val="0059208E"/>
    <w:rsid w:val="0059306E"/>
    <w:rsid w:val="00593407"/>
    <w:rsid w:val="005938BC"/>
    <w:rsid w:val="00593A12"/>
    <w:rsid w:val="00593A3C"/>
    <w:rsid w:val="00593D10"/>
    <w:rsid w:val="00594A96"/>
    <w:rsid w:val="00594C6F"/>
    <w:rsid w:val="00594D13"/>
    <w:rsid w:val="00595CCB"/>
    <w:rsid w:val="005969F7"/>
    <w:rsid w:val="00597044"/>
    <w:rsid w:val="00597A9A"/>
    <w:rsid w:val="00597CAA"/>
    <w:rsid w:val="005A000A"/>
    <w:rsid w:val="005A03E2"/>
    <w:rsid w:val="005A0A4A"/>
    <w:rsid w:val="005A2DD8"/>
    <w:rsid w:val="005A3E43"/>
    <w:rsid w:val="005A4967"/>
    <w:rsid w:val="005A532E"/>
    <w:rsid w:val="005A54CD"/>
    <w:rsid w:val="005A66F4"/>
    <w:rsid w:val="005B13E5"/>
    <w:rsid w:val="005B1EAF"/>
    <w:rsid w:val="005B2828"/>
    <w:rsid w:val="005B46CF"/>
    <w:rsid w:val="005B56CC"/>
    <w:rsid w:val="005B747F"/>
    <w:rsid w:val="005B75B3"/>
    <w:rsid w:val="005C04AC"/>
    <w:rsid w:val="005C34F1"/>
    <w:rsid w:val="005C4209"/>
    <w:rsid w:val="005C479C"/>
    <w:rsid w:val="005C5306"/>
    <w:rsid w:val="005C5DA7"/>
    <w:rsid w:val="005C7B30"/>
    <w:rsid w:val="005D18F6"/>
    <w:rsid w:val="005D2871"/>
    <w:rsid w:val="005D2EE2"/>
    <w:rsid w:val="005D3352"/>
    <w:rsid w:val="005D3E41"/>
    <w:rsid w:val="005D3EEF"/>
    <w:rsid w:val="005D485D"/>
    <w:rsid w:val="005E020D"/>
    <w:rsid w:val="005E06D8"/>
    <w:rsid w:val="005E07E1"/>
    <w:rsid w:val="005E0D03"/>
    <w:rsid w:val="005E14AA"/>
    <w:rsid w:val="005E1D4E"/>
    <w:rsid w:val="005E1D7A"/>
    <w:rsid w:val="005E1F89"/>
    <w:rsid w:val="005E27FB"/>
    <w:rsid w:val="005E28CB"/>
    <w:rsid w:val="005E336D"/>
    <w:rsid w:val="005E62EE"/>
    <w:rsid w:val="005E7315"/>
    <w:rsid w:val="005E78D0"/>
    <w:rsid w:val="005E7A37"/>
    <w:rsid w:val="005F026C"/>
    <w:rsid w:val="005F1702"/>
    <w:rsid w:val="005F1864"/>
    <w:rsid w:val="005F1E98"/>
    <w:rsid w:val="005F224E"/>
    <w:rsid w:val="005F2B24"/>
    <w:rsid w:val="005F4179"/>
    <w:rsid w:val="005F41B6"/>
    <w:rsid w:val="005F475E"/>
    <w:rsid w:val="005F636E"/>
    <w:rsid w:val="006007A4"/>
    <w:rsid w:val="00601A31"/>
    <w:rsid w:val="00601B05"/>
    <w:rsid w:val="00601E17"/>
    <w:rsid w:val="00602056"/>
    <w:rsid w:val="00602104"/>
    <w:rsid w:val="006028FE"/>
    <w:rsid w:val="00604D3B"/>
    <w:rsid w:val="00604E13"/>
    <w:rsid w:val="00605567"/>
    <w:rsid w:val="00606492"/>
    <w:rsid w:val="00606B52"/>
    <w:rsid w:val="006113EB"/>
    <w:rsid w:val="00612117"/>
    <w:rsid w:val="00612390"/>
    <w:rsid w:val="00612694"/>
    <w:rsid w:val="00612E61"/>
    <w:rsid w:val="0061322B"/>
    <w:rsid w:val="00613573"/>
    <w:rsid w:val="00613CE2"/>
    <w:rsid w:val="0061449B"/>
    <w:rsid w:val="0061484C"/>
    <w:rsid w:val="00615251"/>
    <w:rsid w:val="006166CF"/>
    <w:rsid w:val="006167E6"/>
    <w:rsid w:val="0061779F"/>
    <w:rsid w:val="006211FA"/>
    <w:rsid w:val="00622A93"/>
    <w:rsid w:val="0062418B"/>
    <w:rsid w:val="00625130"/>
    <w:rsid w:val="0062543C"/>
    <w:rsid w:val="00625A5A"/>
    <w:rsid w:val="00625F46"/>
    <w:rsid w:val="006266F1"/>
    <w:rsid w:val="00626BD3"/>
    <w:rsid w:val="006274C7"/>
    <w:rsid w:val="006301E8"/>
    <w:rsid w:val="00630A09"/>
    <w:rsid w:val="00630B46"/>
    <w:rsid w:val="006313ED"/>
    <w:rsid w:val="00631D6B"/>
    <w:rsid w:val="00632011"/>
    <w:rsid w:val="00633064"/>
    <w:rsid w:val="0063561D"/>
    <w:rsid w:val="0063697F"/>
    <w:rsid w:val="00637228"/>
    <w:rsid w:val="00641687"/>
    <w:rsid w:val="00641A0F"/>
    <w:rsid w:val="00642876"/>
    <w:rsid w:val="0064411D"/>
    <w:rsid w:val="00644A5E"/>
    <w:rsid w:val="00645D03"/>
    <w:rsid w:val="006470D5"/>
    <w:rsid w:val="00647A1A"/>
    <w:rsid w:val="0065121D"/>
    <w:rsid w:val="00651693"/>
    <w:rsid w:val="00651D74"/>
    <w:rsid w:val="00653286"/>
    <w:rsid w:val="00653D86"/>
    <w:rsid w:val="00656991"/>
    <w:rsid w:val="006574C1"/>
    <w:rsid w:val="006600D4"/>
    <w:rsid w:val="00660607"/>
    <w:rsid w:val="0066089A"/>
    <w:rsid w:val="00660B14"/>
    <w:rsid w:val="00660CE6"/>
    <w:rsid w:val="00661E4E"/>
    <w:rsid w:val="00662754"/>
    <w:rsid w:val="00662C33"/>
    <w:rsid w:val="006632AF"/>
    <w:rsid w:val="006636ED"/>
    <w:rsid w:val="006642AD"/>
    <w:rsid w:val="00664AC1"/>
    <w:rsid w:val="006657DE"/>
    <w:rsid w:val="006665D1"/>
    <w:rsid w:val="006672BE"/>
    <w:rsid w:val="00667AC7"/>
    <w:rsid w:val="00670B32"/>
    <w:rsid w:val="00670C22"/>
    <w:rsid w:val="00671E97"/>
    <w:rsid w:val="006725E5"/>
    <w:rsid w:val="00672848"/>
    <w:rsid w:val="00672F78"/>
    <w:rsid w:val="00673903"/>
    <w:rsid w:val="00674AB3"/>
    <w:rsid w:val="00675448"/>
    <w:rsid w:val="00675BC3"/>
    <w:rsid w:val="00676C4B"/>
    <w:rsid w:val="00683798"/>
    <w:rsid w:val="00684BCF"/>
    <w:rsid w:val="00684BF7"/>
    <w:rsid w:val="00686400"/>
    <w:rsid w:val="00687F3C"/>
    <w:rsid w:val="006927F5"/>
    <w:rsid w:val="00693436"/>
    <w:rsid w:val="0069547A"/>
    <w:rsid w:val="0069556F"/>
    <w:rsid w:val="00695BD7"/>
    <w:rsid w:val="006963DB"/>
    <w:rsid w:val="006A0BEB"/>
    <w:rsid w:val="006A10BF"/>
    <w:rsid w:val="006A1643"/>
    <w:rsid w:val="006A1724"/>
    <w:rsid w:val="006A2B41"/>
    <w:rsid w:val="006A2F0F"/>
    <w:rsid w:val="006A4DBE"/>
    <w:rsid w:val="006A5F4A"/>
    <w:rsid w:val="006A6B81"/>
    <w:rsid w:val="006A7FC7"/>
    <w:rsid w:val="006B0453"/>
    <w:rsid w:val="006B1038"/>
    <w:rsid w:val="006B269B"/>
    <w:rsid w:val="006B3423"/>
    <w:rsid w:val="006B4A9B"/>
    <w:rsid w:val="006B5ED7"/>
    <w:rsid w:val="006B66E7"/>
    <w:rsid w:val="006C0063"/>
    <w:rsid w:val="006C1636"/>
    <w:rsid w:val="006C45BE"/>
    <w:rsid w:val="006C5003"/>
    <w:rsid w:val="006C5213"/>
    <w:rsid w:val="006C6A9C"/>
    <w:rsid w:val="006D017F"/>
    <w:rsid w:val="006D16A0"/>
    <w:rsid w:val="006D21F2"/>
    <w:rsid w:val="006D437F"/>
    <w:rsid w:val="006D459E"/>
    <w:rsid w:val="006D472B"/>
    <w:rsid w:val="006D4C64"/>
    <w:rsid w:val="006D59CE"/>
    <w:rsid w:val="006D5EEF"/>
    <w:rsid w:val="006D7A0C"/>
    <w:rsid w:val="006E17D9"/>
    <w:rsid w:val="006E1A79"/>
    <w:rsid w:val="006E1CAB"/>
    <w:rsid w:val="006E2E54"/>
    <w:rsid w:val="006E3443"/>
    <w:rsid w:val="006E3B44"/>
    <w:rsid w:val="006E789A"/>
    <w:rsid w:val="006E7AE6"/>
    <w:rsid w:val="006F016F"/>
    <w:rsid w:val="006F0616"/>
    <w:rsid w:val="006F0880"/>
    <w:rsid w:val="006F2C89"/>
    <w:rsid w:val="006F3C46"/>
    <w:rsid w:val="006F53CE"/>
    <w:rsid w:val="006F5D3D"/>
    <w:rsid w:val="006F64B8"/>
    <w:rsid w:val="006F6C3A"/>
    <w:rsid w:val="006F6EBA"/>
    <w:rsid w:val="007007D0"/>
    <w:rsid w:val="00700B58"/>
    <w:rsid w:val="007018DF"/>
    <w:rsid w:val="0070277D"/>
    <w:rsid w:val="00703FE2"/>
    <w:rsid w:val="007104C1"/>
    <w:rsid w:val="0071204E"/>
    <w:rsid w:val="0071446C"/>
    <w:rsid w:val="007158B0"/>
    <w:rsid w:val="00715F0E"/>
    <w:rsid w:val="007166D4"/>
    <w:rsid w:val="0071723A"/>
    <w:rsid w:val="007216F8"/>
    <w:rsid w:val="00721837"/>
    <w:rsid w:val="0072249E"/>
    <w:rsid w:val="007236BC"/>
    <w:rsid w:val="00723B07"/>
    <w:rsid w:val="0072497C"/>
    <w:rsid w:val="00725154"/>
    <w:rsid w:val="0072520F"/>
    <w:rsid w:val="0072581F"/>
    <w:rsid w:val="007260A8"/>
    <w:rsid w:val="00727823"/>
    <w:rsid w:val="007279C0"/>
    <w:rsid w:val="007305BE"/>
    <w:rsid w:val="00730CF7"/>
    <w:rsid w:val="0073113E"/>
    <w:rsid w:val="00731B49"/>
    <w:rsid w:val="00733A96"/>
    <w:rsid w:val="00735D2E"/>
    <w:rsid w:val="00736F96"/>
    <w:rsid w:val="0073771C"/>
    <w:rsid w:val="00740590"/>
    <w:rsid w:val="007409C6"/>
    <w:rsid w:val="00741C44"/>
    <w:rsid w:val="00741D52"/>
    <w:rsid w:val="00744D26"/>
    <w:rsid w:val="00746DBD"/>
    <w:rsid w:val="00750212"/>
    <w:rsid w:val="00750A3C"/>
    <w:rsid w:val="00750AF9"/>
    <w:rsid w:val="007538B4"/>
    <w:rsid w:val="0075435F"/>
    <w:rsid w:val="00754579"/>
    <w:rsid w:val="00755AED"/>
    <w:rsid w:val="00755CF7"/>
    <w:rsid w:val="007568DF"/>
    <w:rsid w:val="00757845"/>
    <w:rsid w:val="00760FAB"/>
    <w:rsid w:val="00761EAE"/>
    <w:rsid w:val="007623CD"/>
    <w:rsid w:val="00762B38"/>
    <w:rsid w:val="007642F3"/>
    <w:rsid w:val="00766C40"/>
    <w:rsid w:val="007672DA"/>
    <w:rsid w:val="0077064A"/>
    <w:rsid w:val="00771C8E"/>
    <w:rsid w:val="00771EB3"/>
    <w:rsid w:val="00773832"/>
    <w:rsid w:val="007753CC"/>
    <w:rsid w:val="007763E2"/>
    <w:rsid w:val="007804CF"/>
    <w:rsid w:val="00780D84"/>
    <w:rsid w:val="00782110"/>
    <w:rsid w:val="00782234"/>
    <w:rsid w:val="0078324D"/>
    <w:rsid w:val="007835CB"/>
    <w:rsid w:val="007842F8"/>
    <w:rsid w:val="00784852"/>
    <w:rsid w:val="00784D45"/>
    <w:rsid w:val="00785F29"/>
    <w:rsid w:val="007863A2"/>
    <w:rsid w:val="007866BD"/>
    <w:rsid w:val="00786877"/>
    <w:rsid w:val="00787416"/>
    <w:rsid w:val="0078789A"/>
    <w:rsid w:val="00790A86"/>
    <w:rsid w:val="00792D9D"/>
    <w:rsid w:val="00794C16"/>
    <w:rsid w:val="00795D0B"/>
    <w:rsid w:val="00795D74"/>
    <w:rsid w:val="007A20B4"/>
    <w:rsid w:val="007A22FF"/>
    <w:rsid w:val="007A3DC6"/>
    <w:rsid w:val="007A6DD3"/>
    <w:rsid w:val="007A6F5D"/>
    <w:rsid w:val="007A7304"/>
    <w:rsid w:val="007A75AA"/>
    <w:rsid w:val="007B0291"/>
    <w:rsid w:val="007B5154"/>
    <w:rsid w:val="007B547B"/>
    <w:rsid w:val="007B7031"/>
    <w:rsid w:val="007C0151"/>
    <w:rsid w:val="007C0728"/>
    <w:rsid w:val="007C0D74"/>
    <w:rsid w:val="007C2054"/>
    <w:rsid w:val="007C242D"/>
    <w:rsid w:val="007C2697"/>
    <w:rsid w:val="007C38B4"/>
    <w:rsid w:val="007C6736"/>
    <w:rsid w:val="007C6C51"/>
    <w:rsid w:val="007D1608"/>
    <w:rsid w:val="007D22A8"/>
    <w:rsid w:val="007D2E8A"/>
    <w:rsid w:val="007D2EFC"/>
    <w:rsid w:val="007D3051"/>
    <w:rsid w:val="007D3B50"/>
    <w:rsid w:val="007D5F18"/>
    <w:rsid w:val="007D606D"/>
    <w:rsid w:val="007D665E"/>
    <w:rsid w:val="007D7103"/>
    <w:rsid w:val="007D7A1A"/>
    <w:rsid w:val="007E2119"/>
    <w:rsid w:val="007E28CA"/>
    <w:rsid w:val="007E3A33"/>
    <w:rsid w:val="007E3CF2"/>
    <w:rsid w:val="007E4645"/>
    <w:rsid w:val="007E47EC"/>
    <w:rsid w:val="007E50FE"/>
    <w:rsid w:val="007E6263"/>
    <w:rsid w:val="007E6BC9"/>
    <w:rsid w:val="007E7BAC"/>
    <w:rsid w:val="007E7CE0"/>
    <w:rsid w:val="007F005F"/>
    <w:rsid w:val="007F0258"/>
    <w:rsid w:val="007F0F31"/>
    <w:rsid w:val="007F160D"/>
    <w:rsid w:val="007F285C"/>
    <w:rsid w:val="007F3DD2"/>
    <w:rsid w:val="007F400F"/>
    <w:rsid w:val="007F7246"/>
    <w:rsid w:val="007F7386"/>
    <w:rsid w:val="008003A7"/>
    <w:rsid w:val="0080075F"/>
    <w:rsid w:val="00803623"/>
    <w:rsid w:val="008047D4"/>
    <w:rsid w:val="00805AF9"/>
    <w:rsid w:val="00806CA7"/>
    <w:rsid w:val="00806CC5"/>
    <w:rsid w:val="00807340"/>
    <w:rsid w:val="00807E8F"/>
    <w:rsid w:val="00807F62"/>
    <w:rsid w:val="00811505"/>
    <w:rsid w:val="00811C5A"/>
    <w:rsid w:val="00811D15"/>
    <w:rsid w:val="00813EFA"/>
    <w:rsid w:val="00814115"/>
    <w:rsid w:val="008200E1"/>
    <w:rsid w:val="008205B5"/>
    <w:rsid w:val="008209E2"/>
    <w:rsid w:val="00823D3A"/>
    <w:rsid w:val="00823E7F"/>
    <w:rsid w:val="00824BFC"/>
    <w:rsid w:val="00824D7B"/>
    <w:rsid w:val="00824DAD"/>
    <w:rsid w:val="008268FE"/>
    <w:rsid w:val="00826CCC"/>
    <w:rsid w:val="00827067"/>
    <w:rsid w:val="008276DC"/>
    <w:rsid w:val="008303A8"/>
    <w:rsid w:val="00831A71"/>
    <w:rsid w:val="00831B9B"/>
    <w:rsid w:val="008326BE"/>
    <w:rsid w:val="0083275E"/>
    <w:rsid w:val="00833272"/>
    <w:rsid w:val="008334BD"/>
    <w:rsid w:val="00834905"/>
    <w:rsid w:val="008356E7"/>
    <w:rsid w:val="00836A82"/>
    <w:rsid w:val="0083792D"/>
    <w:rsid w:val="0084297C"/>
    <w:rsid w:val="008431E7"/>
    <w:rsid w:val="00843DF0"/>
    <w:rsid w:val="008445E1"/>
    <w:rsid w:val="008450D8"/>
    <w:rsid w:val="008452F6"/>
    <w:rsid w:val="00846DE8"/>
    <w:rsid w:val="008502CA"/>
    <w:rsid w:val="00851701"/>
    <w:rsid w:val="0085264D"/>
    <w:rsid w:val="0085347C"/>
    <w:rsid w:val="00854826"/>
    <w:rsid w:val="00855672"/>
    <w:rsid w:val="008575CE"/>
    <w:rsid w:val="00857D3F"/>
    <w:rsid w:val="00857F5F"/>
    <w:rsid w:val="00860A0A"/>
    <w:rsid w:val="0086258D"/>
    <w:rsid w:val="00864741"/>
    <w:rsid w:val="008661CA"/>
    <w:rsid w:val="00866599"/>
    <w:rsid w:val="00866F17"/>
    <w:rsid w:val="00867012"/>
    <w:rsid w:val="008676E7"/>
    <w:rsid w:val="00867DF7"/>
    <w:rsid w:val="00870834"/>
    <w:rsid w:val="008709FE"/>
    <w:rsid w:val="00870ED8"/>
    <w:rsid w:val="00871070"/>
    <w:rsid w:val="008721B6"/>
    <w:rsid w:val="00872DF5"/>
    <w:rsid w:val="00873378"/>
    <w:rsid w:val="008733F3"/>
    <w:rsid w:val="008735AA"/>
    <w:rsid w:val="008738B6"/>
    <w:rsid w:val="00873988"/>
    <w:rsid w:val="008749B1"/>
    <w:rsid w:val="00875551"/>
    <w:rsid w:val="008761CF"/>
    <w:rsid w:val="00881978"/>
    <w:rsid w:val="0088198A"/>
    <w:rsid w:val="00881C15"/>
    <w:rsid w:val="00881EEF"/>
    <w:rsid w:val="00882523"/>
    <w:rsid w:val="00882C6F"/>
    <w:rsid w:val="00882E8F"/>
    <w:rsid w:val="00885DED"/>
    <w:rsid w:val="00886016"/>
    <w:rsid w:val="008862C5"/>
    <w:rsid w:val="00886F42"/>
    <w:rsid w:val="0089003D"/>
    <w:rsid w:val="008901AB"/>
    <w:rsid w:val="00890DDD"/>
    <w:rsid w:val="00891A15"/>
    <w:rsid w:val="00893A77"/>
    <w:rsid w:val="00895ADB"/>
    <w:rsid w:val="00897172"/>
    <w:rsid w:val="008976AE"/>
    <w:rsid w:val="008A0B8B"/>
    <w:rsid w:val="008A3231"/>
    <w:rsid w:val="008A3476"/>
    <w:rsid w:val="008A3A29"/>
    <w:rsid w:val="008A4BC8"/>
    <w:rsid w:val="008A5A26"/>
    <w:rsid w:val="008A5E58"/>
    <w:rsid w:val="008A6087"/>
    <w:rsid w:val="008B0E56"/>
    <w:rsid w:val="008B0F7E"/>
    <w:rsid w:val="008B1199"/>
    <w:rsid w:val="008B216B"/>
    <w:rsid w:val="008B37E8"/>
    <w:rsid w:val="008B3E8C"/>
    <w:rsid w:val="008B4040"/>
    <w:rsid w:val="008B4670"/>
    <w:rsid w:val="008B47CD"/>
    <w:rsid w:val="008B4889"/>
    <w:rsid w:val="008B4A29"/>
    <w:rsid w:val="008B6B3D"/>
    <w:rsid w:val="008B7123"/>
    <w:rsid w:val="008C00B7"/>
    <w:rsid w:val="008C04BE"/>
    <w:rsid w:val="008C07DD"/>
    <w:rsid w:val="008C253C"/>
    <w:rsid w:val="008C3525"/>
    <w:rsid w:val="008C4819"/>
    <w:rsid w:val="008C491C"/>
    <w:rsid w:val="008C5A9B"/>
    <w:rsid w:val="008C5CB6"/>
    <w:rsid w:val="008C636C"/>
    <w:rsid w:val="008C71FE"/>
    <w:rsid w:val="008D22CD"/>
    <w:rsid w:val="008D22E9"/>
    <w:rsid w:val="008D2778"/>
    <w:rsid w:val="008D2840"/>
    <w:rsid w:val="008D56E9"/>
    <w:rsid w:val="008D5DDB"/>
    <w:rsid w:val="008D6560"/>
    <w:rsid w:val="008D6ECD"/>
    <w:rsid w:val="008E0496"/>
    <w:rsid w:val="008E06F4"/>
    <w:rsid w:val="008E1214"/>
    <w:rsid w:val="008E1889"/>
    <w:rsid w:val="008E2138"/>
    <w:rsid w:val="008E30FC"/>
    <w:rsid w:val="008E4B38"/>
    <w:rsid w:val="008E4D4F"/>
    <w:rsid w:val="008E578A"/>
    <w:rsid w:val="008E6E99"/>
    <w:rsid w:val="008E74F9"/>
    <w:rsid w:val="008E77DB"/>
    <w:rsid w:val="008E7A21"/>
    <w:rsid w:val="008F0BB5"/>
    <w:rsid w:val="008F3F0B"/>
    <w:rsid w:val="00900E99"/>
    <w:rsid w:val="0090421B"/>
    <w:rsid w:val="0090422A"/>
    <w:rsid w:val="00905C0A"/>
    <w:rsid w:val="009074D7"/>
    <w:rsid w:val="0090750A"/>
    <w:rsid w:val="00907D29"/>
    <w:rsid w:val="009100D9"/>
    <w:rsid w:val="00910A0A"/>
    <w:rsid w:val="00911FC8"/>
    <w:rsid w:val="00914149"/>
    <w:rsid w:val="009143A9"/>
    <w:rsid w:val="00914BA6"/>
    <w:rsid w:val="00915E66"/>
    <w:rsid w:val="00917E8C"/>
    <w:rsid w:val="00920AA0"/>
    <w:rsid w:val="00920BA2"/>
    <w:rsid w:val="00923469"/>
    <w:rsid w:val="00926D1D"/>
    <w:rsid w:val="00927720"/>
    <w:rsid w:val="00927ABA"/>
    <w:rsid w:val="0093039A"/>
    <w:rsid w:val="009313E8"/>
    <w:rsid w:val="00932072"/>
    <w:rsid w:val="00932692"/>
    <w:rsid w:val="00935581"/>
    <w:rsid w:val="00935A38"/>
    <w:rsid w:val="00935B0A"/>
    <w:rsid w:val="00936BF9"/>
    <w:rsid w:val="00937610"/>
    <w:rsid w:val="009378E9"/>
    <w:rsid w:val="00940D0A"/>
    <w:rsid w:val="00942C98"/>
    <w:rsid w:val="00942E84"/>
    <w:rsid w:val="00943945"/>
    <w:rsid w:val="00944305"/>
    <w:rsid w:val="00944A2E"/>
    <w:rsid w:val="00944BB9"/>
    <w:rsid w:val="009452B2"/>
    <w:rsid w:val="0094550E"/>
    <w:rsid w:val="00945966"/>
    <w:rsid w:val="00950D5B"/>
    <w:rsid w:val="00951B9F"/>
    <w:rsid w:val="00953454"/>
    <w:rsid w:val="009541F8"/>
    <w:rsid w:val="009560A5"/>
    <w:rsid w:val="00957859"/>
    <w:rsid w:val="00957A91"/>
    <w:rsid w:val="009612C7"/>
    <w:rsid w:val="009616C9"/>
    <w:rsid w:val="00961F82"/>
    <w:rsid w:val="009623AF"/>
    <w:rsid w:val="00964915"/>
    <w:rsid w:val="00967D10"/>
    <w:rsid w:val="009712B8"/>
    <w:rsid w:val="009764D5"/>
    <w:rsid w:val="009768EA"/>
    <w:rsid w:val="00976E04"/>
    <w:rsid w:val="00977879"/>
    <w:rsid w:val="0098026A"/>
    <w:rsid w:val="00981A5B"/>
    <w:rsid w:val="0098225E"/>
    <w:rsid w:val="009822EF"/>
    <w:rsid w:val="00984173"/>
    <w:rsid w:val="00984268"/>
    <w:rsid w:val="00985080"/>
    <w:rsid w:val="0098573F"/>
    <w:rsid w:val="00985A21"/>
    <w:rsid w:val="00990549"/>
    <w:rsid w:val="00990B58"/>
    <w:rsid w:val="0099147A"/>
    <w:rsid w:val="009914DE"/>
    <w:rsid w:val="00992208"/>
    <w:rsid w:val="009922EE"/>
    <w:rsid w:val="00992C3D"/>
    <w:rsid w:val="00993186"/>
    <w:rsid w:val="0099795B"/>
    <w:rsid w:val="009A0520"/>
    <w:rsid w:val="009A063F"/>
    <w:rsid w:val="009A1041"/>
    <w:rsid w:val="009A1DB8"/>
    <w:rsid w:val="009A2B25"/>
    <w:rsid w:val="009A31A6"/>
    <w:rsid w:val="009A3630"/>
    <w:rsid w:val="009A3E55"/>
    <w:rsid w:val="009A42D9"/>
    <w:rsid w:val="009A463F"/>
    <w:rsid w:val="009A4DB4"/>
    <w:rsid w:val="009A537B"/>
    <w:rsid w:val="009A62AD"/>
    <w:rsid w:val="009B102D"/>
    <w:rsid w:val="009B39C5"/>
    <w:rsid w:val="009B5852"/>
    <w:rsid w:val="009B5C74"/>
    <w:rsid w:val="009B67B7"/>
    <w:rsid w:val="009B6D4C"/>
    <w:rsid w:val="009C0521"/>
    <w:rsid w:val="009C0BD7"/>
    <w:rsid w:val="009C0C7E"/>
    <w:rsid w:val="009C14E2"/>
    <w:rsid w:val="009C1B08"/>
    <w:rsid w:val="009C1DC5"/>
    <w:rsid w:val="009C2472"/>
    <w:rsid w:val="009C26D1"/>
    <w:rsid w:val="009C27A1"/>
    <w:rsid w:val="009C27A9"/>
    <w:rsid w:val="009C2D40"/>
    <w:rsid w:val="009C30D5"/>
    <w:rsid w:val="009C3277"/>
    <w:rsid w:val="009C3991"/>
    <w:rsid w:val="009C3DCD"/>
    <w:rsid w:val="009C5030"/>
    <w:rsid w:val="009C52DB"/>
    <w:rsid w:val="009C5F77"/>
    <w:rsid w:val="009C68F8"/>
    <w:rsid w:val="009C72FC"/>
    <w:rsid w:val="009D1377"/>
    <w:rsid w:val="009D14EE"/>
    <w:rsid w:val="009D17AA"/>
    <w:rsid w:val="009D1829"/>
    <w:rsid w:val="009D26CB"/>
    <w:rsid w:val="009D2C09"/>
    <w:rsid w:val="009D3F4F"/>
    <w:rsid w:val="009D4E0C"/>
    <w:rsid w:val="009D6D87"/>
    <w:rsid w:val="009D74BB"/>
    <w:rsid w:val="009E075D"/>
    <w:rsid w:val="009E1FBD"/>
    <w:rsid w:val="009E2131"/>
    <w:rsid w:val="009E2B43"/>
    <w:rsid w:val="009E2C53"/>
    <w:rsid w:val="009E35F6"/>
    <w:rsid w:val="009E6400"/>
    <w:rsid w:val="009E7309"/>
    <w:rsid w:val="009E74B4"/>
    <w:rsid w:val="009E758D"/>
    <w:rsid w:val="009F2B69"/>
    <w:rsid w:val="009F44FC"/>
    <w:rsid w:val="009F5988"/>
    <w:rsid w:val="009F75A9"/>
    <w:rsid w:val="009F78B8"/>
    <w:rsid w:val="009F7D7A"/>
    <w:rsid w:val="00A02996"/>
    <w:rsid w:val="00A02EF0"/>
    <w:rsid w:val="00A031C4"/>
    <w:rsid w:val="00A03D2C"/>
    <w:rsid w:val="00A03E57"/>
    <w:rsid w:val="00A044FF"/>
    <w:rsid w:val="00A04B40"/>
    <w:rsid w:val="00A04B48"/>
    <w:rsid w:val="00A05330"/>
    <w:rsid w:val="00A0540D"/>
    <w:rsid w:val="00A05B60"/>
    <w:rsid w:val="00A0613B"/>
    <w:rsid w:val="00A101D0"/>
    <w:rsid w:val="00A104CB"/>
    <w:rsid w:val="00A10984"/>
    <w:rsid w:val="00A12040"/>
    <w:rsid w:val="00A1281A"/>
    <w:rsid w:val="00A12D51"/>
    <w:rsid w:val="00A12F06"/>
    <w:rsid w:val="00A14BD8"/>
    <w:rsid w:val="00A15061"/>
    <w:rsid w:val="00A1587F"/>
    <w:rsid w:val="00A15EE1"/>
    <w:rsid w:val="00A16F43"/>
    <w:rsid w:val="00A1742D"/>
    <w:rsid w:val="00A201EF"/>
    <w:rsid w:val="00A20660"/>
    <w:rsid w:val="00A20930"/>
    <w:rsid w:val="00A20CF9"/>
    <w:rsid w:val="00A22B7F"/>
    <w:rsid w:val="00A22E47"/>
    <w:rsid w:val="00A232AE"/>
    <w:rsid w:val="00A2604C"/>
    <w:rsid w:val="00A26A5D"/>
    <w:rsid w:val="00A2708A"/>
    <w:rsid w:val="00A2725B"/>
    <w:rsid w:val="00A2733F"/>
    <w:rsid w:val="00A300A9"/>
    <w:rsid w:val="00A316E1"/>
    <w:rsid w:val="00A3270D"/>
    <w:rsid w:val="00A32E73"/>
    <w:rsid w:val="00A3305A"/>
    <w:rsid w:val="00A330A7"/>
    <w:rsid w:val="00A339C8"/>
    <w:rsid w:val="00A33E75"/>
    <w:rsid w:val="00A3428C"/>
    <w:rsid w:val="00A366B5"/>
    <w:rsid w:val="00A36750"/>
    <w:rsid w:val="00A372C4"/>
    <w:rsid w:val="00A40C92"/>
    <w:rsid w:val="00A4121E"/>
    <w:rsid w:val="00A41355"/>
    <w:rsid w:val="00A415A0"/>
    <w:rsid w:val="00A415A9"/>
    <w:rsid w:val="00A415CE"/>
    <w:rsid w:val="00A42ACE"/>
    <w:rsid w:val="00A431CC"/>
    <w:rsid w:val="00A4605F"/>
    <w:rsid w:val="00A468E5"/>
    <w:rsid w:val="00A47534"/>
    <w:rsid w:val="00A5115B"/>
    <w:rsid w:val="00A51283"/>
    <w:rsid w:val="00A51FC4"/>
    <w:rsid w:val="00A53EE2"/>
    <w:rsid w:val="00A55357"/>
    <w:rsid w:val="00A55FC1"/>
    <w:rsid w:val="00A562CA"/>
    <w:rsid w:val="00A5689B"/>
    <w:rsid w:val="00A56E5C"/>
    <w:rsid w:val="00A60C78"/>
    <w:rsid w:val="00A60E39"/>
    <w:rsid w:val="00A620B9"/>
    <w:rsid w:val="00A631CD"/>
    <w:rsid w:val="00A63F78"/>
    <w:rsid w:val="00A643E9"/>
    <w:rsid w:val="00A64C68"/>
    <w:rsid w:val="00A6525E"/>
    <w:rsid w:val="00A65447"/>
    <w:rsid w:val="00A65CB6"/>
    <w:rsid w:val="00A6623D"/>
    <w:rsid w:val="00A66717"/>
    <w:rsid w:val="00A668AD"/>
    <w:rsid w:val="00A7034A"/>
    <w:rsid w:val="00A72331"/>
    <w:rsid w:val="00A724BC"/>
    <w:rsid w:val="00A7267A"/>
    <w:rsid w:val="00A7311E"/>
    <w:rsid w:val="00A74088"/>
    <w:rsid w:val="00A7559A"/>
    <w:rsid w:val="00A76608"/>
    <w:rsid w:val="00A779BC"/>
    <w:rsid w:val="00A80AB2"/>
    <w:rsid w:val="00A80F70"/>
    <w:rsid w:val="00A820CA"/>
    <w:rsid w:val="00A82F81"/>
    <w:rsid w:val="00A84E75"/>
    <w:rsid w:val="00A8505D"/>
    <w:rsid w:val="00A85388"/>
    <w:rsid w:val="00A85E21"/>
    <w:rsid w:val="00A86A99"/>
    <w:rsid w:val="00A906D8"/>
    <w:rsid w:val="00A90DB7"/>
    <w:rsid w:val="00A91AC7"/>
    <w:rsid w:val="00A93FC5"/>
    <w:rsid w:val="00A96A2C"/>
    <w:rsid w:val="00A97A80"/>
    <w:rsid w:val="00A97E58"/>
    <w:rsid w:val="00AA04F7"/>
    <w:rsid w:val="00AA11D1"/>
    <w:rsid w:val="00AA38D7"/>
    <w:rsid w:val="00AA411A"/>
    <w:rsid w:val="00AA5DD0"/>
    <w:rsid w:val="00AA7B4C"/>
    <w:rsid w:val="00AA7EBC"/>
    <w:rsid w:val="00AB049E"/>
    <w:rsid w:val="00AB05AB"/>
    <w:rsid w:val="00AB0EAA"/>
    <w:rsid w:val="00AB126F"/>
    <w:rsid w:val="00AB28D0"/>
    <w:rsid w:val="00AB41B3"/>
    <w:rsid w:val="00AB4474"/>
    <w:rsid w:val="00AB4902"/>
    <w:rsid w:val="00AB4D75"/>
    <w:rsid w:val="00AB5A71"/>
    <w:rsid w:val="00AB6499"/>
    <w:rsid w:val="00AB7741"/>
    <w:rsid w:val="00AC0259"/>
    <w:rsid w:val="00AC265D"/>
    <w:rsid w:val="00AC2E73"/>
    <w:rsid w:val="00AC37CD"/>
    <w:rsid w:val="00AC3E55"/>
    <w:rsid w:val="00AC4516"/>
    <w:rsid w:val="00AC51EB"/>
    <w:rsid w:val="00AC5D2E"/>
    <w:rsid w:val="00AC6993"/>
    <w:rsid w:val="00AC7326"/>
    <w:rsid w:val="00AC77C0"/>
    <w:rsid w:val="00AD2978"/>
    <w:rsid w:val="00AD29AE"/>
    <w:rsid w:val="00AD300F"/>
    <w:rsid w:val="00AD3FC3"/>
    <w:rsid w:val="00AD41F3"/>
    <w:rsid w:val="00AD474D"/>
    <w:rsid w:val="00AD5871"/>
    <w:rsid w:val="00AD62D1"/>
    <w:rsid w:val="00AD644B"/>
    <w:rsid w:val="00AD6FB8"/>
    <w:rsid w:val="00AE0145"/>
    <w:rsid w:val="00AE09E2"/>
    <w:rsid w:val="00AE1CBB"/>
    <w:rsid w:val="00AE1DE4"/>
    <w:rsid w:val="00AE3B80"/>
    <w:rsid w:val="00AE3C86"/>
    <w:rsid w:val="00AE4F6E"/>
    <w:rsid w:val="00AF02DF"/>
    <w:rsid w:val="00AF0AAD"/>
    <w:rsid w:val="00AF0C52"/>
    <w:rsid w:val="00AF107D"/>
    <w:rsid w:val="00AF2129"/>
    <w:rsid w:val="00AF3088"/>
    <w:rsid w:val="00AF3288"/>
    <w:rsid w:val="00AF352C"/>
    <w:rsid w:val="00AF3E0F"/>
    <w:rsid w:val="00AF3F03"/>
    <w:rsid w:val="00AF4612"/>
    <w:rsid w:val="00AF4CC0"/>
    <w:rsid w:val="00AF6218"/>
    <w:rsid w:val="00B007AB"/>
    <w:rsid w:val="00B03F1F"/>
    <w:rsid w:val="00B03F87"/>
    <w:rsid w:val="00B0460A"/>
    <w:rsid w:val="00B052E0"/>
    <w:rsid w:val="00B06307"/>
    <w:rsid w:val="00B06349"/>
    <w:rsid w:val="00B076A5"/>
    <w:rsid w:val="00B07987"/>
    <w:rsid w:val="00B10A4F"/>
    <w:rsid w:val="00B1132B"/>
    <w:rsid w:val="00B114C2"/>
    <w:rsid w:val="00B13BEC"/>
    <w:rsid w:val="00B141A5"/>
    <w:rsid w:val="00B21D2E"/>
    <w:rsid w:val="00B22E2F"/>
    <w:rsid w:val="00B23170"/>
    <w:rsid w:val="00B26FCC"/>
    <w:rsid w:val="00B314D3"/>
    <w:rsid w:val="00B318F2"/>
    <w:rsid w:val="00B31AB6"/>
    <w:rsid w:val="00B326B3"/>
    <w:rsid w:val="00B327F0"/>
    <w:rsid w:val="00B34090"/>
    <w:rsid w:val="00B34746"/>
    <w:rsid w:val="00B36147"/>
    <w:rsid w:val="00B36D44"/>
    <w:rsid w:val="00B37EF9"/>
    <w:rsid w:val="00B4014E"/>
    <w:rsid w:val="00B403B8"/>
    <w:rsid w:val="00B40580"/>
    <w:rsid w:val="00B40DEA"/>
    <w:rsid w:val="00B40EA7"/>
    <w:rsid w:val="00B40FBB"/>
    <w:rsid w:val="00B41025"/>
    <w:rsid w:val="00B41CF6"/>
    <w:rsid w:val="00B42B33"/>
    <w:rsid w:val="00B43258"/>
    <w:rsid w:val="00B43BC0"/>
    <w:rsid w:val="00B4406E"/>
    <w:rsid w:val="00B45093"/>
    <w:rsid w:val="00B4546B"/>
    <w:rsid w:val="00B45D58"/>
    <w:rsid w:val="00B46159"/>
    <w:rsid w:val="00B46A62"/>
    <w:rsid w:val="00B46C0F"/>
    <w:rsid w:val="00B50302"/>
    <w:rsid w:val="00B509A7"/>
    <w:rsid w:val="00B515CC"/>
    <w:rsid w:val="00B5259A"/>
    <w:rsid w:val="00B52F45"/>
    <w:rsid w:val="00B5386E"/>
    <w:rsid w:val="00B553CF"/>
    <w:rsid w:val="00B56B7C"/>
    <w:rsid w:val="00B570A7"/>
    <w:rsid w:val="00B632AD"/>
    <w:rsid w:val="00B66870"/>
    <w:rsid w:val="00B67119"/>
    <w:rsid w:val="00B676A5"/>
    <w:rsid w:val="00B7079F"/>
    <w:rsid w:val="00B714F8"/>
    <w:rsid w:val="00B716B1"/>
    <w:rsid w:val="00B71F26"/>
    <w:rsid w:val="00B75025"/>
    <w:rsid w:val="00B769BD"/>
    <w:rsid w:val="00B76F64"/>
    <w:rsid w:val="00B7710D"/>
    <w:rsid w:val="00B7788F"/>
    <w:rsid w:val="00B80249"/>
    <w:rsid w:val="00B81B1F"/>
    <w:rsid w:val="00B832DE"/>
    <w:rsid w:val="00B84016"/>
    <w:rsid w:val="00B84163"/>
    <w:rsid w:val="00B9069A"/>
    <w:rsid w:val="00B90D57"/>
    <w:rsid w:val="00B91756"/>
    <w:rsid w:val="00B920D6"/>
    <w:rsid w:val="00B928BB"/>
    <w:rsid w:val="00B93075"/>
    <w:rsid w:val="00B94E36"/>
    <w:rsid w:val="00B96937"/>
    <w:rsid w:val="00B978F4"/>
    <w:rsid w:val="00BA047E"/>
    <w:rsid w:val="00BA1EC4"/>
    <w:rsid w:val="00BA2ACC"/>
    <w:rsid w:val="00BA4191"/>
    <w:rsid w:val="00BA5588"/>
    <w:rsid w:val="00BA5886"/>
    <w:rsid w:val="00BA58F1"/>
    <w:rsid w:val="00BA6762"/>
    <w:rsid w:val="00BA6B48"/>
    <w:rsid w:val="00BA6C88"/>
    <w:rsid w:val="00BA7230"/>
    <w:rsid w:val="00BA7781"/>
    <w:rsid w:val="00BA7F76"/>
    <w:rsid w:val="00BB01CF"/>
    <w:rsid w:val="00BB0C35"/>
    <w:rsid w:val="00BB179A"/>
    <w:rsid w:val="00BB20D0"/>
    <w:rsid w:val="00BB27BC"/>
    <w:rsid w:val="00BB396D"/>
    <w:rsid w:val="00BB500E"/>
    <w:rsid w:val="00BB536A"/>
    <w:rsid w:val="00BB547A"/>
    <w:rsid w:val="00BB54F1"/>
    <w:rsid w:val="00BC04E3"/>
    <w:rsid w:val="00BC13B8"/>
    <w:rsid w:val="00BC232D"/>
    <w:rsid w:val="00BC4014"/>
    <w:rsid w:val="00BC4756"/>
    <w:rsid w:val="00BC50D5"/>
    <w:rsid w:val="00BC556E"/>
    <w:rsid w:val="00BC5800"/>
    <w:rsid w:val="00BC63C8"/>
    <w:rsid w:val="00BC6EA4"/>
    <w:rsid w:val="00BC6F6D"/>
    <w:rsid w:val="00BD0895"/>
    <w:rsid w:val="00BD1F5B"/>
    <w:rsid w:val="00BD2338"/>
    <w:rsid w:val="00BD27D1"/>
    <w:rsid w:val="00BD386E"/>
    <w:rsid w:val="00BD4FC3"/>
    <w:rsid w:val="00BD7715"/>
    <w:rsid w:val="00BE172E"/>
    <w:rsid w:val="00BE2DE7"/>
    <w:rsid w:val="00BE384C"/>
    <w:rsid w:val="00BE43BA"/>
    <w:rsid w:val="00BE46B5"/>
    <w:rsid w:val="00BE4BD0"/>
    <w:rsid w:val="00BE508F"/>
    <w:rsid w:val="00BE50F3"/>
    <w:rsid w:val="00BE562C"/>
    <w:rsid w:val="00BE5889"/>
    <w:rsid w:val="00BE5C36"/>
    <w:rsid w:val="00BE5D5F"/>
    <w:rsid w:val="00BE6D48"/>
    <w:rsid w:val="00BE7BAB"/>
    <w:rsid w:val="00BE7D04"/>
    <w:rsid w:val="00BF0C35"/>
    <w:rsid w:val="00BF10C3"/>
    <w:rsid w:val="00BF1361"/>
    <w:rsid w:val="00BF1702"/>
    <w:rsid w:val="00BF471E"/>
    <w:rsid w:val="00BF4BB0"/>
    <w:rsid w:val="00BF5498"/>
    <w:rsid w:val="00BF5B47"/>
    <w:rsid w:val="00C0233D"/>
    <w:rsid w:val="00C05E14"/>
    <w:rsid w:val="00C06915"/>
    <w:rsid w:val="00C06971"/>
    <w:rsid w:val="00C13316"/>
    <w:rsid w:val="00C13DED"/>
    <w:rsid w:val="00C15A1C"/>
    <w:rsid w:val="00C1611E"/>
    <w:rsid w:val="00C16125"/>
    <w:rsid w:val="00C169EA"/>
    <w:rsid w:val="00C16D76"/>
    <w:rsid w:val="00C206A4"/>
    <w:rsid w:val="00C20C30"/>
    <w:rsid w:val="00C21685"/>
    <w:rsid w:val="00C21C87"/>
    <w:rsid w:val="00C22029"/>
    <w:rsid w:val="00C2237B"/>
    <w:rsid w:val="00C22858"/>
    <w:rsid w:val="00C2718A"/>
    <w:rsid w:val="00C278BA"/>
    <w:rsid w:val="00C27A1F"/>
    <w:rsid w:val="00C27C10"/>
    <w:rsid w:val="00C30C0C"/>
    <w:rsid w:val="00C34784"/>
    <w:rsid w:val="00C34A45"/>
    <w:rsid w:val="00C35AEA"/>
    <w:rsid w:val="00C35E36"/>
    <w:rsid w:val="00C37EAB"/>
    <w:rsid w:val="00C37FC6"/>
    <w:rsid w:val="00C41E9D"/>
    <w:rsid w:val="00C430E6"/>
    <w:rsid w:val="00C4321F"/>
    <w:rsid w:val="00C43823"/>
    <w:rsid w:val="00C43D68"/>
    <w:rsid w:val="00C442EA"/>
    <w:rsid w:val="00C44897"/>
    <w:rsid w:val="00C4527C"/>
    <w:rsid w:val="00C458CE"/>
    <w:rsid w:val="00C461FC"/>
    <w:rsid w:val="00C47ABE"/>
    <w:rsid w:val="00C5063C"/>
    <w:rsid w:val="00C5171E"/>
    <w:rsid w:val="00C51FE2"/>
    <w:rsid w:val="00C5297F"/>
    <w:rsid w:val="00C541B9"/>
    <w:rsid w:val="00C54380"/>
    <w:rsid w:val="00C547BF"/>
    <w:rsid w:val="00C548C3"/>
    <w:rsid w:val="00C5519E"/>
    <w:rsid w:val="00C556AC"/>
    <w:rsid w:val="00C55949"/>
    <w:rsid w:val="00C55CFC"/>
    <w:rsid w:val="00C56129"/>
    <w:rsid w:val="00C62A7C"/>
    <w:rsid w:val="00C632D7"/>
    <w:rsid w:val="00C6398C"/>
    <w:rsid w:val="00C6426B"/>
    <w:rsid w:val="00C64515"/>
    <w:rsid w:val="00C64562"/>
    <w:rsid w:val="00C65C07"/>
    <w:rsid w:val="00C66D6E"/>
    <w:rsid w:val="00C71700"/>
    <w:rsid w:val="00C717D5"/>
    <w:rsid w:val="00C7308A"/>
    <w:rsid w:val="00C73B0A"/>
    <w:rsid w:val="00C74789"/>
    <w:rsid w:val="00C75AB5"/>
    <w:rsid w:val="00C7665E"/>
    <w:rsid w:val="00C8073E"/>
    <w:rsid w:val="00C808C1"/>
    <w:rsid w:val="00C80E0C"/>
    <w:rsid w:val="00C81C46"/>
    <w:rsid w:val="00C82089"/>
    <w:rsid w:val="00C82D14"/>
    <w:rsid w:val="00C8369A"/>
    <w:rsid w:val="00C8439F"/>
    <w:rsid w:val="00C86EE8"/>
    <w:rsid w:val="00C91325"/>
    <w:rsid w:val="00C919A7"/>
    <w:rsid w:val="00C9284B"/>
    <w:rsid w:val="00C9369E"/>
    <w:rsid w:val="00C939BD"/>
    <w:rsid w:val="00C93AEC"/>
    <w:rsid w:val="00C94DD0"/>
    <w:rsid w:val="00C95532"/>
    <w:rsid w:val="00C96964"/>
    <w:rsid w:val="00CA01A8"/>
    <w:rsid w:val="00CA38D1"/>
    <w:rsid w:val="00CA3CF5"/>
    <w:rsid w:val="00CA3E87"/>
    <w:rsid w:val="00CA4807"/>
    <w:rsid w:val="00CA4C42"/>
    <w:rsid w:val="00CA4D0E"/>
    <w:rsid w:val="00CA4F1E"/>
    <w:rsid w:val="00CA598C"/>
    <w:rsid w:val="00CA76E1"/>
    <w:rsid w:val="00CB065D"/>
    <w:rsid w:val="00CB075B"/>
    <w:rsid w:val="00CB0DA3"/>
    <w:rsid w:val="00CB167F"/>
    <w:rsid w:val="00CB1832"/>
    <w:rsid w:val="00CB2A4C"/>
    <w:rsid w:val="00CB589A"/>
    <w:rsid w:val="00CB6602"/>
    <w:rsid w:val="00CB70C6"/>
    <w:rsid w:val="00CB7AE4"/>
    <w:rsid w:val="00CC14B2"/>
    <w:rsid w:val="00CC25EB"/>
    <w:rsid w:val="00CC27B7"/>
    <w:rsid w:val="00CC37A7"/>
    <w:rsid w:val="00CC37BC"/>
    <w:rsid w:val="00CC4727"/>
    <w:rsid w:val="00CC4BBE"/>
    <w:rsid w:val="00CC6436"/>
    <w:rsid w:val="00CC67BF"/>
    <w:rsid w:val="00CC6844"/>
    <w:rsid w:val="00CC713E"/>
    <w:rsid w:val="00CD16CB"/>
    <w:rsid w:val="00CD18C2"/>
    <w:rsid w:val="00CD36CE"/>
    <w:rsid w:val="00CD3AFD"/>
    <w:rsid w:val="00CD418A"/>
    <w:rsid w:val="00CD4B72"/>
    <w:rsid w:val="00CD5169"/>
    <w:rsid w:val="00CD5459"/>
    <w:rsid w:val="00CD6469"/>
    <w:rsid w:val="00CE314B"/>
    <w:rsid w:val="00CE317E"/>
    <w:rsid w:val="00CE3A80"/>
    <w:rsid w:val="00CE4157"/>
    <w:rsid w:val="00CE57EA"/>
    <w:rsid w:val="00CE6092"/>
    <w:rsid w:val="00CE688B"/>
    <w:rsid w:val="00CE702A"/>
    <w:rsid w:val="00CE73EA"/>
    <w:rsid w:val="00CE7655"/>
    <w:rsid w:val="00CE7E34"/>
    <w:rsid w:val="00CF02E0"/>
    <w:rsid w:val="00CF1E43"/>
    <w:rsid w:val="00CF2E43"/>
    <w:rsid w:val="00CF38B7"/>
    <w:rsid w:val="00CF4307"/>
    <w:rsid w:val="00CF4E8A"/>
    <w:rsid w:val="00CF5F2E"/>
    <w:rsid w:val="00CF6708"/>
    <w:rsid w:val="00CF6B09"/>
    <w:rsid w:val="00CF714D"/>
    <w:rsid w:val="00D00E1D"/>
    <w:rsid w:val="00D02ECD"/>
    <w:rsid w:val="00D030C7"/>
    <w:rsid w:val="00D04A3A"/>
    <w:rsid w:val="00D06964"/>
    <w:rsid w:val="00D06A53"/>
    <w:rsid w:val="00D0777A"/>
    <w:rsid w:val="00D07FCD"/>
    <w:rsid w:val="00D11B0C"/>
    <w:rsid w:val="00D12E03"/>
    <w:rsid w:val="00D12E9D"/>
    <w:rsid w:val="00D13C92"/>
    <w:rsid w:val="00D14225"/>
    <w:rsid w:val="00D157C7"/>
    <w:rsid w:val="00D157FA"/>
    <w:rsid w:val="00D15D54"/>
    <w:rsid w:val="00D15E72"/>
    <w:rsid w:val="00D16176"/>
    <w:rsid w:val="00D169CF"/>
    <w:rsid w:val="00D16A2C"/>
    <w:rsid w:val="00D206A8"/>
    <w:rsid w:val="00D20DAC"/>
    <w:rsid w:val="00D21AEE"/>
    <w:rsid w:val="00D22DBB"/>
    <w:rsid w:val="00D25F2E"/>
    <w:rsid w:val="00D338AC"/>
    <w:rsid w:val="00D34634"/>
    <w:rsid w:val="00D35EFF"/>
    <w:rsid w:val="00D36205"/>
    <w:rsid w:val="00D36CAC"/>
    <w:rsid w:val="00D41962"/>
    <w:rsid w:val="00D41F67"/>
    <w:rsid w:val="00D4235F"/>
    <w:rsid w:val="00D42398"/>
    <w:rsid w:val="00D4301E"/>
    <w:rsid w:val="00D456D6"/>
    <w:rsid w:val="00D45D1B"/>
    <w:rsid w:val="00D45E47"/>
    <w:rsid w:val="00D47983"/>
    <w:rsid w:val="00D53AD6"/>
    <w:rsid w:val="00D56740"/>
    <w:rsid w:val="00D57643"/>
    <w:rsid w:val="00D62444"/>
    <w:rsid w:val="00D628A3"/>
    <w:rsid w:val="00D638E5"/>
    <w:rsid w:val="00D63925"/>
    <w:rsid w:val="00D6405D"/>
    <w:rsid w:val="00D64179"/>
    <w:rsid w:val="00D64855"/>
    <w:rsid w:val="00D64D0A"/>
    <w:rsid w:val="00D64F65"/>
    <w:rsid w:val="00D6527B"/>
    <w:rsid w:val="00D666C1"/>
    <w:rsid w:val="00D66F46"/>
    <w:rsid w:val="00D66FAF"/>
    <w:rsid w:val="00D6774B"/>
    <w:rsid w:val="00D67820"/>
    <w:rsid w:val="00D70755"/>
    <w:rsid w:val="00D709F8"/>
    <w:rsid w:val="00D72471"/>
    <w:rsid w:val="00D75466"/>
    <w:rsid w:val="00D756DD"/>
    <w:rsid w:val="00D75C84"/>
    <w:rsid w:val="00D75D4E"/>
    <w:rsid w:val="00D77099"/>
    <w:rsid w:val="00D77CFA"/>
    <w:rsid w:val="00D77E07"/>
    <w:rsid w:val="00D77E1D"/>
    <w:rsid w:val="00D8029A"/>
    <w:rsid w:val="00D80DD9"/>
    <w:rsid w:val="00D81F46"/>
    <w:rsid w:val="00D83547"/>
    <w:rsid w:val="00D852D4"/>
    <w:rsid w:val="00D9038C"/>
    <w:rsid w:val="00D90D80"/>
    <w:rsid w:val="00D91CFB"/>
    <w:rsid w:val="00D956EF"/>
    <w:rsid w:val="00D9570C"/>
    <w:rsid w:val="00DA06A9"/>
    <w:rsid w:val="00DA0D5C"/>
    <w:rsid w:val="00DA0F46"/>
    <w:rsid w:val="00DA43FF"/>
    <w:rsid w:val="00DA47A9"/>
    <w:rsid w:val="00DA66A4"/>
    <w:rsid w:val="00DA6A6E"/>
    <w:rsid w:val="00DB0293"/>
    <w:rsid w:val="00DB0919"/>
    <w:rsid w:val="00DB25E4"/>
    <w:rsid w:val="00DB2D6C"/>
    <w:rsid w:val="00DB3B34"/>
    <w:rsid w:val="00DB3E09"/>
    <w:rsid w:val="00DB59A6"/>
    <w:rsid w:val="00DC071C"/>
    <w:rsid w:val="00DC0723"/>
    <w:rsid w:val="00DC1F82"/>
    <w:rsid w:val="00DC282C"/>
    <w:rsid w:val="00DC2AB9"/>
    <w:rsid w:val="00DC429B"/>
    <w:rsid w:val="00DC64E8"/>
    <w:rsid w:val="00DC7A7B"/>
    <w:rsid w:val="00DD03F8"/>
    <w:rsid w:val="00DD1582"/>
    <w:rsid w:val="00DD19E3"/>
    <w:rsid w:val="00DD274C"/>
    <w:rsid w:val="00DD28ED"/>
    <w:rsid w:val="00DD4324"/>
    <w:rsid w:val="00DD4379"/>
    <w:rsid w:val="00DD46FD"/>
    <w:rsid w:val="00DD4F94"/>
    <w:rsid w:val="00DD637F"/>
    <w:rsid w:val="00DD70DD"/>
    <w:rsid w:val="00DD7BD3"/>
    <w:rsid w:val="00DE01EC"/>
    <w:rsid w:val="00DE07C7"/>
    <w:rsid w:val="00DE09FF"/>
    <w:rsid w:val="00DE0D59"/>
    <w:rsid w:val="00DE33B0"/>
    <w:rsid w:val="00DE42F9"/>
    <w:rsid w:val="00DE4895"/>
    <w:rsid w:val="00DE4C29"/>
    <w:rsid w:val="00DE6A71"/>
    <w:rsid w:val="00DE6E3A"/>
    <w:rsid w:val="00DE6EF4"/>
    <w:rsid w:val="00DE7414"/>
    <w:rsid w:val="00DF01C3"/>
    <w:rsid w:val="00DF153F"/>
    <w:rsid w:val="00DF1C51"/>
    <w:rsid w:val="00DF319A"/>
    <w:rsid w:val="00DF56B9"/>
    <w:rsid w:val="00E00E22"/>
    <w:rsid w:val="00E03AC9"/>
    <w:rsid w:val="00E062C6"/>
    <w:rsid w:val="00E06507"/>
    <w:rsid w:val="00E06691"/>
    <w:rsid w:val="00E10320"/>
    <w:rsid w:val="00E11626"/>
    <w:rsid w:val="00E11D48"/>
    <w:rsid w:val="00E121F9"/>
    <w:rsid w:val="00E13056"/>
    <w:rsid w:val="00E145DF"/>
    <w:rsid w:val="00E1535E"/>
    <w:rsid w:val="00E16DDB"/>
    <w:rsid w:val="00E17555"/>
    <w:rsid w:val="00E202E9"/>
    <w:rsid w:val="00E2079F"/>
    <w:rsid w:val="00E20C5C"/>
    <w:rsid w:val="00E2199D"/>
    <w:rsid w:val="00E21FD9"/>
    <w:rsid w:val="00E2270E"/>
    <w:rsid w:val="00E22C17"/>
    <w:rsid w:val="00E236B4"/>
    <w:rsid w:val="00E23B06"/>
    <w:rsid w:val="00E241AC"/>
    <w:rsid w:val="00E2429D"/>
    <w:rsid w:val="00E25FAD"/>
    <w:rsid w:val="00E2706D"/>
    <w:rsid w:val="00E27CFF"/>
    <w:rsid w:val="00E27F60"/>
    <w:rsid w:val="00E33DBD"/>
    <w:rsid w:val="00E35FF3"/>
    <w:rsid w:val="00E36C7A"/>
    <w:rsid w:val="00E37074"/>
    <w:rsid w:val="00E403BA"/>
    <w:rsid w:val="00E405C7"/>
    <w:rsid w:val="00E40F01"/>
    <w:rsid w:val="00E41273"/>
    <w:rsid w:val="00E419E9"/>
    <w:rsid w:val="00E41D17"/>
    <w:rsid w:val="00E41D9C"/>
    <w:rsid w:val="00E41DD6"/>
    <w:rsid w:val="00E4241B"/>
    <w:rsid w:val="00E42D67"/>
    <w:rsid w:val="00E4418B"/>
    <w:rsid w:val="00E44DD3"/>
    <w:rsid w:val="00E4587A"/>
    <w:rsid w:val="00E458BC"/>
    <w:rsid w:val="00E45ABB"/>
    <w:rsid w:val="00E466DD"/>
    <w:rsid w:val="00E47B1C"/>
    <w:rsid w:val="00E523C2"/>
    <w:rsid w:val="00E52A8B"/>
    <w:rsid w:val="00E53E67"/>
    <w:rsid w:val="00E54036"/>
    <w:rsid w:val="00E5457D"/>
    <w:rsid w:val="00E54F18"/>
    <w:rsid w:val="00E550BD"/>
    <w:rsid w:val="00E55D2F"/>
    <w:rsid w:val="00E55E8C"/>
    <w:rsid w:val="00E56691"/>
    <w:rsid w:val="00E56AED"/>
    <w:rsid w:val="00E57CA5"/>
    <w:rsid w:val="00E6013B"/>
    <w:rsid w:val="00E60B78"/>
    <w:rsid w:val="00E60D71"/>
    <w:rsid w:val="00E6175F"/>
    <w:rsid w:val="00E61BD4"/>
    <w:rsid w:val="00E6221A"/>
    <w:rsid w:val="00E63338"/>
    <w:rsid w:val="00E64BE1"/>
    <w:rsid w:val="00E65353"/>
    <w:rsid w:val="00E65AAA"/>
    <w:rsid w:val="00E66706"/>
    <w:rsid w:val="00E701E9"/>
    <w:rsid w:val="00E7080C"/>
    <w:rsid w:val="00E710DA"/>
    <w:rsid w:val="00E72536"/>
    <w:rsid w:val="00E73752"/>
    <w:rsid w:val="00E75F2F"/>
    <w:rsid w:val="00E7627E"/>
    <w:rsid w:val="00E80507"/>
    <w:rsid w:val="00E82578"/>
    <w:rsid w:val="00E8582B"/>
    <w:rsid w:val="00E85891"/>
    <w:rsid w:val="00E87556"/>
    <w:rsid w:val="00E87A2D"/>
    <w:rsid w:val="00E87B12"/>
    <w:rsid w:val="00E91C0D"/>
    <w:rsid w:val="00E924ED"/>
    <w:rsid w:val="00E939A2"/>
    <w:rsid w:val="00E94EF0"/>
    <w:rsid w:val="00E9611D"/>
    <w:rsid w:val="00E96769"/>
    <w:rsid w:val="00E96EB3"/>
    <w:rsid w:val="00E97610"/>
    <w:rsid w:val="00EA1B10"/>
    <w:rsid w:val="00EA1C46"/>
    <w:rsid w:val="00EA23AA"/>
    <w:rsid w:val="00EA3869"/>
    <w:rsid w:val="00EA4A96"/>
    <w:rsid w:val="00EA760D"/>
    <w:rsid w:val="00EA7EC9"/>
    <w:rsid w:val="00EB03F0"/>
    <w:rsid w:val="00EB0D4D"/>
    <w:rsid w:val="00EB1BA0"/>
    <w:rsid w:val="00EB1DE1"/>
    <w:rsid w:val="00EB25FD"/>
    <w:rsid w:val="00EB4A34"/>
    <w:rsid w:val="00EB6D03"/>
    <w:rsid w:val="00EB7A83"/>
    <w:rsid w:val="00EC051C"/>
    <w:rsid w:val="00EC3BDB"/>
    <w:rsid w:val="00EC4308"/>
    <w:rsid w:val="00EC7522"/>
    <w:rsid w:val="00ED083C"/>
    <w:rsid w:val="00ED10D2"/>
    <w:rsid w:val="00ED1466"/>
    <w:rsid w:val="00ED23C9"/>
    <w:rsid w:val="00ED2706"/>
    <w:rsid w:val="00ED3BF6"/>
    <w:rsid w:val="00ED4089"/>
    <w:rsid w:val="00ED40F0"/>
    <w:rsid w:val="00ED4624"/>
    <w:rsid w:val="00ED5DFF"/>
    <w:rsid w:val="00ED629B"/>
    <w:rsid w:val="00ED6405"/>
    <w:rsid w:val="00ED6E2D"/>
    <w:rsid w:val="00ED7349"/>
    <w:rsid w:val="00EE1418"/>
    <w:rsid w:val="00EE1DE0"/>
    <w:rsid w:val="00EE1E3B"/>
    <w:rsid w:val="00EE21DC"/>
    <w:rsid w:val="00EE2B2D"/>
    <w:rsid w:val="00EE3566"/>
    <w:rsid w:val="00EE3945"/>
    <w:rsid w:val="00EE4563"/>
    <w:rsid w:val="00EE52A0"/>
    <w:rsid w:val="00EE5FFB"/>
    <w:rsid w:val="00EE6995"/>
    <w:rsid w:val="00EF0178"/>
    <w:rsid w:val="00EF255E"/>
    <w:rsid w:val="00EF2CB1"/>
    <w:rsid w:val="00EF3120"/>
    <w:rsid w:val="00EF4961"/>
    <w:rsid w:val="00EF4A49"/>
    <w:rsid w:val="00EF54CA"/>
    <w:rsid w:val="00EF6BB9"/>
    <w:rsid w:val="00EF6C6E"/>
    <w:rsid w:val="00EF759D"/>
    <w:rsid w:val="00EF7FF4"/>
    <w:rsid w:val="00F03D6E"/>
    <w:rsid w:val="00F042A4"/>
    <w:rsid w:val="00F053B6"/>
    <w:rsid w:val="00F0547F"/>
    <w:rsid w:val="00F05B6F"/>
    <w:rsid w:val="00F05CF5"/>
    <w:rsid w:val="00F117E8"/>
    <w:rsid w:val="00F1191A"/>
    <w:rsid w:val="00F121C2"/>
    <w:rsid w:val="00F12C01"/>
    <w:rsid w:val="00F13938"/>
    <w:rsid w:val="00F139EA"/>
    <w:rsid w:val="00F15BE1"/>
    <w:rsid w:val="00F17D65"/>
    <w:rsid w:val="00F200CF"/>
    <w:rsid w:val="00F205FD"/>
    <w:rsid w:val="00F21355"/>
    <w:rsid w:val="00F2272A"/>
    <w:rsid w:val="00F22B08"/>
    <w:rsid w:val="00F26F03"/>
    <w:rsid w:val="00F27BB6"/>
    <w:rsid w:val="00F3003E"/>
    <w:rsid w:val="00F319BD"/>
    <w:rsid w:val="00F31BE6"/>
    <w:rsid w:val="00F346BD"/>
    <w:rsid w:val="00F34B52"/>
    <w:rsid w:val="00F35DAC"/>
    <w:rsid w:val="00F36FB3"/>
    <w:rsid w:val="00F37591"/>
    <w:rsid w:val="00F37B96"/>
    <w:rsid w:val="00F40F85"/>
    <w:rsid w:val="00F410A8"/>
    <w:rsid w:val="00F41910"/>
    <w:rsid w:val="00F41B37"/>
    <w:rsid w:val="00F41DE5"/>
    <w:rsid w:val="00F4240B"/>
    <w:rsid w:val="00F42EAF"/>
    <w:rsid w:val="00F4544D"/>
    <w:rsid w:val="00F45C1B"/>
    <w:rsid w:val="00F47D87"/>
    <w:rsid w:val="00F525B8"/>
    <w:rsid w:val="00F5289D"/>
    <w:rsid w:val="00F54045"/>
    <w:rsid w:val="00F54B1C"/>
    <w:rsid w:val="00F556D2"/>
    <w:rsid w:val="00F56070"/>
    <w:rsid w:val="00F57128"/>
    <w:rsid w:val="00F61CDB"/>
    <w:rsid w:val="00F6236B"/>
    <w:rsid w:val="00F625F1"/>
    <w:rsid w:val="00F63410"/>
    <w:rsid w:val="00F63EAD"/>
    <w:rsid w:val="00F64016"/>
    <w:rsid w:val="00F64DB2"/>
    <w:rsid w:val="00F64E6A"/>
    <w:rsid w:val="00F65B8A"/>
    <w:rsid w:val="00F6626E"/>
    <w:rsid w:val="00F70155"/>
    <w:rsid w:val="00F70450"/>
    <w:rsid w:val="00F70E50"/>
    <w:rsid w:val="00F7163A"/>
    <w:rsid w:val="00F72423"/>
    <w:rsid w:val="00F733E0"/>
    <w:rsid w:val="00F73BDD"/>
    <w:rsid w:val="00F75FBD"/>
    <w:rsid w:val="00F77451"/>
    <w:rsid w:val="00F80E2B"/>
    <w:rsid w:val="00F8149D"/>
    <w:rsid w:val="00F816D1"/>
    <w:rsid w:val="00F83299"/>
    <w:rsid w:val="00F851A6"/>
    <w:rsid w:val="00F8555E"/>
    <w:rsid w:val="00F85A2F"/>
    <w:rsid w:val="00F85BB5"/>
    <w:rsid w:val="00F870B6"/>
    <w:rsid w:val="00F908A1"/>
    <w:rsid w:val="00F909E0"/>
    <w:rsid w:val="00F90DED"/>
    <w:rsid w:val="00F90F15"/>
    <w:rsid w:val="00F916BF"/>
    <w:rsid w:val="00F91A9D"/>
    <w:rsid w:val="00F92BE1"/>
    <w:rsid w:val="00F92E31"/>
    <w:rsid w:val="00F9339A"/>
    <w:rsid w:val="00F946D5"/>
    <w:rsid w:val="00F95214"/>
    <w:rsid w:val="00F95574"/>
    <w:rsid w:val="00F95B3F"/>
    <w:rsid w:val="00F96F1A"/>
    <w:rsid w:val="00FA0206"/>
    <w:rsid w:val="00FA033E"/>
    <w:rsid w:val="00FA1678"/>
    <w:rsid w:val="00FA21ED"/>
    <w:rsid w:val="00FA2825"/>
    <w:rsid w:val="00FA5A59"/>
    <w:rsid w:val="00FA60F2"/>
    <w:rsid w:val="00FA6657"/>
    <w:rsid w:val="00FB03C7"/>
    <w:rsid w:val="00FB081B"/>
    <w:rsid w:val="00FB0988"/>
    <w:rsid w:val="00FB2C56"/>
    <w:rsid w:val="00FB5315"/>
    <w:rsid w:val="00FB5A65"/>
    <w:rsid w:val="00FB6CA6"/>
    <w:rsid w:val="00FB6D2A"/>
    <w:rsid w:val="00FB6D64"/>
    <w:rsid w:val="00FB7539"/>
    <w:rsid w:val="00FC06AF"/>
    <w:rsid w:val="00FC08FD"/>
    <w:rsid w:val="00FC0D6C"/>
    <w:rsid w:val="00FC12C0"/>
    <w:rsid w:val="00FC1C0B"/>
    <w:rsid w:val="00FC26D3"/>
    <w:rsid w:val="00FC290C"/>
    <w:rsid w:val="00FC374A"/>
    <w:rsid w:val="00FC3FCC"/>
    <w:rsid w:val="00FC5ADB"/>
    <w:rsid w:val="00FC6634"/>
    <w:rsid w:val="00FC7FD5"/>
    <w:rsid w:val="00FD23F0"/>
    <w:rsid w:val="00FD258F"/>
    <w:rsid w:val="00FD27D0"/>
    <w:rsid w:val="00FD2AB9"/>
    <w:rsid w:val="00FD3C23"/>
    <w:rsid w:val="00FD3FBF"/>
    <w:rsid w:val="00FD404C"/>
    <w:rsid w:val="00FD5736"/>
    <w:rsid w:val="00FD574B"/>
    <w:rsid w:val="00FD6898"/>
    <w:rsid w:val="00FE08A1"/>
    <w:rsid w:val="00FE128B"/>
    <w:rsid w:val="00FE2159"/>
    <w:rsid w:val="00FE2945"/>
    <w:rsid w:val="00FE4523"/>
    <w:rsid w:val="00FE49C9"/>
    <w:rsid w:val="00FE4C77"/>
    <w:rsid w:val="00FE5B22"/>
    <w:rsid w:val="00FE7BFD"/>
    <w:rsid w:val="00FF0D46"/>
    <w:rsid w:val="00FF1033"/>
    <w:rsid w:val="00FF1BEB"/>
    <w:rsid w:val="00FF300D"/>
    <w:rsid w:val="00FF3C35"/>
    <w:rsid w:val="00FF404B"/>
    <w:rsid w:val="00FF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D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1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75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53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5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53C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416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1687"/>
    <w:rPr>
      <w:sz w:val="18"/>
      <w:szCs w:val="18"/>
    </w:rPr>
  </w:style>
  <w:style w:type="paragraph" w:customStyle="1" w:styleId="Default">
    <w:name w:val="Default"/>
    <w:rsid w:val="00C278BA"/>
    <w:pPr>
      <w:widowControl w:val="0"/>
      <w:autoSpaceDE w:val="0"/>
      <w:autoSpaceDN w:val="0"/>
      <w:adjustRightInd w:val="0"/>
    </w:pPr>
    <w:rPr>
      <w:rFonts w:ascii="FangSong" w:hAnsi="FangSong" w:cs="FangSong"/>
      <w:color w:val="000000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4D5F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footnote text"/>
    <w:basedOn w:val="a"/>
    <w:link w:val="Char2"/>
    <w:uiPriority w:val="99"/>
    <w:semiHidden/>
    <w:unhideWhenUsed/>
    <w:rsid w:val="00AB0EAA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AB0EAA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AB0EAA"/>
    <w:rPr>
      <w:vertAlign w:val="superscript"/>
    </w:rPr>
  </w:style>
  <w:style w:type="character" w:styleId="aa">
    <w:name w:val="Placeholder Text"/>
    <w:basedOn w:val="a0"/>
    <w:uiPriority w:val="99"/>
    <w:semiHidden/>
    <w:rsid w:val="003720CF"/>
    <w:rPr>
      <w:color w:val="808080"/>
    </w:rPr>
  </w:style>
  <w:style w:type="character" w:styleId="ab">
    <w:name w:val="Hyperlink"/>
    <w:basedOn w:val="a0"/>
    <w:uiPriority w:val="99"/>
    <w:semiHidden/>
    <w:unhideWhenUsed/>
    <w:rsid w:val="00240102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240102"/>
    <w:rPr>
      <w:color w:val="800080"/>
      <w:u w:val="single"/>
    </w:rPr>
  </w:style>
  <w:style w:type="paragraph" w:customStyle="1" w:styleId="xl67">
    <w:name w:val="xl67"/>
    <w:basedOn w:val="a"/>
    <w:rsid w:val="002401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240102"/>
    <w:pPr>
      <w:widowControl/>
      <w:spacing w:before="100" w:beforeAutospacing="1" w:after="100" w:afterAutospacing="1"/>
      <w:ind w:firstLineChars="100" w:firstLine="1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D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1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75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53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5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53C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416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1687"/>
    <w:rPr>
      <w:sz w:val="18"/>
      <w:szCs w:val="18"/>
    </w:rPr>
  </w:style>
  <w:style w:type="paragraph" w:customStyle="1" w:styleId="Default">
    <w:name w:val="Default"/>
    <w:rsid w:val="00C278BA"/>
    <w:pPr>
      <w:widowControl w:val="0"/>
      <w:autoSpaceDE w:val="0"/>
      <w:autoSpaceDN w:val="0"/>
      <w:adjustRightInd w:val="0"/>
    </w:pPr>
    <w:rPr>
      <w:rFonts w:ascii="FangSong" w:hAnsi="FangSong" w:cs="FangSong"/>
      <w:color w:val="000000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4D5F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footnote text"/>
    <w:basedOn w:val="a"/>
    <w:link w:val="Char2"/>
    <w:uiPriority w:val="99"/>
    <w:semiHidden/>
    <w:unhideWhenUsed/>
    <w:rsid w:val="00AB0EAA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AB0EAA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AB0EAA"/>
    <w:rPr>
      <w:vertAlign w:val="superscript"/>
    </w:rPr>
  </w:style>
  <w:style w:type="character" w:styleId="aa">
    <w:name w:val="Placeholder Text"/>
    <w:basedOn w:val="a0"/>
    <w:uiPriority w:val="99"/>
    <w:semiHidden/>
    <w:rsid w:val="003720CF"/>
    <w:rPr>
      <w:color w:val="808080"/>
    </w:rPr>
  </w:style>
  <w:style w:type="character" w:styleId="ab">
    <w:name w:val="Hyperlink"/>
    <w:basedOn w:val="a0"/>
    <w:uiPriority w:val="99"/>
    <w:semiHidden/>
    <w:unhideWhenUsed/>
    <w:rsid w:val="00240102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240102"/>
    <w:rPr>
      <w:color w:val="800080"/>
      <w:u w:val="single"/>
    </w:rPr>
  </w:style>
  <w:style w:type="paragraph" w:customStyle="1" w:styleId="xl67">
    <w:name w:val="xl67"/>
    <w:basedOn w:val="a"/>
    <w:rsid w:val="002401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240102"/>
    <w:pPr>
      <w:widowControl/>
      <w:spacing w:before="100" w:beforeAutospacing="1" w:after="100" w:afterAutospacing="1"/>
      <w:ind w:firstLineChars="100" w:firstLine="1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3CEDD-AA4D-448F-9EE4-5C6C34189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13</Pages>
  <Words>793</Words>
  <Characters>4525</Characters>
  <Application>Microsoft Office Word</Application>
  <DocSecurity>0</DocSecurity>
  <Lines>37</Lines>
  <Paragraphs>10</Paragraphs>
  <ScaleCrop>false</ScaleCrop>
  <Company>xmrcb</Company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chenkexmrcb</dc:creator>
  <cp:lastModifiedBy>ck</cp:lastModifiedBy>
  <cp:revision>55</cp:revision>
  <cp:lastPrinted>2020-06-04T07:22:00Z</cp:lastPrinted>
  <dcterms:created xsi:type="dcterms:W3CDTF">2021-05-13T09:40:00Z</dcterms:created>
  <dcterms:modified xsi:type="dcterms:W3CDTF">2021-06-04T05:55:00Z</dcterms:modified>
</cp:coreProperties>
</file>