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83D" w:rsidRPr="00045E09" w:rsidRDefault="00AB6499" w:rsidP="00AB41B3">
      <w:pPr>
        <w:adjustRightInd w:val="0"/>
        <w:snapToGrid w:val="0"/>
        <w:spacing w:line="480" w:lineRule="exact"/>
        <w:jc w:val="left"/>
        <w:rPr>
          <w:rFonts w:asciiTheme="majorEastAsia" w:eastAsiaTheme="majorEastAsia" w:hAnsiTheme="majorEastAsia" w:cs="Times New Roman"/>
          <w:b/>
          <w:sz w:val="40"/>
          <w:szCs w:val="32"/>
        </w:rPr>
      </w:pPr>
      <w:r w:rsidRPr="00045E09">
        <w:rPr>
          <w:rFonts w:ascii="Arial Unicode MS" w:eastAsia="Arial Unicode MS" w:hAnsi="Arial Unicode MS" w:cs="Arial Unicode MS" w:hint="eastAsia"/>
          <w:sz w:val="40"/>
          <w:szCs w:val="44"/>
        </w:rPr>
        <w:t>∙</w:t>
      </w:r>
      <w:r w:rsidR="00FB6CA6" w:rsidRPr="00045E09">
        <w:rPr>
          <w:rFonts w:asciiTheme="majorEastAsia" w:eastAsiaTheme="majorEastAsia" w:hAnsiTheme="majorEastAsia" w:cs="Times New Roman" w:hint="eastAsia"/>
          <w:b/>
          <w:sz w:val="40"/>
          <w:szCs w:val="32"/>
        </w:rPr>
        <w:t>业务概况</w:t>
      </w:r>
    </w:p>
    <w:tbl>
      <w:tblPr>
        <w:tblStyle w:val="a3"/>
        <w:tblW w:w="14208" w:type="dxa"/>
        <w:jc w:val="right"/>
        <w:tblInd w:w="1864" w:type="dxa"/>
        <w:tblLook w:val="04A0" w:firstRow="1" w:lastRow="0" w:firstColumn="1" w:lastColumn="0" w:noHBand="0" w:noVBand="1"/>
      </w:tblPr>
      <w:tblGrid>
        <w:gridCol w:w="1560"/>
        <w:gridCol w:w="5670"/>
        <w:gridCol w:w="1276"/>
        <w:gridCol w:w="2039"/>
        <w:gridCol w:w="1788"/>
        <w:gridCol w:w="1875"/>
      </w:tblGrid>
      <w:tr w:rsidR="0045726E" w:rsidRPr="00045E09" w:rsidTr="00B81B1F">
        <w:trPr>
          <w:jc w:val="right"/>
        </w:trPr>
        <w:tc>
          <w:tcPr>
            <w:tcW w:w="1560" w:type="dxa"/>
            <w:tcBorders>
              <w:bottom w:val="single" w:sz="4" w:space="0" w:color="auto"/>
            </w:tcBorders>
            <w:shd w:val="clear" w:color="auto" w:fill="548DD4" w:themeFill="text2" w:themeFillTint="99"/>
          </w:tcPr>
          <w:p w:rsidR="0045726E" w:rsidRPr="00045E09" w:rsidRDefault="0045726E" w:rsidP="002865CC">
            <w:pPr>
              <w:adjustRightInd w:val="0"/>
              <w:snapToGrid w:val="0"/>
              <w:jc w:val="center"/>
              <w:rPr>
                <w:rFonts w:asciiTheme="majorEastAsia" w:eastAsiaTheme="majorEastAsia" w:hAnsiTheme="majorEastAsia" w:cs="Times New Roman"/>
                <w:b/>
                <w:color w:val="FFFFFF" w:themeColor="background1"/>
                <w:sz w:val="24"/>
                <w:szCs w:val="32"/>
              </w:rPr>
            </w:pPr>
            <w:r w:rsidRPr="00045E09">
              <w:rPr>
                <w:rFonts w:asciiTheme="majorEastAsia" w:eastAsiaTheme="majorEastAsia" w:hAnsiTheme="majorEastAsia" w:cs="Times New Roman"/>
                <w:b/>
                <w:color w:val="FFFFFF" w:themeColor="background1"/>
                <w:sz w:val="24"/>
                <w:szCs w:val="32"/>
              </w:rPr>
              <w:t>业务板块</w:t>
            </w:r>
          </w:p>
        </w:tc>
        <w:tc>
          <w:tcPr>
            <w:tcW w:w="5670" w:type="dxa"/>
            <w:tcBorders>
              <w:bottom w:val="single" w:sz="4" w:space="0" w:color="auto"/>
            </w:tcBorders>
            <w:shd w:val="clear" w:color="auto" w:fill="548DD4" w:themeFill="text2" w:themeFillTint="99"/>
          </w:tcPr>
          <w:p w:rsidR="0045726E" w:rsidRPr="00045E09" w:rsidRDefault="0045726E" w:rsidP="002865CC">
            <w:pPr>
              <w:adjustRightInd w:val="0"/>
              <w:snapToGrid w:val="0"/>
              <w:jc w:val="center"/>
              <w:rPr>
                <w:rFonts w:asciiTheme="majorEastAsia" w:eastAsiaTheme="majorEastAsia" w:hAnsiTheme="majorEastAsia" w:cs="Times New Roman"/>
                <w:b/>
                <w:color w:val="FFFFFF" w:themeColor="background1"/>
                <w:sz w:val="24"/>
                <w:szCs w:val="32"/>
              </w:rPr>
            </w:pPr>
            <w:r w:rsidRPr="00045E09">
              <w:rPr>
                <w:rFonts w:asciiTheme="majorEastAsia" w:eastAsiaTheme="majorEastAsia" w:hAnsiTheme="majorEastAsia" w:cs="Times New Roman" w:hint="eastAsia"/>
                <w:b/>
                <w:color w:val="FFFFFF" w:themeColor="background1"/>
                <w:sz w:val="24"/>
                <w:szCs w:val="32"/>
              </w:rPr>
              <w:t>交易品种</w:t>
            </w:r>
          </w:p>
        </w:tc>
        <w:tc>
          <w:tcPr>
            <w:tcW w:w="1276" w:type="dxa"/>
            <w:tcBorders>
              <w:bottom w:val="single" w:sz="4" w:space="0" w:color="auto"/>
            </w:tcBorders>
            <w:shd w:val="clear" w:color="auto" w:fill="548DD4" w:themeFill="text2" w:themeFillTint="99"/>
          </w:tcPr>
          <w:p w:rsidR="0045726E" w:rsidRPr="00045E09" w:rsidRDefault="0045726E" w:rsidP="002865CC">
            <w:pPr>
              <w:adjustRightInd w:val="0"/>
              <w:snapToGrid w:val="0"/>
              <w:jc w:val="center"/>
              <w:rPr>
                <w:rFonts w:asciiTheme="majorEastAsia" w:eastAsiaTheme="majorEastAsia" w:hAnsiTheme="majorEastAsia" w:cs="Times New Roman"/>
                <w:b/>
                <w:color w:val="FFFFFF" w:themeColor="background1"/>
                <w:sz w:val="24"/>
                <w:szCs w:val="32"/>
              </w:rPr>
            </w:pPr>
            <w:r w:rsidRPr="00045E09">
              <w:rPr>
                <w:rFonts w:asciiTheme="majorEastAsia" w:eastAsiaTheme="majorEastAsia" w:hAnsiTheme="majorEastAsia" w:cs="Times New Roman" w:hint="eastAsia"/>
                <w:b/>
                <w:color w:val="FFFFFF" w:themeColor="background1"/>
                <w:sz w:val="24"/>
                <w:szCs w:val="32"/>
              </w:rPr>
              <w:t>笔数</w:t>
            </w:r>
          </w:p>
        </w:tc>
        <w:tc>
          <w:tcPr>
            <w:tcW w:w="2039" w:type="dxa"/>
            <w:tcBorders>
              <w:bottom w:val="single" w:sz="4" w:space="0" w:color="auto"/>
            </w:tcBorders>
            <w:shd w:val="clear" w:color="auto" w:fill="548DD4" w:themeFill="text2" w:themeFillTint="99"/>
          </w:tcPr>
          <w:p w:rsidR="0045726E" w:rsidRPr="00045E09" w:rsidRDefault="0045726E" w:rsidP="002865CC">
            <w:pPr>
              <w:adjustRightInd w:val="0"/>
              <w:snapToGrid w:val="0"/>
              <w:jc w:val="center"/>
              <w:rPr>
                <w:rFonts w:asciiTheme="majorEastAsia" w:eastAsiaTheme="majorEastAsia" w:hAnsiTheme="majorEastAsia" w:cs="Times New Roman"/>
                <w:b/>
                <w:color w:val="FFFFFF" w:themeColor="background1"/>
                <w:sz w:val="24"/>
                <w:szCs w:val="32"/>
              </w:rPr>
            </w:pPr>
            <w:r w:rsidRPr="00045E09">
              <w:rPr>
                <w:rFonts w:asciiTheme="majorEastAsia" w:eastAsiaTheme="majorEastAsia" w:hAnsiTheme="majorEastAsia" w:cs="Times New Roman" w:hint="eastAsia"/>
                <w:b/>
                <w:color w:val="FFFFFF" w:themeColor="background1"/>
                <w:sz w:val="24"/>
                <w:szCs w:val="32"/>
              </w:rPr>
              <w:t>合计金额</w:t>
            </w:r>
          </w:p>
        </w:tc>
        <w:tc>
          <w:tcPr>
            <w:tcW w:w="1788" w:type="dxa"/>
            <w:tcBorders>
              <w:bottom w:val="single" w:sz="4" w:space="0" w:color="auto"/>
            </w:tcBorders>
            <w:shd w:val="clear" w:color="auto" w:fill="548DD4" w:themeFill="text2" w:themeFillTint="99"/>
          </w:tcPr>
          <w:p w:rsidR="0045726E" w:rsidRPr="00045E09" w:rsidRDefault="0045726E" w:rsidP="002865CC">
            <w:pPr>
              <w:adjustRightInd w:val="0"/>
              <w:snapToGrid w:val="0"/>
              <w:jc w:val="center"/>
              <w:rPr>
                <w:rFonts w:asciiTheme="majorEastAsia" w:eastAsiaTheme="majorEastAsia" w:hAnsiTheme="majorEastAsia" w:cs="Times New Roman"/>
                <w:b/>
                <w:color w:val="FFFFFF" w:themeColor="background1"/>
                <w:sz w:val="24"/>
                <w:szCs w:val="32"/>
              </w:rPr>
            </w:pPr>
            <w:r w:rsidRPr="00045E09">
              <w:rPr>
                <w:rFonts w:asciiTheme="majorEastAsia" w:eastAsiaTheme="majorEastAsia" w:hAnsiTheme="majorEastAsia" w:cs="Times New Roman" w:hint="eastAsia"/>
                <w:b/>
                <w:color w:val="FFFFFF" w:themeColor="background1"/>
                <w:sz w:val="24"/>
                <w:szCs w:val="32"/>
              </w:rPr>
              <w:t>最大金额</w:t>
            </w:r>
          </w:p>
        </w:tc>
        <w:tc>
          <w:tcPr>
            <w:tcW w:w="1875" w:type="dxa"/>
            <w:tcBorders>
              <w:bottom w:val="single" w:sz="4" w:space="0" w:color="auto"/>
            </w:tcBorders>
            <w:shd w:val="clear" w:color="auto" w:fill="548DD4" w:themeFill="text2" w:themeFillTint="99"/>
          </w:tcPr>
          <w:p w:rsidR="0045726E" w:rsidRPr="00045E09" w:rsidRDefault="0045726E" w:rsidP="002865CC">
            <w:pPr>
              <w:adjustRightInd w:val="0"/>
              <w:snapToGrid w:val="0"/>
              <w:jc w:val="center"/>
              <w:rPr>
                <w:rFonts w:asciiTheme="majorEastAsia" w:eastAsiaTheme="majorEastAsia" w:hAnsiTheme="majorEastAsia" w:cs="Times New Roman"/>
                <w:b/>
                <w:color w:val="FFFFFF" w:themeColor="background1"/>
                <w:sz w:val="24"/>
                <w:szCs w:val="32"/>
              </w:rPr>
            </w:pPr>
            <w:r w:rsidRPr="00045E09">
              <w:rPr>
                <w:rFonts w:asciiTheme="majorEastAsia" w:eastAsiaTheme="majorEastAsia" w:hAnsiTheme="majorEastAsia" w:cs="Times New Roman" w:hint="eastAsia"/>
                <w:b/>
                <w:color w:val="FFFFFF" w:themeColor="background1"/>
                <w:sz w:val="24"/>
                <w:szCs w:val="32"/>
              </w:rPr>
              <w:t>最小金额</w:t>
            </w:r>
          </w:p>
        </w:tc>
      </w:tr>
      <w:tr w:rsidR="00757845" w:rsidRPr="00045E09" w:rsidTr="00B81B1F">
        <w:trPr>
          <w:jc w:val="right"/>
        </w:trPr>
        <w:tc>
          <w:tcPr>
            <w:tcW w:w="1560" w:type="dxa"/>
            <w:shd w:val="clear" w:color="auto" w:fill="FFFFFF" w:themeFill="background1"/>
            <w:vAlign w:val="center"/>
          </w:tcPr>
          <w:p w:rsidR="00757845" w:rsidRPr="00045E09" w:rsidRDefault="001042D6" w:rsidP="002865CC">
            <w:pPr>
              <w:adjustRightInd w:val="0"/>
              <w:snapToGrid w:val="0"/>
              <w:jc w:val="center"/>
              <w:rPr>
                <w:rFonts w:asciiTheme="majorEastAsia" w:eastAsiaTheme="majorEastAsia" w:hAnsiTheme="majorEastAsia" w:cs="Times New Roman"/>
                <w:sz w:val="24"/>
                <w:szCs w:val="32"/>
              </w:rPr>
            </w:pPr>
            <w:r w:rsidRPr="001042D6">
              <w:rPr>
                <w:rFonts w:asciiTheme="majorEastAsia" w:eastAsiaTheme="majorEastAsia" w:hAnsiTheme="majorEastAsia" w:cs="Times New Roman" w:hint="eastAsia"/>
                <w:sz w:val="24"/>
                <w:szCs w:val="32"/>
              </w:rPr>
              <w:t>自营业务</w:t>
            </w:r>
          </w:p>
        </w:tc>
        <w:tc>
          <w:tcPr>
            <w:tcW w:w="5670" w:type="dxa"/>
            <w:shd w:val="clear" w:color="auto" w:fill="FFFFFF" w:themeFill="background1"/>
          </w:tcPr>
          <w:p w:rsidR="00757845" w:rsidRPr="00045E09" w:rsidRDefault="00757845" w:rsidP="00045E09">
            <w:pPr>
              <w:adjustRightInd w:val="0"/>
              <w:snapToGrid w:val="0"/>
              <w:jc w:val="center"/>
              <w:rPr>
                <w:rFonts w:asciiTheme="majorEastAsia" w:eastAsiaTheme="majorEastAsia" w:hAnsiTheme="majorEastAsia" w:cs="Times New Roman"/>
                <w:sz w:val="24"/>
                <w:szCs w:val="32"/>
              </w:rPr>
            </w:pPr>
          </w:p>
        </w:tc>
        <w:tc>
          <w:tcPr>
            <w:tcW w:w="1276" w:type="dxa"/>
            <w:shd w:val="clear" w:color="auto" w:fill="FFFFFF" w:themeFill="background1"/>
          </w:tcPr>
          <w:p w:rsidR="00757845" w:rsidRPr="00045E09" w:rsidRDefault="00757845" w:rsidP="00045E09">
            <w:pPr>
              <w:adjustRightInd w:val="0"/>
              <w:snapToGrid w:val="0"/>
              <w:jc w:val="center"/>
              <w:rPr>
                <w:rFonts w:asciiTheme="majorEastAsia" w:eastAsiaTheme="majorEastAsia" w:hAnsiTheme="majorEastAsia" w:cs="Times New Roman"/>
                <w:sz w:val="24"/>
                <w:szCs w:val="32"/>
              </w:rPr>
            </w:pPr>
          </w:p>
        </w:tc>
        <w:tc>
          <w:tcPr>
            <w:tcW w:w="2039" w:type="dxa"/>
            <w:shd w:val="clear" w:color="auto" w:fill="FFFFFF" w:themeFill="background1"/>
          </w:tcPr>
          <w:p w:rsidR="00757845" w:rsidRPr="00045E09" w:rsidRDefault="00757845" w:rsidP="00045E09">
            <w:pPr>
              <w:adjustRightInd w:val="0"/>
              <w:snapToGrid w:val="0"/>
              <w:jc w:val="center"/>
              <w:rPr>
                <w:rFonts w:asciiTheme="majorEastAsia" w:eastAsiaTheme="majorEastAsia" w:hAnsiTheme="majorEastAsia" w:cs="Times New Roman"/>
                <w:sz w:val="24"/>
                <w:szCs w:val="32"/>
              </w:rPr>
            </w:pPr>
          </w:p>
        </w:tc>
        <w:tc>
          <w:tcPr>
            <w:tcW w:w="1788" w:type="dxa"/>
            <w:shd w:val="clear" w:color="auto" w:fill="FFFFFF" w:themeFill="background1"/>
          </w:tcPr>
          <w:p w:rsidR="00757845" w:rsidRPr="00045E09" w:rsidRDefault="00757845" w:rsidP="002865CC">
            <w:pPr>
              <w:adjustRightInd w:val="0"/>
              <w:snapToGrid w:val="0"/>
              <w:jc w:val="center"/>
              <w:rPr>
                <w:rFonts w:asciiTheme="majorEastAsia" w:eastAsiaTheme="majorEastAsia" w:hAnsiTheme="majorEastAsia" w:cs="Times New Roman"/>
                <w:sz w:val="24"/>
                <w:szCs w:val="32"/>
              </w:rPr>
            </w:pPr>
          </w:p>
        </w:tc>
        <w:tc>
          <w:tcPr>
            <w:tcW w:w="1875" w:type="dxa"/>
            <w:shd w:val="clear" w:color="auto" w:fill="FFFFFF" w:themeFill="background1"/>
          </w:tcPr>
          <w:p w:rsidR="00757845" w:rsidRPr="00045E09" w:rsidRDefault="00757845" w:rsidP="00045E09">
            <w:pPr>
              <w:adjustRightInd w:val="0"/>
              <w:snapToGrid w:val="0"/>
              <w:jc w:val="center"/>
              <w:rPr>
                <w:rFonts w:asciiTheme="majorEastAsia" w:eastAsiaTheme="majorEastAsia" w:hAnsiTheme="majorEastAsia" w:cs="Times New Roman"/>
                <w:sz w:val="24"/>
                <w:szCs w:val="32"/>
              </w:rPr>
            </w:pPr>
          </w:p>
        </w:tc>
      </w:tr>
      <w:tr w:rsidR="0045726E" w:rsidRPr="00E13056" w:rsidTr="00B81B1F">
        <w:trPr>
          <w:jc w:val="right"/>
        </w:trPr>
        <w:tc>
          <w:tcPr>
            <w:tcW w:w="1560" w:type="dxa"/>
            <w:shd w:val="clear" w:color="auto" w:fill="FFFFFF" w:themeFill="background1"/>
            <w:vAlign w:val="center"/>
          </w:tcPr>
          <w:p w:rsidR="0045726E" w:rsidRPr="00045E09" w:rsidRDefault="001042D6" w:rsidP="002865CC">
            <w:pPr>
              <w:adjustRightInd w:val="0"/>
              <w:snapToGrid w:val="0"/>
              <w:jc w:val="center"/>
              <w:rPr>
                <w:rFonts w:asciiTheme="majorEastAsia" w:eastAsiaTheme="majorEastAsia" w:hAnsiTheme="majorEastAsia" w:cs="Times New Roman"/>
                <w:sz w:val="24"/>
                <w:szCs w:val="32"/>
              </w:rPr>
            </w:pPr>
            <w:r w:rsidRPr="001042D6">
              <w:rPr>
                <w:rFonts w:asciiTheme="majorEastAsia" w:eastAsiaTheme="majorEastAsia" w:hAnsiTheme="majorEastAsia" w:cs="Times New Roman" w:hint="eastAsia"/>
                <w:sz w:val="24"/>
                <w:szCs w:val="32"/>
              </w:rPr>
              <w:t>理财业务</w:t>
            </w:r>
          </w:p>
        </w:tc>
        <w:tc>
          <w:tcPr>
            <w:tcW w:w="5670" w:type="dxa"/>
            <w:shd w:val="clear" w:color="auto" w:fill="FFFFFF" w:themeFill="background1"/>
          </w:tcPr>
          <w:p w:rsidR="0045726E" w:rsidRPr="00045E09" w:rsidRDefault="0045726E" w:rsidP="002865CC">
            <w:pPr>
              <w:adjustRightInd w:val="0"/>
              <w:snapToGrid w:val="0"/>
              <w:jc w:val="center"/>
              <w:rPr>
                <w:rFonts w:asciiTheme="majorEastAsia" w:eastAsiaTheme="majorEastAsia" w:hAnsiTheme="majorEastAsia" w:cs="Times New Roman"/>
                <w:sz w:val="24"/>
                <w:szCs w:val="32"/>
              </w:rPr>
            </w:pPr>
          </w:p>
        </w:tc>
        <w:tc>
          <w:tcPr>
            <w:tcW w:w="1276" w:type="dxa"/>
            <w:shd w:val="clear" w:color="auto" w:fill="FFFFFF" w:themeFill="background1"/>
          </w:tcPr>
          <w:p w:rsidR="0045726E" w:rsidRPr="00045E09" w:rsidRDefault="0045726E" w:rsidP="002865CC">
            <w:pPr>
              <w:adjustRightInd w:val="0"/>
              <w:snapToGrid w:val="0"/>
              <w:jc w:val="center"/>
              <w:rPr>
                <w:rFonts w:asciiTheme="majorEastAsia" w:eastAsiaTheme="majorEastAsia" w:hAnsiTheme="majorEastAsia" w:cs="Times New Roman"/>
                <w:sz w:val="24"/>
                <w:szCs w:val="32"/>
              </w:rPr>
            </w:pPr>
          </w:p>
        </w:tc>
        <w:tc>
          <w:tcPr>
            <w:tcW w:w="2039" w:type="dxa"/>
            <w:shd w:val="clear" w:color="auto" w:fill="FFFFFF" w:themeFill="background1"/>
          </w:tcPr>
          <w:p w:rsidR="0045726E" w:rsidRPr="00045E09" w:rsidRDefault="0045726E" w:rsidP="00045E09">
            <w:pPr>
              <w:adjustRightInd w:val="0"/>
              <w:snapToGrid w:val="0"/>
              <w:jc w:val="center"/>
              <w:rPr>
                <w:rFonts w:asciiTheme="majorEastAsia" w:eastAsiaTheme="majorEastAsia" w:hAnsiTheme="majorEastAsia" w:cs="Times New Roman"/>
                <w:sz w:val="24"/>
                <w:szCs w:val="32"/>
              </w:rPr>
            </w:pPr>
          </w:p>
        </w:tc>
        <w:tc>
          <w:tcPr>
            <w:tcW w:w="1788" w:type="dxa"/>
            <w:shd w:val="clear" w:color="auto" w:fill="FFFFFF" w:themeFill="background1"/>
          </w:tcPr>
          <w:p w:rsidR="0045726E" w:rsidRPr="00045E09" w:rsidRDefault="0045726E" w:rsidP="00045E09">
            <w:pPr>
              <w:adjustRightInd w:val="0"/>
              <w:snapToGrid w:val="0"/>
              <w:jc w:val="center"/>
              <w:rPr>
                <w:rFonts w:asciiTheme="majorEastAsia" w:eastAsiaTheme="majorEastAsia" w:hAnsiTheme="majorEastAsia" w:cs="Times New Roman"/>
                <w:sz w:val="24"/>
                <w:szCs w:val="32"/>
              </w:rPr>
            </w:pPr>
          </w:p>
        </w:tc>
        <w:tc>
          <w:tcPr>
            <w:tcW w:w="1875" w:type="dxa"/>
            <w:shd w:val="clear" w:color="auto" w:fill="FFFFFF" w:themeFill="background1"/>
          </w:tcPr>
          <w:p w:rsidR="0045726E" w:rsidRPr="00045E09" w:rsidRDefault="0045726E" w:rsidP="00045E09">
            <w:pPr>
              <w:adjustRightInd w:val="0"/>
              <w:snapToGrid w:val="0"/>
              <w:jc w:val="center"/>
              <w:rPr>
                <w:rFonts w:asciiTheme="majorEastAsia" w:eastAsiaTheme="majorEastAsia" w:hAnsiTheme="majorEastAsia" w:cs="Times New Roman"/>
                <w:sz w:val="24"/>
                <w:szCs w:val="32"/>
              </w:rPr>
            </w:pPr>
          </w:p>
        </w:tc>
      </w:tr>
    </w:tbl>
    <w:p w:rsidR="008C491C" w:rsidRPr="00F946D5" w:rsidRDefault="008C491C" w:rsidP="00AB41B3">
      <w:pPr>
        <w:adjustRightInd w:val="0"/>
        <w:snapToGrid w:val="0"/>
        <w:spacing w:line="480" w:lineRule="exact"/>
        <w:jc w:val="left"/>
        <w:rPr>
          <w:rFonts w:ascii="Arial Unicode MS" w:eastAsia="Arial Unicode MS" w:hAnsi="Arial Unicode MS" w:cs="Arial Unicode MS"/>
          <w:sz w:val="40"/>
          <w:szCs w:val="44"/>
        </w:rPr>
      </w:pPr>
      <w:r w:rsidRPr="00F946D5">
        <w:rPr>
          <w:rFonts w:ascii="Arial Unicode MS" w:eastAsia="Arial Unicode MS" w:hAnsi="Arial Unicode MS" w:cs="Arial Unicode MS" w:hint="eastAsia"/>
          <w:sz w:val="40"/>
          <w:szCs w:val="44"/>
        </w:rPr>
        <w:t>∙</w:t>
      </w:r>
      <w:r w:rsidRPr="00F946D5">
        <w:rPr>
          <w:rFonts w:asciiTheme="majorEastAsia" w:eastAsiaTheme="majorEastAsia" w:hAnsiTheme="majorEastAsia" w:cs="Times New Roman" w:hint="eastAsia"/>
          <w:b/>
          <w:sz w:val="40"/>
          <w:szCs w:val="32"/>
        </w:rPr>
        <w:t>风险概况</w:t>
      </w:r>
    </w:p>
    <w:tbl>
      <w:tblPr>
        <w:tblStyle w:val="a3"/>
        <w:tblW w:w="0" w:type="auto"/>
        <w:tblLayout w:type="fixed"/>
        <w:tblLook w:val="04A0" w:firstRow="1" w:lastRow="0" w:firstColumn="1" w:lastColumn="0" w:noHBand="0" w:noVBand="1"/>
      </w:tblPr>
      <w:tblGrid>
        <w:gridCol w:w="1526"/>
        <w:gridCol w:w="1276"/>
        <w:gridCol w:w="1701"/>
        <w:gridCol w:w="1417"/>
        <w:gridCol w:w="2552"/>
        <w:gridCol w:w="1984"/>
        <w:gridCol w:w="1843"/>
        <w:gridCol w:w="1843"/>
      </w:tblGrid>
      <w:tr w:rsidR="00DD19E3" w:rsidRPr="00F946D5" w:rsidTr="00203757">
        <w:tc>
          <w:tcPr>
            <w:tcW w:w="1526" w:type="dxa"/>
            <w:shd w:val="clear" w:color="auto" w:fill="548DD4" w:themeFill="text2" w:themeFillTint="99"/>
          </w:tcPr>
          <w:p w:rsidR="00F72423" w:rsidRPr="00F946D5" w:rsidRDefault="00F72423" w:rsidP="002865CC">
            <w:pPr>
              <w:adjustRightInd w:val="0"/>
              <w:snapToGrid w:val="0"/>
              <w:jc w:val="center"/>
              <w:rPr>
                <w:rFonts w:asciiTheme="majorEastAsia" w:eastAsiaTheme="majorEastAsia" w:hAnsiTheme="majorEastAsia" w:cs="Times New Roman"/>
                <w:b/>
                <w:color w:val="FFFFFF" w:themeColor="background1"/>
                <w:sz w:val="24"/>
                <w:szCs w:val="32"/>
              </w:rPr>
            </w:pPr>
            <w:r w:rsidRPr="00F946D5">
              <w:rPr>
                <w:rFonts w:asciiTheme="majorEastAsia" w:eastAsiaTheme="majorEastAsia" w:hAnsiTheme="majorEastAsia" w:cs="Times New Roman" w:hint="eastAsia"/>
                <w:b/>
                <w:color w:val="FFFFFF" w:themeColor="background1"/>
                <w:sz w:val="24"/>
                <w:szCs w:val="32"/>
              </w:rPr>
              <w:t>业务板块</w:t>
            </w:r>
          </w:p>
        </w:tc>
        <w:tc>
          <w:tcPr>
            <w:tcW w:w="1276" w:type="dxa"/>
            <w:shd w:val="clear" w:color="auto" w:fill="548DD4" w:themeFill="text2" w:themeFillTint="99"/>
          </w:tcPr>
          <w:p w:rsidR="00F72423" w:rsidRPr="00F946D5" w:rsidRDefault="00F72423" w:rsidP="002865CC">
            <w:pPr>
              <w:adjustRightInd w:val="0"/>
              <w:snapToGrid w:val="0"/>
              <w:jc w:val="center"/>
              <w:rPr>
                <w:rFonts w:asciiTheme="majorEastAsia" w:eastAsiaTheme="majorEastAsia" w:hAnsiTheme="majorEastAsia" w:cs="Times New Roman"/>
                <w:b/>
                <w:color w:val="FFFFFF" w:themeColor="background1"/>
                <w:sz w:val="24"/>
                <w:szCs w:val="32"/>
              </w:rPr>
            </w:pPr>
            <w:r w:rsidRPr="00F946D5">
              <w:rPr>
                <w:rFonts w:asciiTheme="majorEastAsia" w:eastAsiaTheme="majorEastAsia" w:hAnsiTheme="majorEastAsia" w:cs="Times New Roman" w:hint="eastAsia"/>
                <w:b/>
                <w:color w:val="FFFFFF" w:themeColor="background1"/>
                <w:sz w:val="24"/>
                <w:szCs w:val="32"/>
              </w:rPr>
              <w:t>主体</w:t>
            </w:r>
          </w:p>
        </w:tc>
        <w:tc>
          <w:tcPr>
            <w:tcW w:w="1701" w:type="dxa"/>
            <w:shd w:val="clear" w:color="auto" w:fill="548DD4" w:themeFill="text2" w:themeFillTint="99"/>
          </w:tcPr>
          <w:p w:rsidR="00F72423" w:rsidRPr="00F946D5" w:rsidRDefault="00F72423" w:rsidP="002865CC">
            <w:pPr>
              <w:adjustRightInd w:val="0"/>
              <w:snapToGrid w:val="0"/>
              <w:jc w:val="center"/>
              <w:rPr>
                <w:rFonts w:asciiTheme="majorEastAsia" w:eastAsiaTheme="majorEastAsia" w:hAnsiTheme="majorEastAsia" w:cs="Times New Roman"/>
                <w:b/>
                <w:color w:val="FFFFFF" w:themeColor="background1"/>
                <w:sz w:val="24"/>
                <w:szCs w:val="32"/>
              </w:rPr>
            </w:pPr>
            <w:r w:rsidRPr="00F946D5">
              <w:rPr>
                <w:rFonts w:asciiTheme="majorEastAsia" w:eastAsiaTheme="majorEastAsia" w:hAnsiTheme="majorEastAsia" w:cs="Times New Roman" w:hint="eastAsia"/>
                <w:b/>
                <w:color w:val="FFFFFF" w:themeColor="background1"/>
                <w:sz w:val="24"/>
                <w:szCs w:val="32"/>
              </w:rPr>
              <w:t>&gt;1亿主体</w:t>
            </w:r>
          </w:p>
        </w:tc>
        <w:tc>
          <w:tcPr>
            <w:tcW w:w="1417" w:type="dxa"/>
            <w:shd w:val="clear" w:color="auto" w:fill="548DD4" w:themeFill="text2" w:themeFillTint="99"/>
          </w:tcPr>
          <w:p w:rsidR="00F72423" w:rsidRPr="00F946D5" w:rsidRDefault="00F72423" w:rsidP="002865CC">
            <w:pPr>
              <w:adjustRightInd w:val="0"/>
              <w:snapToGrid w:val="0"/>
              <w:jc w:val="center"/>
              <w:rPr>
                <w:rFonts w:asciiTheme="majorEastAsia" w:eastAsiaTheme="majorEastAsia" w:hAnsiTheme="majorEastAsia" w:cs="Times New Roman"/>
                <w:b/>
                <w:color w:val="FFFFFF" w:themeColor="background1"/>
                <w:sz w:val="24"/>
                <w:szCs w:val="32"/>
              </w:rPr>
            </w:pPr>
            <w:proofErr w:type="gramStart"/>
            <w:r w:rsidRPr="00F946D5">
              <w:rPr>
                <w:rFonts w:asciiTheme="majorEastAsia" w:eastAsiaTheme="majorEastAsia" w:hAnsiTheme="majorEastAsia" w:cs="Times New Roman" w:hint="eastAsia"/>
                <w:b/>
                <w:color w:val="FFFFFF" w:themeColor="background1"/>
                <w:sz w:val="24"/>
                <w:szCs w:val="32"/>
              </w:rPr>
              <w:t>久期</w:t>
            </w:r>
            <w:proofErr w:type="gramEnd"/>
          </w:p>
        </w:tc>
        <w:tc>
          <w:tcPr>
            <w:tcW w:w="2552" w:type="dxa"/>
            <w:shd w:val="clear" w:color="auto" w:fill="548DD4" w:themeFill="text2" w:themeFillTint="99"/>
          </w:tcPr>
          <w:p w:rsidR="00F72423" w:rsidRPr="00F946D5" w:rsidRDefault="00F72423" w:rsidP="002865CC">
            <w:pPr>
              <w:adjustRightInd w:val="0"/>
              <w:snapToGrid w:val="0"/>
              <w:jc w:val="center"/>
              <w:rPr>
                <w:rFonts w:asciiTheme="majorEastAsia" w:eastAsiaTheme="majorEastAsia" w:hAnsiTheme="majorEastAsia" w:cs="Times New Roman"/>
                <w:b/>
                <w:color w:val="FFFFFF" w:themeColor="background1"/>
                <w:sz w:val="24"/>
                <w:szCs w:val="32"/>
              </w:rPr>
            </w:pPr>
            <w:r w:rsidRPr="00F946D5">
              <w:rPr>
                <w:rFonts w:asciiTheme="majorEastAsia" w:eastAsiaTheme="majorEastAsia" w:hAnsiTheme="majorEastAsia" w:cs="Times New Roman" w:hint="eastAsia"/>
                <w:b/>
                <w:color w:val="FFFFFF" w:themeColor="background1"/>
                <w:sz w:val="24"/>
                <w:szCs w:val="32"/>
              </w:rPr>
              <w:t>杠杆率</w:t>
            </w:r>
          </w:p>
        </w:tc>
        <w:tc>
          <w:tcPr>
            <w:tcW w:w="1984" w:type="dxa"/>
            <w:shd w:val="clear" w:color="auto" w:fill="548DD4" w:themeFill="text2" w:themeFillTint="99"/>
          </w:tcPr>
          <w:p w:rsidR="00F72423" w:rsidRPr="00F946D5" w:rsidRDefault="00056C0D" w:rsidP="002865CC">
            <w:pPr>
              <w:adjustRightInd w:val="0"/>
              <w:snapToGrid w:val="0"/>
              <w:jc w:val="center"/>
              <w:rPr>
                <w:rFonts w:asciiTheme="majorEastAsia" w:eastAsiaTheme="majorEastAsia" w:hAnsiTheme="majorEastAsia" w:cs="Times New Roman"/>
                <w:b/>
                <w:color w:val="FFFFFF" w:themeColor="background1"/>
                <w:sz w:val="24"/>
                <w:szCs w:val="32"/>
              </w:rPr>
            </w:pPr>
            <w:r w:rsidRPr="00F946D5">
              <w:rPr>
                <w:rFonts w:asciiTheme="majorEastAsia" w:eastAsiaTheme="majorEastAsia" w:hAnsiTheme="majorEastAsia" w:cs="Times New Roman" w:hint="eastAsia"/>
                <w:b/>
                <w:color w:val="FFFFFF" w:themeColor="background1"/>
                <w:sz w:val="24"/>
                <w:szCs w:val="32"/>
              </w:rPr>
              <w:t>止损</w:t>
            </w:r>
          </w:p>
        </w:tc>
        <w:tc>
          <w:tcPr>
            <w:tcW w:w="1843" w:type="dxa"/>
            <w:tcBorders>
              <w:bottom w:val="single" w:sz="4" w:space="0" w:color="auto"/>
            </w:tcBorders>
            <w:shd w:val="clear" w:color="auto" w:fill="548DD4" w:themeFill="text2" w:themeFillTint="99"/>
          </w:tcPr>
          <w:p w:rsidR="00F72423" w:rsidRPr="00F946D5" w:rsidRDefault="00F72423" w:rsidP="002865CC">
            <w:pPr>
              <w:adjustRightInd w:val="0"/>
              <w:snapToGrid w:val="0"/>
              <w:jc w:val="center"/>
              <w:rPr>
                <w:rFonts w:asciiTheme="majorEastAsia" w:eastAsiaTheme="majorEastAsia" w:hAnsiTheme="majorEastAsia" w:cs="Times New Roman"/>
                <w:b/>
                <w:color w:val="FFFFFF" w:themeColor="background1"/>
                <w:sz w:val="24"/>
                <w:szCs w:val="32"/>
              </w:rPr>
            </w:pPr>
            <w:r w:rsidRPr="00F946D5">
              <w:rPr>
                <w:rFonts w:asciiTheme="majorEastAsia" w:eastAsiaTheme="majorEastAsia" w:hAnsiTheme="majorEastAsia" w:cs="Times New Roman" w:hint="eastAsia"/>
                <w:b/>
                <w:color w:val="FFFFFF" w:themeColor="background1"/>
                <w:sz w:val="24"/>
                <w:szCs w:val="32"/>
              </w:rPr>
              <w:t>预警</w:t>
            </w:r>
          </w:p>
        </w:tc>
        <w:tc>
          <w:tcPr>
            <w:tcW w:w="1843" w:type="dxa"/>
            <w:shd w:val="clear" w:color="auto" w:fill="548DD4" w:themeFill="text2" w:themeFillTint="99"/>
          </w:tcPr>
          <w:p w:rsidR="00F72423" w:rsidRPr="00F946D5" w:rsidRDefault="00F72423" w:rsidP="002865CC">
            <w:pPr>
              <w:adjustRightInd w:val="0"/>
              <w:snapToGrid w:val="0"/>
              <w:jc w:val="center"/>
              <w:rPr>
                <w:rFonts w:asciiTheme="majorEastAsia" w:eastAsiaTheme="majorEastAsia" w:hAnsiTheme="majorEastAsia" w:cs="Times New Roman"/>
                <w:b/>
                <w:color w:val="FFFFFF" w:themeColor="background1"/>
                <w:sz w:val="24"/>
                <w:szCs w:val="32"/>
              </w:rPr>
            </w:pPr>
            <w:r w:rsidRPr="00F946D5">
              <w:rPr>
                <w:rFonts w:asciiTheme="majorEastAsia" w:eastAsiaTheme="majorEastAsia" w:hAnsiTheme="majorEastAsia" w:cs="Times New Roman" w:hint="eastAsia"/>
                <w:b/>
                <w:color w:val="FFFFFF" w:themeColor="background1"/>
                <w:sz w:val="24"/>
                <w:szCs w:val="32"/>
              </w:rPr>
              <w:t>违约</w:t>
            </w:r>
          </w:p>
        </w:tc>
      </w:tr>
      <w:tr w:rsidR="00056C0D" w:rsidRPr="00F946D5" w:rsidTr="00056C0D">
        <w:tc>
          <w:tcPr>
            <w:tcW w:w="1526" w:type="dxa"/>
          </w:tcPr>
          <w:p w:rsidR="00056C0D" w:rsidRPr="00F946D5" w:rsidRDefault="00056C0D" w:rsidP="002865CC">
            <w:pPr>
              <w:adjustRightInd w:val="0"/>
              <w:snapToGrid w:val="0"/>
              <w:jc w:val="center"/>
              <w:rPr>
                <w:rFonts w:asciiTheme="majorEastAsia" w:eastAsiaTheme="majorEastAsia" w:hAnsiTheme="majorEastAsia" w:cs="Times New Roman"/>
                <w:sz w:val="24"/>
                <w:szCs w:val="32"/>
              </w:rPr>
            </w:pPr>
            <w:r w:rsidRPr="00F946D5">
              <w:rPr>
                <w:rFonts w:asciiTheme="majorEastAsia" w:eastAsiaTheme="majorEastAsia" w:hAnsiTheme="majorEastAsia" w:cs="Times New Roman" w:hint="eastAsia"/>
                <w:sz w:val="24"/>
                <w:szCs w:val="32"/>
              </w:rPr>
              <w:t>自营业务</w:t>
            </w:r>
          </w:p>
        </w:tc>
        <w:tc>
          <w:tcPr>
            <w:tcW w:w="1276" w:type="dxa"/>
          </w:tcPr>
          <w:p w:rsidR="00056C0D" w:rsidRPr="00F946D5" w:rsidRDefault="00056C0D" w:rsidP="002865CC">
            <w:pPr>
              <w:adjustRightInd w:val="0"/>
              <w:snapToGrid w:val="0"/>
              <w:jc w:val="center"/>
              <w:rPr>
                <w:rFonts w:asciiTheme="majorEastAsia" w:eastAsiaTheme="majorEastAsia" w:hAnsiTheme="majorEastAsia" w:cs="Times New Roman"/>
                <w:sz w:val="24"/>
                <w:szCs w:val="32"/>
              </w:rPr>
            </w:pPr>
          </w:p>
        </w:tc>
        <w:tc>
          <w:tcPr>
            <w:tcW w:w="1701" w:type="dxa"/>
          </w:tcPr>
          <w:p w:rsidR="00056C0D" w:rsidRPr="00F946D5" w:rsidRDefault="00056C0D" w:rsidP="002865CC">
            <w:pPr>
              <w:adjustRightInd w:val="0"/>
              <w:snapToGrid w:val="0"/>
              <w:jc w:val="center"/>
              <w:rPr>
                <w:rFonts w:asciiTheme="majorEastAsia" w:eastAsiaTheme="majorEastAsia" w:hAnsiTheme="majorEastAsia" w:cs="Times New Roman"/>
                <w:sz w:val="24"/>
                <w:szCs w:val="32"/>
              </w:rPr>
            </w:pPr>
          </w:p>
        </w:tc>
        <w:tc>
          <w:tcPr>
            <w:tcW w:w="1417" w:type="dxa"/>
          </w:tcPr>
          <w:p w:rsidR="00056C0D" w:rsidRPr="00F946D5" w:rsidRDefault="00056C0D" w:rsidP="00F946D5">
            <w:pPr>
              <w:adjustRightInd w:val="0"/>
              <w:snapToGrid w:val="0"/>
              <w:jc w:val="center"/>
              <w:rPr>
                <w:rFonts w:asciiTheme="majorEastAsia" w:eastAsiaTheme="majorEastAsia" w:hAnsiTheme="majorEastAsia" w:cs="Times New Roman"/>
                <w:sz w:val="24"/>
                <w:szCs w:val="32"/>
              </w:rPr>
            </w:pPr>
          </w:p>
        </w:tc>
        <w:tc>
          <w:tcPr>
            <w:tcW w:w="2552" w:type="dxa"/>
          </w:tcPr>
          <w:p w:rsidR="00056C0D" w:rsidRPr="00F946D5" w:rsidRDefault="00056C0D" w:rsidP="002865CC">
            <w:pPr>
              <w:adjustRightInd w:val="0"/>
              <w:snapToGrid w:val="0"/>
              <w:jc w:val="center"/>
              <w:rPr>
                <w:rFonts w:asciiTheme="majorEastAsia" w:eastAsiaTheme="majorEastAsia" w:hAnsiTheme="majorEastAsia" w:cs="Times New Roman"/>
                <w:sz w:val="24"/>
                <w:szCs w:val="32"/>
              </w:rPr>
            </w:pPr>
          </w:p>
        </w:tc>
        <w:tc>
          <w:tcPr>
            <w:tcW w:w="1984" w:type="dxa"/>
            <w:vMerge w:val="restart"/>
            <w:vAlign w:val="center"/>
          </w:tcPr>
          <w:p w:rsidR="00056C0D" w:rsidRPr="00F946D5" w:rsidRDefault="00056C0D" w:rsidP="002865CC">
            <w:pPr>
              <w:adjustRightInd w:val="0"/>
              <w:snapToGrid w:val="0"/>
              <w:jc w:val="center"/>
              <w:rPr>
                <w:rFonts w:asciiTheme="majorEastAsia" w:eastAsiaTheme="majorEastAsia" w:hAnsiTheme="majorEastAsia" w:cs="Times New Roman"/>
                <w:sz w:val="24"/>
                <w:szCs w:val="32"/>
              </w:rPr>
            </w:pPr>
          </w:p>
        </w:tc>
        <w:tc>
          <w:tcPr>
            <w:tcW w:w="1843" w:type="dxa"/>
            <w:vMerge w:val="restart"/>
            <w:shd w:val="clear" w:color="auto" w:fill="FFFFFF" w:themeFill="background1"/>
            <w:vAlign w:val="center"/>
          </w:tcPr>
          <w:p w:rsidR="00056C0D" w:rsidRPr="00F946D5" w:rsidRDefault="00056C0D" w:rsidP="002865CC">
            <w:pPr>
              <w:adjustRightInd w:val="0"/>
              <w:snapToGrid w:val="0"/>
              <w:jc w:val="center"/>
              <w:rPr>
                <w:rFonts w:asciiTheme="majorEastAsia" w:eastAsiaTheme="majorEastAsia" w:hAnsiTheme="majorEastAsia" w:cs="Times New Roman"/>
                <w:sz w:val="24"/>
                <w:szCs w:val="32"/>
              </w:rPr>
            </w:pPr>
          </w:p>
        </w:tc>
        <w:tc>
          <w:tcPr>
            <w:tcW w:w="1843" w:type="dxa"/>
            <w:vMerge w:val="restart"/>
            <w:vAlign w:val="center"/>
          </w:tcPr>
          <w:p w:rsidR="00056C0D" w:rsidRPr="00F946D5" w:rsidRDefault="00056C0D" w:rsidP="002865CC">
            <w:pPr>
              <w:adjustRightInd w:val="0"/>
              <w:snapToGrid w:val="0"/>
              <w:jc w:val="center"/>
              <w:rPr>
                <w:rFonts w:asciiTheme="majorEastAsia" w:eastAsiaTheme="majorEastAsia" w:hAnsiTheme="majorEastAsia" w:cs="Times New Roman"/>
                <w:sz w:val="24"/>
                <w:szCs w:val="32"/>
              </w:rPr>
            </w:pPr>
          </w:p>
        </w:tc>
      </w:tr>
      <w:tr w:rsidR="00056C0D" w:rsidRPr="00F946D5" w:rsidTr="00DE09FF">
        <w:tc>
          <w:tcPr>
            <w:tcW w:w="1526" w:type="dxa"/>
            <w:tcBorders>
              <w:bottom w:val="single" w:sz="4" w:space="0" w:color="auto"/>
            </w:tcBorders>
          </w:tcPr>
          <w:p w:rsidR="00056C0D" w:rsidRPr="00F946D5" w:rsidRDefault="00056C0D" w:rsidP="002865CC">
            <w:pPr>
              <w:adjustRightInd w:val="0"/>
              <w:snapToGrid w:val="0"/>
              <w:jc w:val="center"/>
              <w:rPr>
                <w:rFonts w:asciiTheme="majorEastAsia" w:eastAsiaTheme="majorEastAsia" w:hAnsiTheme="majorEastAsia" w:cs="Times New Roman"/>
                <w:sz w:val="24"/>
                <w:szCs w:val="32"/>
              </w:rPr>
            </w:pPr>
            <w:r w:rsidRPr="00F946D5">
              <w:rPr>
                <w:rFonts w:asciiTheme="majorEastAsia" w:eastAsiaTheme="majorEastAsia" w:hAnsiTheme="majorEastAsia" w:cs="Times New Roman" w:hint="eastAsia"/>
                <w:sz w:val="24"/>
                <w:szCs w:val="32"/>
              </w:rPr>
              <w:t>理财业务</w:t>
            </w:r>
          </w:p>
        </w:tc>
        <w:tc>
          <w:tcPr>
            <w:tcW w:w="1276" w:type="dxa"/>
            <w:tcBorders>
              <w:bottom w:val="single" w:sz="4" w:space="0" w:color="auto"/>
            </w:tcBorders>
          </w:tcPr>
          <w:p w:rsidR="00056C0D" w:rsidRPr="00F946D5" w:rsidRDefault="00056C0D" w:rsidP="002865CC">
            <w:pPr>
              <w:adjustRightInd w:val="0"/>
              <w:snapToGrid w:val="0"/>
              <w:jc w:val="center"/>
              <w:rPr>
                <w:rFonts w:asciiTheme="majorEastAsia" w:eastAsiaTheme="majorEastAsia" w:hAnsiTheme="majorEastAsia" w:cs="Times New Roman"/>
                <w:sz w:val="24"/>
                <w:szCs w:val="32"/>
              </w:rPr>
            </w:pPr>
          </w:p>
        </w:tc>
        <w:tc>
          <w:tcPr>
            <w:tcW w:w="1701" w:type="dxa"/>
            <w:tcBorders>
              <w:bottom w:val="single" w:sz="4" w:space="0" w:color="auto"/>
            </w:tcBorders>
          </w:tcPr>
          <w:p w:rsidR="00056C0D" w:rsidRPr="00F946D5" w:rsidRDefault="00056C0D" w:rsidP="00F946D5">
            <w:pPr>
              <w:adjustRightInd w:val="0"/>
              <w:snapToGrid w:val="0"/>
              <w:jc w:val="center"/>
              <w:rPr>
                <w:rFonts w:asciiTheme="majorEastAsia" w:eastAsiaTheme="majorEastAsia" w:hAnsiTheme="majorEastAsia" w:cs="Times New Roman"/>
                <w:sz w:val="24"/>
                <w:szCs w:val="32"/>
              </w:rPr>
            </w:pPr>
          </w:p>
        </w:tc>
        <w:tc>
          <w:tcPr>
            <w:tcW w:w="1417" w:type="dxa"/>
            <w:tcBorders>
              <w:bottom w:val="single" w:sz="4" w:space="0" w:color="auto"/>
            </w:tcBorders>
          </w:tcPr>
          <w:p w:rsidR="00056C0D" w:rsidRPr="00F946D5" w:rsidRDefault="00056C0D" w:rsidP="00F946D5">
            <w:pPr>
              <w:adjustRightInd w:val="0"/>
              <w:snapToGrid w:val="0"/>
              <w:jc w:val="center"/>
              <w:rPr>
                <w:rFonts w:asciiTheme="majorEastAsia" w:eastAsiaTheme="majorEastAsia" w:hAnsiTheme="majorEastAsia" w:cs="Times New Roman"/>
                <w:sz w:val="24"/>
                <w:szCs w:val="32"/>
              </w:rPr>
            </w:pPr>
          </w:p>
        </w:tc>
        <w:tc>
          <w:tcPr>
            <w:tcW w:w="2552" w:type="dxa"/>
            <w:tcBorders>
              <w:bottom w:val="single" w:sz="4" w:space="0" w:color="auto"/>
            </w:tcBorders>
          </w:tcPr>
          <w:p w:rsidR="00056C0D" w:rsidRPr="00F946D5" w:rsidRDefault="00056C0D" w:rsidP="002865CC">
            <w:pPr>
              <w:adjustRightInd w:val="0"/>
              <w:snapToGrid w:val="0"/>
              <w:jc w:val="center"/>
              <w:rPr>
                <w:rFonts w:ascii="宋体" w:eastAsia="宋体" w:hAnsi="宋体" w:cs="宋体"/>
                <w:color w:val="000000"/>
                <w:sz w:val="24"/>
              </w:rPr>
            </w:pPr>
          </w:p>
        </w:tc>
        <w:tc>
          <w:tcPr>
            <w:tcW w:w="1984" w:type="dxa"/>
            <w:vMerge/>
            <w:tcBorders>
              <w:bottom w:val="single" w:sz="4" w:space="0" w:color="auto"/>
            </w:tcBorders>
          </w:tcPr>
          <w:p w:rsidR="00056C0D" w:rsidRPr="00F946D5" w:rsidRDefault="00056C0D" w:rsidP="002865CC">
            <w:pPr>
              <w:adjustRightInd w:val="0"/>
              <w:snapToGrid w:val="0"/>
              <w:jc w:val="center"/>
              <w:rPr>
                <w:rFonts w:asciiTheme="majorEastAsia" w:eastAsiaTheme="majorEastAsia" w:hAnsiTheme="majorEastAsia" w:cs="Times New Roman"/>
                <w:sz w:val="24"/>
                <w:szCs w:val="32"/>
              </w:rPr>
            </w:pPr>
          </w:p>
        </w:tc>
        <w:tc>
          <w:tcPr>
            <w:tcW w:w="1843" w:type="dxa"/>
            <w:vMerge/>
            <w:tcBorders>
              <w:bottom w:val="single" w:sz="4" w:space="0" w:color="auto"/>
            </w:tcBorders>
            <w:shd w:val="clear" w:color="auto" w:fill="FFFFFF" w:themeFill="background1"/>
          </w:tcPr>
          <w:p w:rsidR="00056C0D" w:rsidRPr="00F946D5" w:rsidRDefault="00056C0D" w:rsidP="002865CC">
            <w:pPr>
              <w:adjustRightInd w:val="0"/>
              <w:snapToGrid w:val="0"/>
              <w:jc w:val="center"/>
              <w:rPr>
                <w:rFonts w:asciiTheme="majorEastAsia" w:eastAsiaTheme="majorEastAsia" w:hAnsiTheme="majorEastAsia" w:cs="Times New Roman"/>
                <w:sz w:val="24"/>
                <w:szCs w:val="32"/>
              </w:rPr>
            </w:pPr>
          </w:p>
        </w:tc>
        <w:tc>
          <w:tcPr>
            <w:tcW w:w="1843" w:type="dxa"/>
            <w:vMerge/>
            <w:tcBorders>
              <w:bottom w:val="single" w:sz="4" w:space="0" w:color="auto"/>
            </w:tcBorders>
          </w:tcPr>
          <w:p w:rsidR="00056C0D" w:rsidRPr="00F946D5" w:rsidRDefault="00056C0D" w:rsidP="002865CC">
            <w:pPr>
              <w:adjustRightInd w:val="0"/>
              <w:snapToGrid w:val="0"/>
              <w:jc w:val="center"/>
              <w:rPr>
                <w:rFonts w:asciiTheme="majorEastAsia" w:eastAsiaTheme="majorEastAsia" w:hAnsiTheme="majorEastAsia" w:cs="Times New Roman"/>
                <w:sz w:val="24"/>
                <w:szCs w:val="32"/>
              </w:rPr>
            </w:pPr>
          </w:p>
        </w:tc>
      </w:tr>
      <w:tr w:rsidR="00115E67" w:rsidRPr="00E13056" w:rsidTr="005F41B6">
        <w:tc>
          <w:tcPr>
            <w:tcW w:w="1526" w:type="dxa"/>
            <w:shd w:val="clear" w:color="auto" w:fill="548DD4" w:themeFill="text2" w:themeFillTint="99"/>
          </w:tcPr>
          <w:p w:rsidR="00115E67" w:rsidRPr="00F946D5" w:rsidRDefault="00115E67" w:rsidP="002865CC">
            <w:pPr>
              <w:adjustRightInd w:val="0"/>
              <w:snapToGrid w:val="0"/>
              <w:jc w:val="center"/>
              <w:rPr>
                <w:rFonts w:asciiTheme="majorEastAsia" w:eastAsiaTheme="majorEastAsia" w:hAnsiTheme="majorEastAsia" w:cs="Times New Roman"/>
                <w:b/>
                <w:color w:val="FFFFFF" w:themeColor="background1"/>
                <w:sz w:val="24"/>
                <w:szCs w:val="32"/>
              </w:rPr>
            </w:pPr>
            <w:r w:rsidRPr="00F946D5">
              <w:rPr>
                <w:rFonts w:asciiTheme="majorEastAsia" w:eastAsiaTheme="majorEastAsia" w:hAnsiTheme="majorEastAsia" w:cs="Times New Roman" w:hint="eastAsia"/>
                <w:b/>
                <w:color w:val="FFFFFF" w:themeColor="background1"/>
                <w:sz w:val="24"/>
                <w:szCs w:val="32"/>
              </w:rPr>
              <w:t>业务板块</w:t>
            </w:r>
          </w:p>
        </w:tc>
        <w:tc>
          <w:tcPr>
            <w:tcW w:w="2977" w:type="dxa"/>
            <w:gridSpan w:val="2"/>
            <w:shd w:val="clear" w:color="auto" w:fill="548DD4" w:themeFill="text2" w:themeFillTint="99"/>
          </w:tcPr>
          <w:p w:rsidR="00115E67" w:rsidRPr="00F946D5" w:rsidRDefault="00115E67" w:rsidP="002865CC">
            <w:pPr>
              <w:adjustRightInd w:val="0"/>
              <w:snapToGrid w:val="0"/>
              <w:jc w:val="center"/>
              <w:rPr>
                <w:rFonts w:asciiTheme="majorEastAsia" w:eastAsiaTheme="majorEastAsia" w:hAnsiTheme="majorEastAsia" w:cs="Times New Roman"/>
                <w:b/>
                <w:color w:val="FFFFFF" w:themeColor="background1"/>
                <w:sz w:val="24"/>
                <w:szCs w:val="32"/>
              </w:rPr>
            </w:pPr>
            <w:proofErr w:type="gramStart"/>
            <w:r w:rsidRPr="00F946D5">
              <w:rPr>
                <w:rFonts w:asciiTheme="majorEastAsia" w:eastAsiaTheme="majorEastAsia" w:hAnsiTheme="majorEastAsia" w:cs="Times New Roman" w:hint="eastAsia"/>
                <w:b/>
                <w:color w:val="FFFFFF" w:themeColor="background1"/>
                <w:sz w:val="24"/>
                <w:szCs w:val="32"/>
              </w:rPr>
              <w:t>信用债占比</w:t>
            </w:r>
            <w:proofErr w:type="gramEnd"/>
          </w:p>
        </w:tc>
        <w:tc>
          <w:tcPr>
            <w:tcW w:w="3969" w:type="dxa"/>
            <w:gridSpan w:val="2"/>
            <w:shd w:val="clear" w:color="auto" w:fill="548DD4" w:themeFill="text2" w:themeFillTint="99"/>
          </w:tcPr>
          <w:p w:rsidR="00115E67" w:rsidRPr="00F946D5" w:rsidRDefault="00115E67" w:rsidP="002865CC">
            <w:pPr>
              <w:adjustRightInd w:val="0"/>
              <w:snapToGrid w:val="0"/>
              <w:jc w:val="center"/>
              <w:rPr>
                <w:rFonts w:asciiTheme="majorEastAsia" w:eastAsiaTheme="majorEastAsia" w:hAnsiTheme="majorEastAsia" w:cs="Times New Roman"/>
                <w:b/>
                <w:color w:val="FFFFFF" w:themeColor="background1"/>
                <w:sz w:val="24"/>
                <w:szCs w:val="32"/>
              </w:rPr>
            </w:pPr>
            <w:r w:rsidRPr="00F946D5">
              <w:rPr>
                <w:rFonts w:asciiTheme="majorEastAsia" w:eastAsiaTheme="majorEastAsia" w:hAnsiTheme="majorEastAsia" w:cs="Times New Roman" w:hint="eastAsia"/>
                <w:b/>
                <w:color w:val="FFFFFF" w:themeColor="background1"/>
                <w:sz w:val="24"/>
                <w:szCs w:val="32"/>
              </w:rPr>
              <w:t>城</w:t>
            </w:r>
            <w:proofErr w:type="gramStart"/>
            <w:r w:rsidRPr="00F946D5">
              <w:rPr>
                <w:rFonts w:asciiTheme="majorEastAsia" w:eastAsiaTheme="majorEastAsia" w:hAnsiTheme="majorEastAsia" w:cs="Times New Roman" w:hint="eastAsia"/>
                <w:b/>
                <w:color w:val="FFFFFF" w:themeColor="background1"/>
                <w:sz w:val="24"/>
                <w:szCs w:val="32"/>
              </w:rPr>
              <w:t>投债占</w:t>
            </w:r>
            <w:proofErr w:type="gramEnd"/>
            <w:r w:rsidRPr="00F946D5">
              <w:rPr>
                <w:rFonts w:asciiTheme="majorEastAsia" w:eastAsiaTheme="majorEastAsia" w:hAnsiTheme="majorEastAsia" w:cs="Times New Roman" w:hint="eastAsia"/>
                <w:b/>
                <w:color w:val="FFFFFF" w:themeColor="background1"/>
                <w:sz w:val="24"/>
                <w:szCs w:val="32"/>
              </w:rPr>
              <w:t>比</w:t>
            </w:r>
          </w:p>
        </w:tc>
        <w:tc>
          <w:tcPr>
            <w:tcW w:w="1984" w:type="dxa"/>
            <w:shd w:val="clear" w:color="auto" w:fill="548DD4" w:themeFill="text2" w:themeFillTint="99"/>
          </w:tcPr>
          <w:p w:rsidR="00115E67" w:rsidRPr="00F946D5" w:rsidRDefault="00115E67" w:rsidP="002865CC">
            <w:pPr>
              <w:adjustRightInd w:val="0"/>
              <w:snapToGrid w:val="0"/>
              <w:jc w:val="center"/>
              <w:rPr>
                <w:rFonts w:asciiTheme="majorEastAsia" w:eastAsiaTheme="majorEastAsia" w:hAnsiTheme="majorEastAsia" w:cs="Times New Roman"/>
                <w:b/>
                <w:color w:val="FFFFFF" w:themeColor="background1"/>
                <w:sz w:val="24"/>
                <w:szCs w:val="32"/>
              </w:rPr>
            </w:pPr>
            <w:proofErr w:type="gramStart"/>
            <w:r w:rsidRPr="00F946D5">
              <w:rPr>
                <w:rFonts w:asciiTheme="majorEastAsia" w:eastAsiaTheme="majorEastAsia" w:hAnsiTheme="majorEastAsia" w:cs="Times New Roman" w:hint="eastAsia"/>
                <w:b/>
                <w:color w:val="FFFFFF" w:themeColor="background1"/>
                <w:sz w:val="24"/>
                <w:szCs w:val="32"/>
              </w:rPr>
              <w:t>私募债占比</w:t>
            </w:r>
            <w:proofErr w:type="gramEnd"/>
          </w:p>
        </w:tc>
        <w:tc>
          <w:tcPr>
            <w:tcW w:w="1843" w:type="dxa"/>
            <w:shd w:val="clear" w:color="auto" w:fill="548DD4" w:themeFill="text2" w:themeFillTint="99"/>
          </w:tcPr>
          <w:p w:rsidR="00115E67" w:rsidRPr="00F946D5" w:rsidRDefault="00115E67" w:rsidP="002865CC">
            <w:pPr>
              <w:adjustRightInd w:val="0"/>
              <w:snapToGrid w:val="0"/>
              <w:jc w:val="center"/>
              <w:rPr>
                <w:rFonts w:asciiTheme="majorEastAsia" w:eastAsiaTheme="majorEastAsia" w:hAnsiTheme="majorEastAsia" w:cs="Times New Roman"/>
                <w:b/>
                <w:color w:val="FFFFFF" w:themeColor="background1"/>
                <w:sz w:val="24"/>
                <w:szCs w:val="32"/>
              </w:rPr>
            </w:pPr>
            <w:proofErr w:type="gramStart"/>
            <w:r w:rsidRPr="00F946D5">
              <w:rPr>
                <w:rFonts w:asciiTheme="majorEastAsia" w:eastAsiaTheme="majorEastAsia" w:hAnsiTheme="majorEastAsia" w:cs="Times New Roman" w:hint="eastAsia"/>
                <w:b/>
                <w:color w:val="FFFFFF" w:themeColor="background1"/>
                <w:sz w:val="24"/>
                <w:szCs w:val="32"/>
              </w:rPr>
              <w:t>永续债占比</w:t>
            </w:r>
            <w:proofErr w:type="gramEnd"/>
          </w:p>
        </w:tc>
        <w:tc>
          <w:tcPr>
            <w:tcW w:w="1843" w:type="dxa"/>
            <w:shd w:val="clear" w:color="auto" w:fill="548DD4" w:themeFill="text2" w:themeFillTint="99"/>
          </w:tcPr>
          <w:p w:rsidR="00115E67" w:rsidRPr="00F946D5" w:rsidRDefault="00115E67" w:rsidP="002865CC">
            <w:pPr>
              <w:adjustRightInd w:val="0"/>
              <w:snapToGrid w:val="0"/>
              <w:jc w:val="center"/>
              <w:rPr>
                <w:rFonts w:asciiTheme="majorEastAsia" w:eastAsiaTheme="majorEastAsia" w:hAnsiTheme="majorEastAsia" w:cs="Times New Roman"/>
                <w:b/>
                <w:color w:val="FFFFFF" w:themeColor="background1"/>
                <w:sz w:val="24"/>
                <w:szCs w:val="32"/>
              </w:rPr>
            </w:pPr>
            <w:proofErr w:type="gramStart"/>
            <w:r w:rsidRPr="00F946D5">
              <w:rPr>
                <w:rFonts w:asciiTheme="majorEastAsia" w:eastAsiaTheme="majorEastAsia" w:hAnsiTheme="majorEastAsia" w:cs="Times New Roman" w:hint="eastAsia"/>
                <w:b/>
                <w:color w:val="FFFFFF" w:themeColor="background1"/>
                <w:sz w:val="24"/>
                <w:szCs w:val="32"/>
              </w:rPr>
              <w:t>次级债占比</w:t>
            </w:r>
            <w:proofErr w:type="gramEnd"/>
          </w:p>
        </w:tc>
      </w:tr>
      <w:tr w:rsidR="00115E67" w:rsidRPr="00F946D5" w:rsidTr="005F41B6">
        <w:tc>
          <w:tcPr>
            <w:tcW w:w="1526" w:type="dxa"/>
          </w:tcPr>
          <w:p w:rsidR="00115E67" w:rsidRPr="00F946D5" w:rsidRDefault="00115E67" w:rsidP="002865CC">
            <w:pPr>
              <w:adjustRightInd w:val="0"/>
              <w:snapToGrid w:val="0"/>
              <w:jc w:val="center"/>
              <w:rPr>
                <w:rFonts w:asciiTheme="majorEastAsia" w:eastAsiaTheme="majorEastAsia" w:hAnsiTheme="majorEastAsia" w:cs="Times New Roman"/>
                <w:sz w:val="24"/>
                <w:szCs w:val="32"/>
              </w:rPr>
            </w:pPr>
            <w:r w:rsidRPr="00F946D5">
              <w:rPr>
                <w:rFonts w:asciiTheme="majorEastAsia" w:eastAsiaTheme="majorEastAsia" w:hAnsiTheme="majorEastAsia" w:cs="Times New Roman" w:hint="eastAsia"/>
                <w:sz w:val="24"/>
                <w:szCs w:val="32"/>
              </w:rPr>
              <w:t>自营业务</w:t>
            </w:r>
          </w:p>
        </w:tc>
        <w:tc>
          <w:tcPr>
            <w:tcW w:w="2977" w:type="dxa"/>
            <w:gridSpan w:val="2"/>
          </w:tcPr>
          <w:p w:rsidR="00115E67" w:rsidRPr="00F946D5" w:rsidRDefault="00115E67" w:rsidP="002865CC">
            <w:pPr>
              <w:adjustRightInd w:val="0"/>
              <w:snapToGrid w:val="0"/>
              <w:jc w:val="center"/>
              <w:rPr>
                <w:rFonts w:asciiTheme="majorEastAsia" w:eastAsiaTheme="majorEastAsia" w:hAnsiTheme="majorEastAsia" w:cs="Times New Roman"/>
                <w:sz w:val="24"/>
                <w:szCs w:val="32"/>
              </w:rPr>
            </w:pPr>
          </w:p>
        </w:tc>
        <w:tc>
          <w:tcPr>
            <w:tcW w:w="3969" w:type="dxa"/>
            <w:gridSpan w:val="2"/>
            <w:shd w:val="clear" w:color="auto" w:fill="FFFFFF" w:themeFill="background1"/>
          </w:tcPr>
          <w:p w:rsidR="00115E67" w:rsidRPr="00F946D5" w:rsidRDefault="00115E67" w:rsidP="002865CC">
            <w:pPr>
              <w:adjustRightInd w:val="0"/>
              <w:snapToGrid w:val="0"/>
              <w:jc w:val="center"/>
              <w:rPr>
                <w:rFonts w:asciiTheme="majorEastAsia" w:eastAsiaTheme="majorEastAsia" w:hAnsiTheme="majorEastAsia" w:cs="Times New Roman"/>
                <w:sz w:val="24"/>
                <w:szCs w:val="32"/>
              </w:rPr>
            </w:pPr>
          </w:p>
        </w:tc>
        <w:tc>
          <w:tcPr>
            <w:tcW w:w="1984" w:type="dxa"/>
          </w:tcPr>
          <w:p w:rsidR="00115E67" w:rsidRPr="00F946D5" w:rsidRDefault="00115E67" w:rsidP="002865CC">
            <w:pPr>
              <w:adjustRightInd w:val="0"/>
              <w:snapToGrid w:val="0"/>
              <w:jc w:val="center"/>
              <w:rPr>
                <w:rFonts w:asciiTheme="majorEastAsia" w:eastAsiaTheme="majorEastAsia" w:hAnsiTheme="majorEastAsia" w:cs="Times New Roman"/>
                <w:sz w:val="24"/>
                <w:szCs w:val="32"/>
              </w:rPr>
            </w:pPr>
          </w:p>
        </w:tc>
        <w:tc>
          <w:tcPr>
            <w:tcW w:w="1843" w:type="dxa"/>
          </w:tcPr>
          <w:p w:rsidR="00115E67" w:rsidRPr="00F946D5" w:rsidRDefault="00115E67" w:rsidP="002865CC">
            <w:pPr>
              <w:adjustRightInd w:val="0"/>
              <w:snapToGrid w:val="0"/>
              <w:jc w:val="center"/>
              <w:rPr>
                <w:rFonts w:asciiTheme="majorEastAsia" w:eastAsiaTheme="majorEastAsia" w:hAnsiTheme="majorEastAsia" w:cs="Times New Roman"/>
                <w:sz w:val="24"/>
                <w:szCs w:val="32"/>
              </w:rPr>
            </w:pPr>
          </w:p>
        </w:tc>
        <w:tc>
          <w:tcPr>
            <w:tcW w:w="1843" w:type="dxa"/>
          </w:tcPr>
          <w:p w:rsidR="00115E67" w:rsidRPr="00F946D5" w:rsidRDefault="00115E67" w:rsidP="002865CC">
            <w:pPr>
              <w:adjustRightInd w:val="0"/>
              <w:snapToGrid w:val="0"/>
              <w:jc w:val="center"/>
              <w:rPr>
                <w:rFonts w:asciiTheme="majorEastAsia" w:eastAsiaTheme="majorEastAsia" w:hAnsiTheme="majorEastAsia" w:cs="Times New Roman"/>
                <w:sz w:val="24"/>
                <w:szCs w:val="32"/>
              </w:rPr>
            </w:pPr>
          </w:p>
        </w:tc>
      </w:tr>
      <w:tr w:rsidR="00115E67" w:rsidRPr="00E13056" w:rsidTr="005F41B6">
        <w:tc>
          <w:tcPr>
            <w:tcW w:w="1526" w:type="dxa"/>
          </w:tcPr>
          <w:p w:rsidR="00115E67" w:rsidRPr="00F946D5" w:rsidRDefault="00115E67" w:rsidP="002865CC">
            <w:pPr>
              <w:adjustRightInd w:val="0"/>
              <w:snapToGrid w:val="0"/>
              <w:jc w:val="center"/>
              <w:rPr>
                <w:rFonts w:asciiTheme="majorEastAsia" w:eastAsiaTheme="majorEastAsia" w:hAnsiTheme="majorEastAsia" w:cs="Times New Roman"/>
                <w:sz w:val="24"/>
                <w:szCs w:val="32"/>
              </w:rPr>
            </w:pPr>
            <w:r w:rsidRPr="00F946D5">
              <w:rPr>
                <w:rFonts w:asciiTheme="majorEastAsia" w:eastAsiaTheme="majorEastAsia" w:hAnsiTheme="majorEastAsia" w:cs="Times New Roman" w:hint="eastAsia"/>
                <w:sz w:val="24"/>
                <w:szCs w:val="32"/>
              </w:rPr>
              <w:t>理财业务</w:t>
            </w:r>
          </w:p>
        </w:tc>
        <w:tc>
          <w:tcPr>
            <w:tcW w:w="2977" w:type="dxa"/>
            <w:gridSpan w:val="2"/>
          </w:tcPr>
          <w:p w:rsidR="00115E67" w:rsidRPr="00F946D5" w:rsidRDefault="00115E67" w:rsidP="002865CC">
            <w:pPr>
              <w:adjustRightInd w:val="0"/>
              <w:snapToGrid w:val="0"/>
              <w:jc w:val="center"/>
              <w:rPr>
                <w:rFonts w:asciiTheme="majorEastAsia" w:eastAsiaTheme="majorEastAsia" w:hAnsiTheme="majorEastAsia" w:cs="Times New Roman"/>
                <w:sz w:val="24"/>
                <w:szCs w:val="32"/>
              </w:rPr>
            </w:pPr>
          </w:p>
        </w:tc>
        <w:tc>
          <w:tcPr>
            <w:tcW w:w="3969" w:type="dxa"/>
            <w:gridSpan w:val="2"/>
            <w:shd w:val="clear" w:color="auto" w:fill="FFFFFF" w:themeFill="background1"/>
          </w:tcPr>
          <w:p w:rsidR="00115E67" w:rsidRPr="00F946D5" w:rsidRDefault="00115E67" w:rsidP="002865CC">
            <w:pPr>
              <w:adjustRightInd w:val="0"/>
              <w:snapToGrid w:val="0"/>
              <w:jc w:val="center"/>
              <w:rPr>
                <w:rFonts w:asciiTheme="majorEastAsia" w:eastAsiaTheme="majorEastAsia" w:hAnsiTheme="majorEastAsia" w:cs="Times New Roman"/>
                <w:sz w:val="24"/>
                <w:szCs w:val="32"/>
              </w:rPr>
            </w:pPr>
          </w:p>
        </w:tc>
        <w:tc>
          <w:tcPr>
            <w:tcW w:w="1984" w:type="dxa"/>
          </w:tcPr>
          <w:p w:rsidR="00115E67" w:rsidRPr="00F946D5" w:rsidRDefault="00115E67" w:rsidP="002865CC">
            <w:pPr>
              <w:adjustRightInd w:val="0"/>
              <w:snapToGrid w:val="0"/>
              <w:jc w:val="center"/>
              <w:rPr>
                <w:rFonts w:asciiTheme="majorEastAsia" w:eastAsiaTheme="majorEastAsia" w:hAnsiTheme="majorEastAsia" w:cs="Times New Roman"/>
                <w:sz w:val="24"/>
                <w:szCs w:val="32"/>
              </w:rPr>
            </w:pPr>
          </w:p>
        </w:tc>
        <w:tc>
          <w:tcPr>
            <w:tcW w:w="1843" w:type="dxa"/>
          </w:tcPr>
          <w:p w:rsidR="00115E67" w:rsidRPr="00F946D5" w:rsidRDefault="00115E67" w:rsidP="002865CC">
            <w:pPr>
              <w:adjustRightInd w:val="0"/>
              <w:snapToGrid w:val="0"/>
              <w:jc w:val="center"/>
              <w:rPr>
                <w:rFonts w:asciiTheme="majorEastAsia" w:eastAsiaTheme="majorEastAsia" w:hAnsiTheme="majorEastAsia" w:cs="Times New Roman"/>
                <w:sz w:val="24"/>
                <w:szCs w:val="32"/>
              </w:rPr>
            </w:pPr>
          </w:p>
        </w:tc>
        <w:tc>
          <w:tcPr>
            <w:tcW w:w="1843" w:type="dxa"/>
          </w:tcPr>
          <w:p w:rsidR="00115E67" w:rsidRPr="00F946D5" w:rsidRDefault="00115E67" w:rsidP="002865CC">
            <w:pPr>
              <w:adjustRightInd w:val="0"/>
              <w:snapToGrid w:val="0"/>
              <w:jc w:val="center"/>
              <w:rPr>
                <w:rFonts w:asciiTheme="majorEastAsia" w:eastAsiaTheme="majorEastAsia" w:hAnsiTheme="majorEastAsia" w:cs="Times New Roman"/>
                <w:sz w:val="24"/>
                <w:szCs w:val="32"/>
              </w:rPr>
            </w:pPr>
          </w:p>
        </w:tc>
      </w:tr>
    </w:tbl>
    <w:p w:rsidR="00755AED" w:rsidRPr="00E7080C" w:rsidRDefault="00755AED" w:rsidP="00755AED">
      <w:pPr>
        <w:adjustRightInd w:val="0"/>
        <w:snapToGrid w:val="0"/>
        <w:spacing w:line="480" w:lineRule="exact"/>
        <w:jc w:val="left"/>
        <w:rPr>
          <w:rFonts w:asciiTheme="majorEastAsia" w:eastAsiaTheme="majorEastAsia" w:hAnsiTheme="majorEastAsia" w:cs="Times New Roman"/>
          <w:b/>
          <w:sz w:val="40"/>
          <w:szCs w:val="32"/>
        </w:rPr>
      </w:pPr>
      <w:r w:rsidRPr="00E7080C">
        <w:rPr>
          <w:rFonts w:ascii="Arial Unicode MS" w:eastAsia="Arial Unicode MS" w:hAnsi="Arial Unicode MS" w:cs="Arial Unicode MS" w:hint="eastAsia"/>
          <w:sz w:val="40"/>
          <w:szCs w:val="44"/>
        </w:rPr>
        <w:t>∙</w:t>
      </w:r>
      <w:r w:rsidRPr="00E7080C">
        <w:rPr>
          <w:rFonts w:asciiTheme="majorEastAsia" w:eastAsiaTheme="majorEastAsia" w:hAnsiTheme="majorEastAsia" w:cs="Times New Roman" w:hint="eastAsia"/>
          <w:b/>
          <w:sz w:val="40"/>
          <w:szCs w:val="32"/>
        </w:rPr>
        <w:t>负面舆情监测</w:t>
      </w:r>
    </w:p>
    <w:tbl>
      <w:tblPr>
        <w:tblStyle w:val="a3"/>
        <w:tblW w:w="5000" w:type="pct"/>
        <w:jc w:val="center"/>
        <w:tblLook w:val="04A0" w:firstRow="1" w:lastRow="0" w:firstColumn="1" w:lastColumn="0" w:noHBand="0" w:noVBand="1"/>
      </w:tblPr>
      <w:tblGrid>
        <w:gridCol w:w="1242"/>
        <w:gridCol w:w="808"/>
        <w:gridCol w:w="2027"/>
        <w:gridCol w:w="709"/>
        <w:gridCol w:w="1417"/>
        <w:gridCol w:w="1417"/>
        <w:gridCol w:w="709"/>
        <w:gridCol w:w="3830"/>
        <w:gridCol w:w="992"/>
        <w:gridCol w:w="1023"/>
      </w:tblGrid>
      <w:tr w:rsidR="00AC3E55" w:rsidRPr="00E7080C" w:rsidTr="00E7080C">
        <w:trPr>
          <w:jc w:val="center"/>
        </w:trPr>
        <w:tc>
          <w:tcPr>
            <w:tcW w:w="438" w:type="pct"/>
            <w:tcBorders>
              <w:bottom w:val="single" w:sz="4" w:space="0" w:color="auto"/>
            </w:tcBorders>
            <w:shd w:val="clear" w:color="auto" w:fill="E36C0A" w:themeFill="accent6" w:themeFillShade="BF"/>
          </w:tcPr>
          <w:p w:rsidR="002865CC" w:rsidRPr="00E7080C" w:rsidRDefault="002865CC" w:rsidP="002865CC">
            <w:pPr>
              <w:adjustRightInd w:val="0"/>
              <w:snapToGrid w:val="0"/>
              <w:jc w:val="center"/>
              <w:rPr>
                <w:rFonts w:asciiTheme="majorEastAsia" w:eastAsiaTheme="majorEastAsia" w:hAnsiTheme="majorEastAsia" w:cs="Times New Roman"/>
                <w:b/>
                <w:color w:val="FFFFFF" w:themeColor="background1"/>
                <w:sz w:val="24"/>
                <w:szCs w:val="32"/>
              </w:rPr>
            </w:pPr>
            <w:r w:rsidRPr="00E7080C">
              <w:rPr>
                <w:rFonts w:asciiTheme="majorEastAsia" w:eastAsiaTheme="majorEastAsia" w:hAnsiTheme="majorEastAsia" w:cs="Times New Roman" w:hint="eastAsia"/>
                <w:b/>
                <w:color w:val="FFFFFF" w:themeColor="background1"/>
                <w:sz w:val="24"/>
                <w:szCs w:val="32"/>
              </w:rPr>
              <w:t>监测对象</w:t>
            </w:r>
          </w:p>
        </w:tc>
        <w:tc>
          <w:tcPr>
            <w:tcW w:w="285" w:type="pct"/>
            <w:tcBorders>
              <w:bottom w:val="single" w:sz="4" w:space="0" w:color="auto"/>
            </w:tcBorders>
            <w:shd w:val="clear" w:color="auto" w:fill="E36C0A" w:themeFill="accent6" w:themeFillShade="BF"/>
          </w:tcPr>
          <w:p w:rsidR="002865CC" w:rsidRPr="00E7080C" w:rsidRDefault="002865CC" w:rsidP="002865CC">
            <w:pPr>
              <w:adjustRightInd w:val="0"/>
              <w:snapToGrid w:val="0"/>
              <w:jc w:val="center"/>
              <w:rPr>
                <w:rFonts w:asciiTheme="majorEastAsia" w:eastAsiaTheme="majorEastAsia" w:hAnsiTheme="majorEastAsia" w:cs="Times New Roman"/>
                <w:b/>
                <w:color w:val="FFFFFF" w:themeColor="background1"/>
                <w:sz w:val="24"/>
                <w:szCs w:val="32"/>
              </w:rPr>
            </w:pPr>
            <w:r w:rsidRPr="00E7080C">
              <w:rPr>
                <w:rFonts w:asciiTheme="majorEastAsia" w:eastAsiaTheme="majorEastAsia" w:hAnsiTheme="majorEastAsia" w:cs="Times New Roman" w:hint="eastAsia"/>
                <w:b/>
                <w:color w:val="FFFFFF" w:themeColor="background1"/>
                <w:sz w:val="24"/>
                <w:szCs w:val="32"/>
              </w:rPr>
              <w:t>类别</w:t>
            </w:r>
          </w:p>
        </w:tc>
        <w:tc>
          <w:tcPr>
            <w:tcW w:w="715" w:type="pct"/>
            <w:tcBorders>
              <w:bottom w:val="single" w:sz="4" w:space="0" w:color="auto"/>
            </w:tcBorders>
            <w:shd w:val="clear" w:color="auto" w:fill="E36C0A" w:themeFill="accent6" w:themeFillShade="BF"/>
          </w:tcPr>
          <w:p w:rsidR="002865CC" w:rsidRPr="00E7080C" w:rsidRDefault="002865CC" w:rsidP="002865CC">
            <w:pPr>
              <w:adjustRightInd w:val="0"/>
              <w:snapToGrid w:val="0"/>
              <w:jc w:val="center"/>
              <w:rPr>
                <w:rFonts w:asciiTheme="majorEastAsia" w:eastAsiaTheme="majorEastAsia" w:hAnsiTheme="majorEastAsia" w:cs="Times New Roman"/>
                <w:b/>
                <w:color w:val="FFFFFF" w:themeColor="background1"/>
                <w:sz w:val="24"/>
                <w:szCs w:val="32"/>
              </w:rPr>
            </w:pPr>
            <w:r w:rsidRPr="00E7080C">
              <w:rPr>
                <w:rFonts w:asciiTheme="majorEastAsia" w:eastAsiaTheme="majorEastAsia" w:hAnsiTheme="majorEastAsia" w:cs="Times New Roman" w:hint="eastAsia"/>
                <w:b/>
                <w:color w:val="FFFFFF" w:themeColor="background1"/>
                <w:sz w:val="24"/>
                <w:szCs w:val="32"/>
              </w:rPr>
              <w:t>发行主体</w:t>
            </w:r>
          </w:p>
        </w:tc>
        <w:tc>
          <w:tcPr>
            <w:tcW w:w="250" w:type="pct"/>
            <w:tcBorders>
              <w:bottom w:val="single" w:sz="4" w:space="0" w:color="auto"/>
            </w:tcBorders>
            <w:shd w:val="clear" w:color="auto" w:fill="E36C0A" w:themeFill="accent6" w:themeFillShade="BF"/>
          </w:tcPr>
          <w:p w:rsidR="002865CC" w:rsidRPr="00E7080C" w:rsidRDefault="002865CC" w:rsidP="002865CC">
            <w:pPr>
              <w:adjustRightInd w:val="0"/>
              <w:snapToGrid w:val="0"/>
              <w:jc w:val="center"/>
              <w:rPr>
                <w:rFonts w:asciiTheme="majorEastAsia" w:eastAsiaTheme="majorEastAsia" w:hAnsiTheme="majorEastAsia" w:cs="Times New Roman"/>
                <w:b/>
                <w:color w:val="FFFFFF" w:themeColor="background1"/>
                <w:sz w:val="24"/>
                <w:szCs w:val="32"/>
              </w:rPr>
            </w:pPr>
            <w:r w:rsidRPr="00E7080C">
              <w:rPr>
                <w:rFonts w:asciiTheme="majorEastAsia" w:eastAsiaTheme="majorEastAsia" w:hAnsiTheme="majorEastAsia" w:cs="Times New Roman" w:hint="eastAsia"/>
                <w:b/>
                <w:color w:val="FFFFFF" w:themeColor="background1"/>
                <w:sz w:val="24"/>
                <w:szCs w:val="32"/>
              </w:rPr>
              <w:t>金额</w:t>
            </w:r>
          </w:p>
        </w:tc>
        <w:tc>
          <w:tcPr>
            <w:tcW w:w="500" w:type="pct"/>
            <w:tcBorders>
              <w:bottom w:val="single" w:sz="4" w:space="0" w:color="auto"/>
            </w:tcBorders>
            <w:shd w:val="clear" w:color="auto" w:fill="E36C0A" w:themeFill="accent6" w:themeFillShade="BF"/>
          </w:tcPr>
          <w:p w:rsidR="002865CC" w:rsidRPr="00E7080C" w:rsidRDefault="002865CC" w:rsidP="002865CC">
            <w:pPr>
              <w:adjustRightInd w:val="0"/>
              <w:snapToGrid w:val="0"/>
              <w:jc w:val="center"/>
              <w:rPr>
                <w:rFonts w:asciiTheme="majorEastAsia" w:eastAsiaTheme="majorEastAsia" w:hAnsiTheme="majorEastAsia" w:cs="Times New Roman"/>
                <w:b/>
                <w:color w:val="FFFFFF" w:themeColor="background1"/>
                <w:sz w:val="24"/>
                <w:szCs w:val="32"/>
              </w:rPr>
            </w:pPr>
            <w:r w:rsidRPr="00E7080C">
              <w:rPr>
                <w:rFonts w:asciiTheme="majorEastAsia" w:eastAsiaTheme="majorEastAsia" w:hAnsiTheme="majorEastAsia" w:cs="Times New Roman" w:hint="eastAsia"/>
                <w:b/>
                <w:color w:val="FFFFFF" w:themeColor="background1"/>
                <w:sz w:val="24"/>
                <w:szCs w:val="32"/>
              </w:rPr>
              <w:t>起息日</w:t>
            </w:r>
          </w:p>
        </w:tc>
        <w:tc>
          <w:tcPr>
            <w:tcW w:w="500" w:type="pct"/>
            <w:tcBorders>
              <w:bottom w:val="single" w:sz="4" w:space="0" w:color="auto"/>
            </w:tcBorders>
            <w:shd w:val="clear" w:color="auto" w:fill="E36C0A" w:themeFill="accent6" w:themeFillShade="BF"/>
          </w:tcPr>
          <w:p w:rsidR="002865CC" w:rsidRPr="00E7080C" w:rsidRDefault="002865CC" w:rsidP="002865CC">
            <w:pPr>
              <w:adjustRightInd w:val="0"/>
              <w:snapToGrid w:val="0"/>
              <w:jc w:val="center"/>
              <w:rPr>
                <w:rFonts w:asciiTheme="majorEastAsia" w:eastAsiaTheme="majorEastAsia" w:hAnsiTheme="majorEastAsia" w:cs="Times New Roman"/>
                <w:b/>
                <w:color w:val="FFFFFF" w:themeColor="background1"/>
                <w:sz w:val="24"/>
                <w:szCs w:val="32"/>
              </w:rPr>
            </w:pPr>
            <w:r w:rsidRPr="00E7080C">
              <w:rPr>
                <w:rFonts w:asciiTheme="majorEastAsia" w:eastAsiaTheme="majorEastAsia" w:hAnsiTheme="majorEastAsia" w:cs="Times New Roman" w:hint="eastAsia"/>
                <w:b/>
                <w:color w:val="FFFFFF" w:themeColor="background1"/>
                <w:sz w:val="24"/>
                <w:szCs w:val="32"/>
              </w:rPr>
              <w:t>到期日</w:t>
            </w:r>
          </w:p>
        </w:tc>
        <w:tc>
          <w:tcPr>
            <w:tcW w:w="250" w:type="pct"/>
            <w:tcBorders>
              <w:bottom w:val="single" w:sz="4" w:space="0" w:color="auto"/>
            </w:tcBorders>
            <w:shd w:val="clear" w:color="auto" w:fill="E36C0A" w:themeFill="accent6" w:themeFillShade="BF"/>
          </w:tcPr>
          <w:p w:rsidR="002865CC" w:rsidRPr="00E7080C" w:rsidRDefault="002865CC" w:rsidP="002865CC">
            <w:pPr>
              <w:adjustRightInd w:val="0"/>
              <w:snapToGrid w:val="0"/>
              <w:jc w:val="center"/>
              <w:rPr>
                <w:rFonts w:asciiTheme="majorEastAsia" w:eastAsiaTheme="majorEastAsia" w:hAnsiTheme="majorEastAsia" w:cs="Times New Roman"/>
                <w:b/>
                <w:color w:val="FFFFFF" w:themeColor="background1"/>
                <w:sz w:val="24"/>
                <w:szCs w:val="32"/>
              </w:rPr>
            </w:pPr>
            <w:r w:rsidRPr="00E7080C">
              <w:rPr>
                <w:rFonts w:asciiTheme="majorEastAsia" w:eastAsiaTheme="majorEastAsia" w:hAnsiTheme="majorEastAsia" w:cs="Times New Roman" w:hint="eastAsia"/>
                <w:b/>
                <w:color w:val="FFFFFF" w:themeColor="background1"/>
                <w:sz w:val="24"/>
                <w:szCs w:val="32"/>
              </w:rPr>
              <w:t>部门</w:t>
            </w:r>
          </w:p>
        </w:tc>
        <w:tc>
          <w:tcPr>
            <w:tcW w:w="1351" w:type="pct"/>
            <w:tcBorders>
              <w:bottom w:val="single" w:sz="4" w:space="0" w:color="auto"/>
            </w:tcBorders>
            <w:shd w:val="clear" w:color="auto" w:fill="E36C0A" w:themeFill="accent6" w:themeFillShade="BF"/>
          </w:tcPr>
          <w:p w:rsidR="002865CC" w:rsidRPr="00E7080C" w:rsidRDefault="002865CC" w:rsidP="002865CC">
            <w:pPr>
              <w:adjustRightInd w:val="0"/>
              <w:snapToGrid w:val="0"/>
              <w:jc w:val="center"/>
              <w:rPr>
                <w:rFonts w:asciiTheme="majorEastAsia" w:eastAsiaTheme="majorEastAsia" w:hAnsiTheme="majorEastAsia" w:cs="Times New Roman"/>
                <w:b/>
                <w:color w:val="FFFFFF" w:themeColor="background1"/>
                <w:sz w:val="24"/>
                <w:szCs w:val="32"/>
              </w:rPr>
            </w:pPr>
            <w:r w:rsidRPr="00E7080C">
              <w:rPr>
                <w:rFonts w:asciiTheme="majorEastAsia" w:eastAsiaTheme="majorEastAsia" w:hAnsiTheme="majorEastAsia" w:cs="Times New Roman" w:hint="eastAsia"/>
                <w:b/>
                <w:color w:val="FFFFFF" w:themeColor="background1"/>
                <w:sz w:val="24"/>
                <w:szCs w:val="32"/>
              </w:rPr>
              <w:t>影响/建议</w:t>
            </w:r>
          </w:p>
        </w:tc>
        <w:tc>
          <w:tcPr>
            <w:tcW w:w="350" w:type="pct"/>
            <w:tcBorders>
              <w:bottom w:val="single" w:sz="4" w:space="0" w:color="auto"/>
            </w:tcBorders>
            <w:shd w:val="clear" w:color="auto" w:fill="E36C0A" w:themeFill="accent6" w:themeFillShade="BF"/>
          </w:tcPr>
          <w:p w:rsidR="002865CC" w:rsidRPr="00E7080C" w:rsidRDefault="002865CC" w:rsidP="002865CC">
            <w:pPr>
              <w:adjustRightInd w:val="0"/>
              <w:snapToGrid w:val="0"/>
              <w:jc w:val="center"/>
              <w:rPr>
                <w:rFonts w:asciiTheme="majorEastAsia" w:eastAsiaTheme="majorEastAsia" w:hAnsiTheme="majorEastAsia" w:cs="Times New Roman"/>
                <w:b/>
                <w:color w:val="FFFFFF" w:themeColor="background1"/>
                <w:sz w:val="24"/>
                <w:szCs w:val="32"/>
              </w:rPr>
            </w:pPr>
            <w:r w:rsidRPr="00E7080C">
              <w:rPr>
                <w:rFonts w:asciiTheme="majorEastAsia" w:eastAsiaTheme="majorEastAsia" w:hAnsiTheme="majorEastAsia" w:cs="Times New Roman" w:hint="eastAsia"/>
                <w:b/>
                <w:color w:val="FFFFFF" w:themeColor="background1"/>
                <w:sz w:val="24"/>
                <w:szCs w:val="32"/>
              </w:rPr>
              <w:t>成本</w:t>
            </w:r>
          </w:p>
        </w:tc>
        <w:tc>
          <w:tcPr>
            <w:tcW w:w="361" w:type="pct"/>
            <w:tcBorders>
              <w:bottom w:val="single" w:sz="4" w:space="0" w:color="auto"/>
            </w:tcBorders>
            <w:shd w:val="clear" w:color="auto" w:fill="E36C0A" w:themeFill="accent6" w:themeFillShade="BF"/>
          </w:tcPr>
          <w:p w:rsidR="002865CC" w:rsidRPr="00E7080C" w:rsidRDefault="002865CC" w:rsidP="002865CC">
            <w:pPr>
              <w:adjustRightInd w:val="0"/>
              <w:snapToGrid w:val="0"/>
              <w:jc w:val="center"/>
              <w:rPr>
                <w:rFonts w:asciiTheme="majorEastAsia" w:eastAsiaTheme="majorEastAsia" w:hAnsiTheme="majorEastAsia" w:cs="Times New Roman"/>
                <w:b/>
                <w:color w:val="FFFFFF" w:themeColor="background1"/>
                <w:sz w:val="24"/>
                <w:szCs w:val="32"/>
              </w:rPr>
            </w:pPr>
            <w:r w:rsidRPr="00E7080C">
              <w:rPr>
                <w:rFonts w:asciiTheme="majorEastAsia" w:eastAsiaTheme="majorEastAsia" w:hAnsiTheme="majorEastAsia" w:cs="Times New Roman" w:hint="eastAsia"/>
                <w:b/>
                <w:color w:val="FFFFFF" w:themeColor="background1"/>
                <w:sz w:val="24"/>
                <w:szCs w:val="32"/>
              </w:rPr>
              <w:t>估值</w:t>
            </w:r>
          </w:p>
        </w:tc>
      </w:tr>
      <w:tr w:rsidR="00AC3E55" w:rsidRPr="00E7080C" w:rsidTr="00AC3E55">
        <w:trPr>
          <w:jc w:val="center"/>
        </w:trPr>
        <w:tc>
          <w:tcPr>
            <w:tcW w:w="438" w:type="pct"/>
            <w:shd w:val="clear" w:color="auto" w:fill="FFFFFF" w:themeFill="background1"/>
            <w:vAlign w:val="center"/>
          </w:tcPr>
          <w:p w:rsidR="002865CC" w:rsidRPr="00E7080C" w:rsidRDefault="002865CC" w:rsidP="002865CC">
            <w:pPr>
              <w:adjustRightInd w:val="0"/>
              <w:snapToGrid w:val="0"/>
              <w:jc w:val="center"/>
              <w:rPr>
                <w:rFonts w:asciiTheme="majorEastAsia" w:eastAsiaTheme="majorEastAsia" w:hAnsiTheme="majorEastAsia" w:cs="Times New Roman"/>
                <w:sz w:val="24"/>
                <w:szCs w:val="32"/>
              </w:rPr>
            </w:pPr>
          </w:p>
        </w:tc>
        <w:tc>
          <w:tcPr>
            <w:tcW w:w="285" w:type="pct"/>
            <w:shd w:val="clear" w:color="auto" w:fill="FFFFFF" w:themeFill="background1"/>
            <w:vAlign w:val="center"/>
          </w:tcPr>
          <w:p w:rsidR="002865CC" w:rsidRPr="00E7080C" w:rsidRDefault="002865CC" w:rsidP="002865CC">
            <w:pPr>
              <w:adjustRightInd w:val="0"/>
              <w:snapToGrid w:val="0"/>
              <w:jc w:val="center"/>
              <w:rPr>
                <w:rFonts w:asciiTheme="majorEastAsia" w:eastAsiaTheme="majorEastAsia" w:hAnsiTheme="majorEastAsia" w:cs="Times New Roman"/>
                <w:sz w:val="24"/>
                <w:szCs w:val="32"/>
              </w:rPr>
            </w:pPr>
          </w:p>
        </w:tc>
        <w:tc>
          <w:tcPr>
            <w:tcW w:w="715" w:type="pct"/>
            <w:shd w:val="clear" w:color="auto" w:fill="FFFFFF" w:themeFill="background1"/>
            <w:vAlign w:val="center"/>
          </w:tcPr>
          <w:p w:rsidR="002865CC" w:rsidRPr="00E7080C" w:rsidRDefault="002865CC" w:rsidP="002865CC">
            <w:pPr>
              <w:adjustRightInd w:val="0"/>
              <w:snapToGrid w:val="0"/>
              <w:jc w:val="center"/>
              <w:rPr>
                <w:rFonts w:asciiTheme="majorEastAsia" w:eastAsiaTheme="majorEastAsia" w:hAnsiTheme="majorEastAsia" w:cs="Times New Roman"/>
                <w:sz w:val="24"/>
                <w:szCs w:val="32"/>
              </w:rPr>
            </w:pPr>
          </w:p>
        </w:tc>
        <w:tc>
          <w:tcPr>
            <w:tcW w:w="250" w:type="pct"/>
            <w:shd w:val="clear" w:color="auto" w:fill="FFFFFF" w:themeFill="background1"/>
            <w:vAlign w:val="center"/>
          </w:tcPr>
          <w:p w:rsidR="002865CC" w:rsidRPr="00E7080C" w:rsidRDefault="002865CC" w:rsidP="00E7080C">
            <w:pPr>
              <w:adjustRightInd w:val="0"/>
              <w:snapToGrid w:val="0"/>
              <w:jc w:val="center"/>
              <w:rPr>
                <w:rFonts w:asciiTheme="majorEastAsia" w:eastAsiaTheme="majorEastAsia" w:hAnsiTheme="majorEastAsia" w:cs="Times New Roman"/>
                <w:sz w:val="24"/>
                <w:szCs w:val="32"/>
              </w:rPr>
            </w:pPr>
          </w:p>
        </w:tc>
        <w:tc>
          <w:tcPr>
            <w:tcW w:w="500" w:type="pct"/>
            <w:shd w:val="clear" w:color="auto" w:fill="FFFFFF" w:themeFill="background1"/>
            <w:vAlign w:val="center"/>
          </w:tcPr>
          <w:p w:rsidR="002865CC" w:rsidRPr="00E7080C" w:rsidRDefault="002865CC" w:rsidP="00E7080C">
            <w:pPr>
              <w:adjustRightInd w:val="0"/>
              <w:snapToGrid w:val="0"/>
              <w:jc w:val="center"/>
              <w:rPr>
                <w:rFonts w:asciiTheme="majorEastAsia" w:eastAsiaTheme="majorEastAsia" w:hAnsiTheme="majorEastAsia" w:cs="Times New Roman"/>
                <w:sz w:val="24"/>
                <w:szCs w:val="32"/>
              </w:rPr>
            </w:pPr>
          </w:p>
        </w:tc>
        <w:tc>
          <w:tcPr>
            <w:tcW w:w="500" w:type="pct"/>
            <w:shd w:val="clear" w:color="auto" w:fill="FFFFFF" w:themeFill="background1"/>
            <w:vAlign w:val="center"/>
          </w:tcPr>
          <w:p w:rsidR="002865CC" w:rsidRPr="00E7080C" w:rsidRDefault="002865CC" w:rsidP="00E7080C">
            <w:pPr>
              <w:adjustRightInd w:val="0"/>
              <w:snapToGrid w:val="0"/>
              <w:jc w:val="center"/>
              <w:rPr>
                <w:rFonts w:asciiTheme="majorEastAsia" w:eastAsiaTheme="majorEastAsia" w:hAnsiTheme="majorEastAsia" w:cs="Times New Roman"/>
                <w:sz w:val="24"/>
                <w:szCs w:val="32"/>
              </w:rPr>
            </w:pPr>
          </w:p>
        </w:tc>
        <w:tc>
          <w:tcPr>
            <w:tcW w:w="250" w:type="pct"/>
            <w:shd w:val="clear" w:color="auto" w:fill="FFFFFF" w:themeFill="background1"/>
            <w:vAlign w:val="center"/>
          </w:tcPr>
          <w:p w:rsidR="002865CC" w:rsidRPr="00E7080C" w:rsidRDefault="002865CC" w:rsidP="002865CC">
            <w:pPr>
              <w:adjustRightInd w:val="0"/>
              <w:snapToGrid w:val="0"/>
              <w:jc w:val="center"/>
              <w:rPr>
                <w:rFonts w:asciiTheme="majorEastAsia" w:eastAsiaTheme="majorEastAsia" w:hAnsiTheme="majorEastAsia" w:cs="Times New Roman"/>
                <w:sz w:val="24"/>
                <w:szCs w:val="32"/>
              </w:rPr>
            </w:pPr>
          </w:p>
        </w:tc>
        <w:tc>
          <w:tcPr>
            <w:tcW w:w="1351" w:type="pct"/>
            <w:shd w:val="clear" w:color="auto" w:fill="FFFFFF" w:themeFill="background1"/>
            <w:vAlign w:val="center"/>
          </w:tcPr>
          <w:p w:rsidR="002865CC" w:rsidRPr="00E7080C" w:rsidRDefault="002865CC" w:rsidP="002865CC">
            <w:pPr>
              <w:adjustRightInd w:val="0"/>
              <w:snapToGrid w:val="0"/>
              <w:rPr>
                <w:rFonts w:asciiTheme="majorEastAsia" w:eastAsiaTheme="majorEastAsia" w:hAnsiTheme="majorEastAsia" w:cs="Times New Roman"/>
                <w:sz w:val="24"/>
                <w:szCs w:val="32"/>
              </w:rPr>
            </w:pPr>
          </w:p>
        </w:tc>
        <w:tc>
          <w:tcPr>
            <w:tcW w:w="350" w:type="pct"/>
            <w:shd w:val="clear" w:color="auto" w:fill="FFFFFF" w:themeFill="background1"/>
            <w:vAlign w:val="center"/>
          </w:tcPr>
          <w:p w:rsidR="002865CC" w:rsidRPr="00E7080C" w:rsidRDefault="002865CC" w:rsidP="002865CC">
            <w:pPr>
              <w:adjustRightInd w:val="0"/>
              <w:snapToGrid w:val="0"/>
              <w:jc w:val="center"/>
              <w:rPr>
                <w:rFonts w:asciiTheme="majorEastAsia" w:eastAsiaTheme="majorEastAsia" w:hAnsiTheme="majorEastAsia" w:cs="Times New Roman"/>
                <w:sz w:val="24"/>
                <w:szCs w:val="32"/>
              </w:rPr>
            </w:pPr>
          </w:p>
        </w:tc>
        <w:tc>
          <w:tcPr>
            <w:tcW w:w="361" w:type="pct"/>
            <w:shd w:val="clear" w:color="auto" w:fill="FFFFFF" w:themeFill="background1"/>
            <w:vAlign w:val="center"/>
          </w:tcPr>
          <w:p w:rsidR="002865CC" w:rsidRPr="00E7080C" w:rsidRDefault="002865CC" w:rsidP="002865CC">
            <w:pPr>
              <w:adjustRightInd w:val="0"/>
              <w:snapToGrid w:val="0"/>
              <w:jc w:val="center"/>
              <w:rPr>
                <w:rFonts w:asciiTheme="majorEastAsia" w:eastAsiaTheme="majorEastAsia" w:hAnsiTheme="majorEastAsia" w:cs="Times New Roman"/>
                <w:sz w:val="24"/>
                <w:szCs w:val="32"/>
              </w:rPr>
            </w:pPr>
          </w:p>
        </w:tc>
      </w:tr>
    </w:tbl>
    <w:tbl>
      <w:tblPr>
        <w:tblStyle w:val="a3"/>
        <w:tblpPr w:leftFromText="180" w:rightFromText="180" w:vertAnchor="text" w:horzAnchor="margin" w:tblpXSpec="center" w:tblpY="20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1276"/>
        <w:gridCol w:w="3275"/>
        <w:gridCol w:w="1274"/>
        <w:gridCol w:w="4381"/>
        <w:gridCol w:w="1276"/>
        <w:gridCol w:w="1875"/>
      </w:tblGrid>
      <w:tr w:rsidR="00755AED" w:rsidRPr="00E7080C" w:rsidTr="00755AED">
        <w:trPr>
          <w:trHeight w:val="304"/>
        </w:trPr>
        <w:tc>
          <w:tcPr>
            <w:tcW w:w="817" w:type="dxa"/>
            <w:shd w:val="clear" w:color="auto" w:fill="FFFFFF" w:themeFill="background1"/>
          </w:tcPr>
          <w:p w:rsidR="00755AED" w:rsidRPr="00E7080C" w:rsidRDefault="00755AED" w:rsidP="00755AED">
            <w:pPr>
              <w:adjustRightInd w:val="0"/>
              <w:snapToGrid w:val="0"/>
              <w:spacing w:line="160" w:lineRule="atLeast"/>
              <w:jc w:val="left"/>
              <w:rPr>
                <w:rFonts w:asciiTheme="minorEastAsia" w:hAnsiTheme="minorEastAsia" w:cs="Times New Roman"/>
                <w:b/>
                <w:sz w:val="24"/>
                <w:szCs w:val="32"/>
              </w:rPr>
            </w:pPr>
          </w:p>
        </w:tc>
        <w:tc>
          <w:tcPr>
            <w:tcW w:w="1276" w:type="dxa"/>
            <w:shd w:val="clear" w:color="auto" w:fill="C00000"/>
          </w:tcPr>
          <w:p w:rsidR="00755AED" w:rsidRPr="00E7080C" w:rsidRDefault="00755AED" w:rsidP="00755AED">
            <w:pPr>
              <w:adjustRightInd w:val="0"/>
              <w:snapToGrid w:val="0"/>
              <w:spacing w:line="160" w:lineRule="atLeast"/>
              <w:jc w:val="left"/>
              <w:rPr>
                <w:rFonts w:asciiTheme="minorEastAsia" w:hAnsiTheme="minorEastAsia" w:cs="Times New Roman"/>
                <w:b/>
                <w:sz w:val="24"/>
                <w:szCs w:val="32"/>
              </w:rPr>
            </w:pPr>
            <w:r w:rsidRPr="00E7080C">
              <w:rPr>
                <w:rFonts w:asciiTheme="minorEastAsia" w:hAnsiTheme="minorEastAsia" w:cs="Times New Roman" w:hint="eastAsia"/>
                <w:b/>
                <w:sz w:val="24"/>
                <w:szCs w:val="32"/>
              </w:rPr>
              <w:t>红色事件</w:t>
            </w:r>
          </w:p>
        </w:tc>
        <w:tc>
          <w:tcPr>
            <w:tcW w:w="3275" w:type="dxa"/>
          </w:tcPr>
          <w:p w:rsidR="00755AED" w:rsidRPr="00E7080C" w:rsidRDefault="00755AED" w:rsidP="00755AED">
            <w:pPr>
              <w:adjustRightInd w:val="0"/>
              <w:snapToGrid w:val="0"/>
              <w:spacing w:line="160" w:lineRule="atLeast"/>
              <w:jc w:val="left"/>
              <w:rPr>
                <w:rFonts w:asciiTheme="minorEastAsia" w:hAnsiTheme="minorEastAsia" w:cs="Times New Roman"/>
                <w:sz w:val="24"/>
                <w:szCs w:val="32"/>
              </w:rPr>
            </w:pPr>
            <w:r w:rsidRPr="00E7080C">
              <w:rPr>
                <w:rFonts w:asciiTheme="minorEastAsia" w:hAnsiTheme="minorEastAsia" w:cs="Times New Roman" w:hint="eastAsia"/>
                <w:sz w:val="24"/>
                <w:szCs w:val="32"/>
              </w:rPr>
              <w:t>风险，采取措施</w:t>
            </w:r>
          </w:p>
        </w:tc>
        <w:tc>
          <w:tcPr>
            <w:tcW w:w="1274" w:type="dxa"/>
            <w:shd w:val="clear" w:color="auto" w:fill="E36C0A" w:themeFill="accent6" w:themeFillShade="BF"/>
          </w:tcPr>
          <w:p w:rsidR="00755AED" w:rsidRPr="00E7080C" w:rsidRDefault="00755AED" w:rsidP="00755AED">
            <w:pPr>
              <w:adjustRightInd w:val="0"/>
              <w:snapToGrid w:val="0"/>
              <w:spacing w:line="160" w:lineRule="atLeast"/>
              <w:jc w:val="left"/>
              <w:rPr>
                <w:rFonts w:asciiTheme="minorEastAsia" w:hAnsiTheme="minorEastAsia" w:cs="Times New Roman"/>
                <w:b/>
                <w:sz w:val="24"/>
                <w:szCs w:val="32"/>
              </w:rPr>
            </w:pPr>
            <w:r w:rsidRPr="00E7080C">
              <w:rPr>
                <w:rFonts w:asciiTheme="minorEastAsia" w:hAnsiTheme="minorEastAsia" w:cs="Times New Roman" w:hint="eastAsia"/>
                <w:b/>
                <w:color w:val="FFFFFF" w:themeColor="background1"/>
                <w:sz w:val="24"/>
                <w:szCs w:val="32"/>
              </w:rPr>
              <w:t>橙色事件</w:t>
            </w:r>
          </w:p>
        </w:tc>
        <w:tc>
          <w:tcPr>
            <w:tcW w:w="4381" w:type="dxa"/>
          </w:tcPr>
          <w:p w:rsidR="00755AED" w:rsidRPr="00E7080C" w:rsidRDefault="00755AED" w:rsidP="00755AED">
            <w:pPr>
              <w:adjustRightInd w:val="0"/>
              <w:snapToGrid w:val="0"/>
              <w:spacing w:line="160" w:lineRule="atLeast"/>
              <w:jc w:val="left"/>
              <w:rPr>
                <w:rFonts w:asciiTheme="minorEastAsia" w:hAnsiTheme="minorEastAsia" w:cs="Times New Roman"/>
                <w:sz w:val="24"/>
                <w:szCs w:val="32"/>
              </w:rPr>
            </w:pPr>
            <w:r w:rsidRPr="00E7080C">
              <w:rPr>
                <w:rFonts w:asciiTheme="minorEastAsia" w:hAnsiTheme="minorEastAsia" w:cs="Times New Roman" w:hint="eastAsia"/>
                <w:sz w:val="24"/>
                <w:szCs w:val="32"/>
              </w:rPr>
              <w:t>预警，分析反馈</w:t>
            </w:r>
          </w:p>
        </w:tc>
        <w:tc>
          <w:tcPr>
            <w:tcW w:w="1276" w:type="dxa"/>
            <w:shd w:val="clear" w:color="auto" w:fill="548DD4" w:themeFill="text2" w:themeFillTint="99"/>
          </w:tcPr>
          <w:p w:rsidR="00755AED" w:rsidRPr="00E7080C" w:rsidRDefault="00755AED" w:rsidP="00755AED">
            <w:pPr>
              <w:adjustRightInd w:val="0"/>
              <w:snapToGrid w:val="0"/>
              <w:spacing w:line="160" w:lineRule="atLeast"/>
              <w:jc w:val="left"/>
              <w:rPr>
                <w:rFonts w:asciiTheme="minorEastAsia" w:hAnsiTheme="minorEastAsia" w:cs="Times New Roman"/>
                <w:sz w:val="24"/>
                <w:szCs w:val="32"/>
              </w:rPr>
            </w:pPr>
            <w:r w:rsidRPr="00E7080C">
              <w:rPr>
                <w:rFonts w:asciiTheme="minorEastAsia" w:hAnsiTheme="minorEastAsia" w:cs="Times New Roman" w:hint="eastAsia"/>
                <w:sz w:val="24"/>
                <w:szCs w:val="32"/>
              </w:rPr>
              <w:t>蓝色事件</w:t>
            </w:r>
          </w:p>
        </w:tc>
        <w:tc>
          <w:tcPr>
            <w:tcW w:w="1875" w:type="dxa"/>
          </w:tcPr>
          <w:p w:rsidR="00755AED" w:rsidRPr="00E7080C" w:rsidRDefault="00755AED" w:rsidP="00755AED">
            <w:pPr>
              <w:adjustRightInd w:val="0"/>
              <w:snapToGrid w:val="0"/>
              <w:spacing w:line="160" w:lineRule="atLeast"/>
              <w:jc w:val="left"/>
              <w:rPr>
                <w:rFonts w:asciiTheme="minorEastAsia" w:hAnsiTheme="minorEastAsia" w:cs="Times New Roman"/>
                <w:sz w:val="24"/>
                <w:szCs w:val="32"/>
              </w:rPr>
            </w:pPr>
            <w:r w:rsidRPr="00E7080C">
              <w:rPr>
                <w:rFonts w:asciiTheme="minorEastAsia" w:hAnsiTheme="minorEastAsia" w:cs="Times New Roman" w:hint="eastAsia"/>
                <w:sz w:val="24"/>
                <w:szCs w:val="32"/>
              </w:rPr>
              <w:t>提示关注</w:t>
            </w:r>
          </w:p>
        </w:tc>
      </w:tr>
    </w:tbl>
    <w:p w:rsidR="00045135" w:rsidRPr="00E7080C" w:rsidRDefault="00045135" w:rsidP="00045135">
      <w:pPr>
        <w:spacing w:line="560" w:lineRule="exact"/>
        <w:jc w:val="left"/>
        <w:rPr>
          <w:rFonts w:ascii="仿宋_GB2312" w:eastAsia="仿宋_GB2312" w:hAnsi="Calibri" w:cs="Times New Roman"/>
          <w:sz w:val="32"/>
          <w:szCs w:val="32"/>
        </w:rPr>
        <w:sectPr w:rsidR="00045135" w:rsidRPr="00E7080C" w:rsidSect="000521EA">
          <w:headerReference w:type="first" r:id="rId8"/>
          <w:pgSz w:w="16838" w:h="11906" w:orient="landscape" w:code="9"/>
          <w:pgMar w:top="1134" w:right="1440" w:bottom="1134" w:left="1440" w:header="851" w:footer="992" w:gutter="0"/>
          <w:cols w:space="425"/>
          <w:titlePg/>
          <w:docGrid w:linePitch="312"/>
        </w:sectPr>
      </w:pPr>
    </w:p>
    <w:p w:rsidR="00432F41" w:rsidRPr="009A537B" w:rsidRDefault="00432F41" w:rsidP="00540422">
      <w:pPr>
        <w:spacing w:line="520" w:lineRule="exact"/>
        <w:ind w:firstLineChars="200" w:firstLine="643"/>
        <w:rPr>
          <w:rFonts w:ascii="仿宋_GB2312" w:eastAsia="仿宋_GB2312" w:hAnsi="Calibri" w:cs="Times New Roman"/>
          <w:b/>
          <w:sz w:val="32"/>
          <w:szCs w:val="32"/>
        </w:rPr>
      </w:pPr>
      <w:r w:rsidRPr="009A537B">
        <w:rPr>
          <w:rFonts w:ascii="仿宋_GB2312" w:eastAsia="仿宋_GB2312" w:hAnsi="Calibri" w:cs="Times New Roman" w:hint="eastAsia"/>
          <w:b/>
          <w:sz w:val="32"/>
          <w:szCs w:val="32"/>
        </w:rPr>
        <w:lastRenderedPageBreak/>
        <w:t>一、业务结构</w:t>
      </w:r>
    </w:p>
    <w:p w:rsidR="00432F41" w:rsidRPr="009A537B" w:rsidRDefault="00432F41" w:rsidP="00540422">
      <w:pPr>
        <w:spacing w:line="520" w:lineRule="exact"/>
        <w:ind w:firstLineChars="200" w:firstLine="643"/>
        <w:rPr>
          <w:rFonts w:ascii="仿宋_GB2312" w:eastAsia="仿宋_GB2312" w:hAnsi="Calibri" w:cs="Times New Roman"/>
          <w:b/>
          <w:sz w:val="32"/>
          <w:szCs w:val="32"/>
        </w:rPr>
      </w:pPr>
      <w:r w:rsidRPr="009A537B">
        <w:rPr>
          <w:rFonts w:ascii="仿宋_GB2312" w:eastAsia="仿宋_GB2312" w:hAnsi="Calibri" w:cs="Times New Roman" w:hint="eastAsia"/>
          <w:b/>
          <w:sz w:val="32"/>
          <w:szCs w:val="32"/>
        </w:rPr>
        <w:t>（一）同业业务中心</w:t>
      </w:r>
    </w:p>
    <w:tbl>
      <w:tblPr>
        <w:tblStyle w:val="a3"/>
        <w:tblW w:w="8776" w:type="dxa"/>
        <w:tblLayout w:type="fixed"/>
        <w:tblLook w:val="04A0" w:firstRow="1" w:lastRow="0" w:firstColumn="1" w:lastColumn="0" w:noHBand="0" w:noVBand="1"/>
      </w:tblPr>
      <w:tblGrid>
        <w:gridCol w:w="1384"/>
        <w:gridCol w:w="1985"/>
        <w:gridCol w:w="1134"/>
        <w:gridCol w:w="1417"/>
        <w:gridCol w:w="1701"/>
        <w:gridCol w:w="1155"/>
      </w:tblGrid>
      <w:tr w:rsidR="00432F41" w:rsidRPr="009A537B" w:rsidTr="001B5773">
        <w:trPr>
          <w:trHeight w:val="270"/>
        </w:trPr>
        <w:tc>
          <w:tcPr>
            <w:tcW w:w="3369" w:type="dxa"/>
            <w:gridSpan w:val="2"/>
            <w:tcBorders>
              <w:top w:val="nil"/>
              <w:left w:val="nil"/>
              <w:right w:val="nil"/>
            </w:tcBorders>
            <w:noWrap/>
            <w:hideMark/>
          </w:tcPr>
          <w:p w:rsidR="00432F41" w:rsidRPr="009A537B" w:rsidRDefault="00432F41" w:rsidP="001B5773">
            <w:pPr>
              <w:widowControl/>
              <w:rPr>
                <w:rFonts w:ascii="仿宋" w:eastAsia="仿宋" w:hAnsi="仿宋" w:cs="宋体"/>
                <w:color w:val="000000"/>
                <w:kern w:val="0"/>
                <w:sz w:val="24"/>
                <w:szCs w:val="24"/>
              </w:rPr>
            </w:pPr>
            <w:r w:rsidRPr="009A537B">
              <w:rPr>
                <w:rFonts w:ascii="仿宋" w:eastAsia="仿宋" w:hAnsi="仿宋" w:cs="宋体" w:hint="eastAsia"/>
                <w:color w:val="000000"/>
                <w:kern w:val="0"/>
                <w:sz w:val="24"/>
                <w:szCs w:val="24"/>
              </w:rPr>
              <w:t>部门:同业业务中心</w:t>
            </w:r>
          </w:p>
        </w:tc>
        <w:tc>
          <w:tcPr>
            <w:tcW w:w="1134" w:type="dxa"/>
            <w:tcBorders>
              <w:top w:val="nil"/>
              <w:left w:val="nil"/>
              <w:right w:val="nil"/>
            </w:tcBorders>
            <w:noWrap/>
            <w:hideMark/>
          </w:tcPr>
          <w:p w:rsidR="00432F41" w:rsidRPr="009A537B" w:rsidRDefault="00432F41" w:rsidP="001B5773">
            <w:pPr>
              <w:widowControl/>
              <w:rPr>
                <w:rFonts w:ascii="仿宋" w:eastAsia="仿宋" w:hAnsi="仿宋" w:cs="宋体"/>
                <w:color w:val="000000"/>
                <w:kern w:val="0"/>
                <w:sz w:val="24"/>
                <w:szCs w:val="24"/>
              </w:rPr>
            </w:pPr>
          </w:p>
        </w:tc>
        <w:tc>
          <w:tcPr>
            <w:tcW w:w="1417" w:type="dxa"/>
            <w:tcBorders>
              <w:top w:val="nil"/>
              <w:left w:val="nil"/>
              <w:right w:val="nil"/>
            </w:tcBorders>
            <w:noWrap/>
            <w:hideMark/>
          </w:tcPr>
          <w:p w:rsidR="00432F41" w:rsidRPr="009A537B" w:rsidRDefault="00432F41" w:rsidP="001B5773">
            <w:pPr>
              <w:widowControl/>
              <w:rPr>
                <w:rFonts w:ascii="仿宋" w:eastAsia="仿宋" w:hAnsi="仿宋" w:cs="宋体"/>
                <w:color w:val="000000"/>
                <w:kern w:val="0"/>
                <w:sz w:val="24"/>
                <w:szCs w:val="24"/>
              </w:rPr>
            </w:pPr>
          </w:p>
        </w:tc>
        <w:tc>
          <w:tcPr>
            <w:tcW w:w="2856" w:type="dxa"/>
            <w:gridSpan w:val="2"/>
            <w:tcBorders>
              <w:top w:val="nil"/>
              <w:left w:val="nil"/>
              <w:right w:val="nil"/>
            </w:tcBorders>
            <w:noWrap/>
            <w:vAlign w:val="center"/>
            <w:hideMark/>
          </w:tcPr>
          <w:p w:rsidR="00432F41" w:rsidRPr="009A537B" w:rsidRDefault="00432F41" w:rsidP="001B5773">
            <w:pPr>
              <w:widowControl/>
              <w:jc w:val="right"/>
              <w:rPr>
                <w:rFonts w:ascii="仿宋" w:eastAsia="仿宋" w:hAnsi="仿宋" w:cs="宋体"/>
                <w:color w:val="000000"/>
                <w:kern w:val="0"/>
                <w:sz w:val="24"/>
                <w:szCs w:val="24"/>
              </w:rPr>
            </w:pPr>
            <w:r w:rsidRPr="009A537B">
              <w:rPr>
                <w:rFonts w:ascii="仿宋" w:eastAsia="仿宋" w:hAnsi="仿宋" w:cs="宋体" w:hint="eastAsia"/>
                <w:color w:val="000000"/>
                <w:kern w:val="0"/>
                <w:sz w:val="24"/>
                <w:szCs w:val="24"/>
              </w:rPr>
              <w:t>单位：万元、%</w:t>
            </w:r>
          </w:p>
        </w:tc>
      </w:tr>
      <w:tr w:rsidR="00432F41" w:rsidRPr="009A537B" w:rsidTr="001B5773">
        <w:trPr>
          <w:trHeight w:val="270"/>
        </w:trPr>
        <w:tc>
          <w:tcPr>
            <w:tcW w:w="1384" w:type="dxa"/>
            <w:noWrap/>
            <w:hideMark/>
          </w:tcPr>
          <w:p w:rsidR="00432F41" w:rsidRPr="009A537B" w:rsidRDefault="00432F41" w:rsidP="001B5773">
            <w:pPr>
              <w:adjustRightInd w:val="0"/>
              <w:snapToGrid w:val="0"/>
              <w:jc w:val="center"/>
              <w:rPr>
                <w:rFonts w:asciiTheme="minorEastAsia" w:hAnsiTheme="minorEastAsia" w:cs="Times New Roman"/>
                <w:b/>
                <w:sz w:val="28"/>
                <w:szCs w:val="28"/>
              </w:rPr>
            </w:pPr>
            <w:r w:rsidRPr="009A537B">
              <w:rPr>
                <w:rFonts w:asciiTheme="minorEastAsia" w:hAnsiTheme="minorEastAsia" w:cs="Times New Roman" w:hint="eastAsia"/>
                <w:b/>
                <w:sz w:val="28"/>
                <w:szCs w:val="28"/>
              </w:rPr>
              <w:t>资产</w:t>
            </w:r>
          </w:p>
        </w:tc>
        <w:tc>
          <w:tcPr>
            <w:tcW w:w="1985" w:type="dxa"/>
            <w:noWrap/>
            <w:hideMark/>
          </w:tcPr>
          <w:p w:rsidR="00432F41" w:rsidRPr="009A537B" w:rsidRDefault="00432F41" w:rsidP="001B5773">
            <w:pPr>
              <w:adjustRightInd w:val="0"/>
              <w:snapToGrid w:val="0"/>
              <w:jc w:val="center"/>
              <w:rPr>
                <w:rFonts w:asciiTheme="minorEastAsia" w:hAnsiTheme="minorEastAsia" w:cs="Times New Roman"/>
                <w:b/>
                <w:sz w:val="28"/>
                <w:szCs w:val="28"/>
              </w:rPr>
            </w:pPr>
            <w:r w:rsidRPr="009A537B">
              <w:rPr>
                <w:rFonts w:asciiTheme="minorEastAsia" w:hAnsiTheme="minorEastAsia" w:cs="Times New Roman" w:hint="eastAsia"/>
                <w:b/>
                <w:sz w:val="28"/>
                <w:szCs w:val="28"/>
              </w:rPr>
              <w:t>余额</w:t>
            </w:r>
          </w:p>
        </w:tc>
        <w:tc>
          <w:tcPr>
            <w:tcW w:w="1134" w:type="dxa"/>
            <w:noWrap/>
            <w:hideMark/>
          </w:tcPr>
          <w:p w:rsidR="00432F41" w:rsidRPr="009A537B" w:rsidRDefault="00432F41" w:rsidP="001B5773">
            <w:pPr>
              <w:adjustRightInd w:val="0"/>
              <w:snapToGrid w:val="0"/>
              <w:jc w:val="center"/>
              <w:rPr>
                <w:rFonts w:asciiTheme="minorEastAsia" w:hAnsiTheme="minorEastAsia" w:cs="Times New Roman"/>
                <w:b/>
                <w:sz w:val="28"/>
                <w:szCs w:val="28"/>
              </w:rPr>
            </w:pPr>
            <w:r w:rsidRPr="009A537B">
              <w:rPr>
                <w:rFonts w:asciiTheme="minorEastAsia" w:hAnsiTheme="minorEastAsia" w:cs="Times New Roman" w:hint="eastAsia"/>
                <w:b/>
                <w:sz w:val="28"/>
                <w:szCs w:val="28"/>
              </w:rPr>
              <w:t>占比</w:t>
            </w:r>
          </w:p>
        </w:tc>
        <w:tc>
          <w:tcPr>
            <w:tcW w:w="1417" w:type="dxa"/>
            <w:noWrap/>
            <w:hideMark/>
          </w:tcPr>
          <w:p w:rsidR="00432F41" w:rsidRPr="009A537B" w:rsidRDefault="00432F41" w:rsidP="001B5773">
            <w:pPr>
              <w:adjustRightInd w:val="0"/>
              <w:snapToGrid w:val="0"/>
              <w:jc w:val="center"/>
              <w:rPr>
                <w:rFonts w:asciiTheme="minorEastAsia" w:hAnsiTheme="minorEastAsia" w:cs="Times New Roman"/>
                <w:b/>
                <w:sz w:val="28"/>
                <w:szCs w:val="28"/>
              </w:rPr>
            </w:pPr>
            <w:r w:rsidRPr="009A537B">
              <w:rPr>
                <w:rFonts w:asciiTheme="minorEastAsia" w:hAnsiTheme="minorEastAsia" w:cs="Times New Roman" w:hint="eastAsia"/>
                <w:b/>
                <w:sz w:val="28"/>
                <w:szCs w:val="28"/>
              </w:rPr>
              <w:t>负债</w:t>
            </w:r>
          </w:p>
        </w:tc>
        <w:tc>
          <w:tcPr>
            <w:tcW w:w="1701" w:type="dxa"/>
            <w:noWrap/>
            <w:hideMark/>
          </w:tcPr>
          <w:p w:rsidR="00432F41" w:rsidRPr="009A537B" w:rsidRDefault="00432F41" w:rsidP="001B5773">
            <w:pPr>
              <w:adjustRightInd w:val="0"/>
              <w:snapToGrid w:val="0"/>
              <w:jc w:val="center"/>
              <w:rPr>
                <w:rFonts w:asciiTheme="minorEastAsia" w:hAnsiTheme="minorEastAsia" w:cs="Times New Roman"/>
                <w:b/>
                <w:sz w:val="28"/>
                <w:szCs w:val="28"/>
              </w:rPr>
            </w:pPr>
            <w:r w:rsidRPr="009A537B">
              <w:rPr>
                <w:rFonts w:asciiTheme="minorEastAsia" w:hAnsiTheme="minorEastAsia" w:cs="Times New Roman" w:hint="eastAsia"/>
                <w:b/>
                <w:sz w:val="28"/>
                <w:szCs w:val="28"/>
              </w:rPr>
              <w:t>余额</w:t>
            </w:r>
          </w:p>
        </w:tc>
        <w:tc>
          <w:tcPr>
            <w:tcW w:w="1155" w:type="dxa"/>
            <w:noWrap/>
            <w:hideMark/>
          </w:tcPr>
          <w:p w:rsidR="00432F41" w:rsidRPr="009A537B" w:rsidRDefault="00432F41" w:rsidP="001B5773">
            <w:pPr>
              <w:adjustRightInd w:val="0"/>
              <w:snapToGrid w:val="0"/>
              <w:jc w:val="center"/>
              <w:rPr>
                <w:rFonts w:asciiTheme="minorEastAsia" w:hAnsiTheme="minorEastAsia" w:cs="Times New Roman"/>
                <w:b/>
                <w:sz w:val="28"/>
                <w:szCs w:val="28"/>
              </w:rPr>
            </w:pPr>
            <w:r w:rsidRPr="009A537B">
              <w:rPr>
                <w:rFonts w:asciiTheme="minorEastAsia" w:hAnsiTheme="minorEastAsia" w:cs="Times New Roman" w:hint="eastAsia"/>
                <w:b/>
                <w:sz w:val="28"/>
                <w:szCs w:val="28"/>
              </w:rPr>
              <w:t>占比</w:t>
            </w:r>
          </w:p>
        </w:tc>
      </w:tr>
      <w:tr w:rsidR="009A537B" w:rsidRPr="009A537B" w:rsidTr="005C04AC">
        <w:trPr>
          <w:trHeight w:val="270"/>
        </w:trPr>
        <w:tc>
          <w:tcPr>
            <w:tcW w:w="1384" w:type="dxa"/>
            <w:noWrap/>
            <w:vAlign w:val="center"/>
          </w:tcPr>
          <w:p>
            <w:pPr>
              <w:jc w:val="center"/>
            </w:pPr>
            <w:r>
              <w:rPr>
                <w:rFonts w:ascii="宋体" w:hAnsi="宋体"/>
                <w:b w:val="0"/>
                <w:sz w:val="28"/>
              </w:rPr>
              <w:t>SPV</w:t>
            </w:r>
          </w:p>
        </w:tc>
        <w:tc>
          <w:tcPr>
            <w:tcW w:w="1985" w:type="dxa"/>
            <w:noWrap/>
            <w:vAlign w:val="center"/>
          </w:tcPr>
          <w:p>
            <w:pPr>
              <w:jc w:val="center"/>
            </w:pPr>
            <w:r>
              <w:rPr>
                <w:rFonts w:ascii="宋体" w:hAnsi="宋体"/>
                <w:b w:val="0"/>
                <w:sz w:val="28"/>
              </w:rPr>
              <w:t>54.37</w:t>
            </w:r>
          </w:p>
        </w:tc>
        <w:tc>
          <w:tcPr>
            <w:tcW w:w="1134" w:type="dxa"/>
            <w:noWrap/>
            <w:vAlign w:val="center"/>
          </w:tcPr>
          <w:p>
            <w:pPr>
              <w:jc w:val="center"/>
            </w:pPr>
            <w:r>
              <w:rPr>
                <w:rFonts w:ascii="宋体" w:hAnsi="宋体"/>
                <w:b w:val="0"/>
                <w:sz w:val="28"/>
              </w:rPr>
              <w:t>13.07%</w:t>
            </w:r>
          </w:p>
        </w:tc>
        <w:tc>
          <w:tcPr>
            <w:tcW w:w="1417" w:type="dxa"/>
            <w:noWrap/>
            <w:vAlign w:val="center"/>
          </w:tcPr>
          <w:p>
            <w:pPr>
              <w:jc w:val="center"/>
            </w:pPr>
            <w:r>
              <w:rPr>
                <w:rFonts w:ascii="宋体" w:hAnsi="宋体"/>
                <w:b w:val="0"/>
                <w:sz w:val="28"/>
              </w:rPr>
              <w:t>同业借款</w:t>
            </w:r>
          </w:p>
        </w:tc>
        <w:tc>
          <w:tcPr>
            <w:tcW w:w="1701" w:type="dxa"/>
            <w:noWrap/>
            <w:vAlign w:val="center"/>
          </w:tcPr>
          <w:p>
            <w:pPr>
              <w:jc w:val="center"/>
            </w:pPr>
            <w:r>
              <w:rPr>
                <w:rFonts w:ascii="宋体" w:hAnsi="宋体"/>
                <w:b w:val="0"/>
                <w:sz w:val="28"/>
              </w:rPr>
              <w:t>3.0</w:t>
            </w:r>
          </w:p>
        </w:tc>
        <w:tc>
          <w:tcPr>
            <w:tcW w:w="1155" w:type="dxa"/>
            <w:noWrap/>
            <w:vAlign w:val="center"/>
          </w:tcPr>
          <w:p>
            <w:pPr>
              <w:jc w:val="center"/>
            </w:pPr>
            <w:r>
              <w:rPr>
                <w:rFonts w:ascii="宋体" w:hAnsi="宋体"/>
                <w:b w:val="0"/>
                <w:sz w:val="28"/>
              </w:rPr>
              <w:t>50.0%</w:t>
            </w:r>
          </w:p>
        </w:tc>
      </w:tr>
      <w:tr w:rsidR="009A537B" w:rsidRPr="009A537B" w:rsidTr="005C04AC">
        <w:trPr>
          <w:trHeight w:val="270"/>
        </w:trPr>
        <w:tc>
          <w:tcPr>
            <w:tcW w:w="1384" w:type="dxa"/>
            <w:noWrap/>
            <w:vAlign w:val="center"/>
          </w:tcPr>
          <w:p>
            <w:pPr>
              <w:jc w:val="center"/>
            </w:pPr>
            <w:r>
              <w:rPr>
                <w:rFonts w:ascii="宋体" w:hAnsi="宋体"/>
                <w:b w:val="0"/>
                <w:sz w:val="28"/>
              </w:rPr>
              <w:t>债券</w:t>
            </w:r>
          </w:p>
        </w:tc>
        <w:tc>
          <w:tcPr>
            <w:tcW w:w="1985" w:type="dxa"/>
            <w:noWrap/>
            <w:vAlign w:val="center"/>
          </w:tcPr>
          <w:p>
            <w:pPr>
              <w:jc w:val="center"/>
            </w:pPr>
            <w:r>
              <w:rPr>
                <w:rFonts w:ascii="宋体" w:hAnsi="宋体"/>
                <w:b w:val="0"/>
                <w:sz w:val="28"/>
              </w:rPr>
              <w:t>312.95</w:t>
            </w:r>
          </w:p>
        </w:tc>
        <w:tc>
          <w:tcPr>
            <w:tcW w:w="1134" w:type="dxa"/>
            <w:noWrap/>
            <w:vAlign w:val="center"/>
          </w:tcPr>
          <w:p>
            <w:pPr>
              <w:jc w:val="center"/>
            </w:pPr>
            <w:r>
              <w:rPr>
                <w:rFonts w:ascii="宋体" w:hAnsi="宋体"/>
                <w:b w:val="0"/>
                <w:sz w:val="28"/>
              </w:rPr>
              <w:t>75.23%</w:t>
            </w:r>
          </w:p>
        </w:tc>
        <w:tc>
          <w:tcPr>
            <w:tcW w:w="1417" w:type="dxa"/>
            <w:noWrap/>
            <w:vAlign w:val="center"/>
          </w:tcPr>
          <w:p>
            <w:pPr>
              <w:jc w:val="center"/>
            </w:pPr>
            <w:r>
              <w:rPr>
                <w:rFonts w:ascii="宋体" w:hAnsi="宋体"/>
                <w:b w:val="0"/>
                <w:sz w:val="28"/>
              </w:rPr>
              <w:t>质押式回购</w:t>
            </w:r>
          </w:p>
        </w:tc>
        <w:tc>
          <w:tcPr>
            <w:tcW w:w="1701" w:type="dxa"/>
            <w:noWrap/>
            <w:vAlign w:val="center"/>
          </w:tcPr>
          <w:p>
            <w:pPr>
              <w:jc w:val="center"/>
            </w:pPr>
            <w:r>
              <w:rPr>
                <w:rFonts w:ascii="宋体" w:hAnsi="宋体"/>
                <w:b w:val="0"/>
                <w:sz w:val="28"/>
              </w:rPr>
              <w:t>3.0</w:t>
            </w:r>
          </w:p>
        </w:tc>
        <w:tc>
          <w:tcPr>
            <w:tcW w:w="1155" w:type="dxa"/>
            <w:noWrap/>
            <w:vAlign w:val="center"/>
          </w:tcPr>
          <w:p>
            <w:pPr>
              <w:jc w:val="center"/>
            </w:pPr>
            <w:r>
              <w:rPr>
                <w:rFonts w:ascii="宋体" w:hAnsi="宋体"/>
                <w:b w:val="0"/>
                <w:sz w:val="28"/>
              </w:rPr>
              <w:t>50.0%</w:t>
            </w:r>
          </w:p>
        </w:tc>
      </w:tr>
      <w:tr w:rsidR="009A537B" w:rsidRPr="009A537B" w:rsidTr="00F5289D">
        <w:trPr>
          <w:trHeight w:val="270"/>
        </w:trPr>
        <w:tc>
          <w:tcPr>
            <w:tcW w:w="1384" w:type="dxa"/>
            <w:noWrap/>
          </w:tcPr>
          <w:p>
            <w:pPr>
              <w:jc w:val="center"/>
            </w:pPr>
            <w:r>
              <w:rPr>
                <w:rFonts w:ascii="宋体" w:hAnsi="宋体"/>
                <w:b w:val="0"/>
                <w:sz w:val="28"/>
              </w:rPr>
              <w:t>债券借贷</w:t>
            </w:r>
          </w:p>
        </w:tc>
        <w:tc>
          <w:tcPr>
            <w:tcW w:w="1985" w:type="dxa"/>
            <w:noWrap/>
            <w:vAlign w:val="center"/>
          </w:tcPr>
          <w:p>
            <w:pPr>
              <w:jc w:val="center"/>
            </w:pPr>
            <w:r>
              <w:rPr>
                <w:rFonts w:ascii="宋体" w:hAnsi="宋体"/>
                <w:b w:val="0"/>
                <w:sz w:val="28"/>
              </w:rPr>
              <w:t>3.3</w:t>
            </w:r>
          </w:p>
        </w:tc>
        <w:tc>
          <w:tcPr>
            <w:tcW w:w="1134" w:type="dxa"/>
            <w:noWrap/>
            <w:vAlign w:val="center"/>
          </w:tcPr>
          <w:p>
            <w:pPr>
              <w:jc w:val="center"/>
            </w:pPr>
            <w:r>
              <w:rPr>
                <w:rFonts w:ascii="宋体" w:hAnsi="宋体"/>
                <w:b w:val="0"/>
                <w:sz w:val="28"/>
              </w:rPr>
              <w:t>0.79%</w:t>
            </w:r>
          </w:p>
        </w:tc>
        <w:tc>
          <w:tcPr>
            <w:tcW w:w="1417" w:type="dxa"/>
            <w:noWrap/>
          </w:tcPr>
          <w:p w:rsidR="009A537B" w:rsidRPr="009A537B" w:rsidRDefault="009A537B" w:rsidP="001B5773">
            <w:pPr>
              <w:adjustRightInd w:val="0"/>
              <w:snapToGrid w:val="0"/>
              <w:jc w:val="center"/>
              <w:rPr>
                <w:rFonts w:asciiTheme="minorEastAsia" w:hAnsiTheme="minorEastAsia" w:cs="Times New Roman"/>
                <w:sz w:val="28"/>
                <w:szCs w:val="28"/>
              </w:rPr>
            </w:pPr>
          </w:p>
        </w:tc>
        <w:tc>
          <w:tcPr>
            <w:tcW w:w="1701" w:type="dxa"/>
            <w:noWrap/>
          </w:tcPr>
          <w:p w:rsidR="009A537B" w:rsidRPr="009A537B" w:rsidRDefault="009A537B" w:rsidP="001B5773">
            <w:pPr>
              <w:adjustRightInd w:val="0"/>
              <w:snapToGrid w:val="0"/>
              <w:jc w:val="center"/>
              <w:rPr>
                <w:rFonts w:asciiTheme="minorEastAsia" w:hAnsiTheme="minorEastAsia" w:cs="Times New Roman"/>
                <w:sz w:val="28"/>
                <w:szCs w:val="28"/>
              </w:rPr>
            </w:pPr>
          </w:p>
        </w:tc>
        <w:tc>
          <w:tcPr>
            <w:tcW w:w="1155" w:type="dxa"/>
            <w:noWrap/>
          </w:tcPr>
          <w:p w:rsidR="009A537B" w:rsidRPr="009A537B" w:rsidRDefault="009A537B" w:rsidP="001B5773">
            <w:pPr>
              <w:adjustRightInd w:val="0"/>
              <w:snapToGrid w:val="0"/>
              <w:jc w:val="center"/>
              <w:rPr>
                <w:rFonts w:asciiTheme="minorEastAsia" w:hAnsiTheme="minorEastAsia" w:cs="Times New Roman"/>
                <w:sz w:val="28"/>
                <w:szCs w:val="28"/>
              </w:rPr>
            </w:pPr>
          </w:p>
        </w:tc>
      </w:tr>
      <w:tr w:rsidR="009A537B" w:rsidRPr="009A537B" w:rsidTr="00F5289D">
        <w:trPr>
          <w:trHeight w:val="270"/>
        </w:trPr>
        <w:tc>
          <w:tcPr>
            <w:tcW w:w="1384" w:type="dxa"/>
            <w:noWrap/>
          </w:tcPr>
          <w:p>
            <w:pPr>
              <w:jc w:val="center"/>
            </w:pPr>
            <w:r>
              <w:rPr>
                <w:rFonts w:ascii="宋体" w:hAnsi="宋体"/>
                <w:b w:val="0"/>
                <w:sz w:val="28"/>
              </w:rPr>
              <w:t>同业拆借</w:t>
            </w:r>
          </w:p>
        </w:tc>
        <w:tc>
          <w:tcPr>
            <w:tcW w:w="1985" w:type="dxa"/>
            <w:noWrap/>
            <w:vAlign w:val="center"/>
          </w:tcPr>
          <w:p>
            <w:pPr>
              <w:jc w:val="center"/>
            </w:pPr>
            <w:r>
              <w:rPr>
                <w:rFonts w:ascii="宋体" w:hAnsi="宋体"/>
                <w:b w:val="0"/>
                <w:sz w:val="28"/>
              </w:rPr>
              <w:t>11.0</w:t>
            </w:r>
          </w:p>
        </w:tc>
        <w:tc>
          <w:tcPr>
            <w:tcW w:w="1134" w:type="dxa"/>
            <w:noWrap/>
            <w:vAlign w:val="center"/>
          </w:tcPr>
          <w:p>
            <w:pPr>
              <w:jc w:val="center"/>
            </w:pPr>
            <w:r>
              <w:rPr>
                <w:rFonts w:ascii="宋体" w:hAnsi="宋体"/>
                <w:b w:val="0"/>
                <w:sz w:val="28"/>
              </w:rPr>
              <w:t>2.64%</w:t>
            </w:r>
          </w:p>
        </w:tc>
        <w:tc>
          <w:tcPr>
            <w:tcW w:w="1417" w:type="dxa"/>
            <w:noWrap/>
          </w:tcPr>
          <w:p w:rsidR="009A537B" w:rsidRPr="009A537B" w:rsidRDefault="009A537B" w:rsidP="001B5773">
            <w:pPr>
              <w:adjustRightInd w:val="0"/>
              <w:snapToGrid w:val="0"/>
              <w:jc w:val="center"/>
              <w:rPr>
                <w:rFonts w:asciiTheme="minorEastAsia" w:hAnsiTheme="minorEastAsia" w:cs="Times New Roman"/>
                <w:sz w:val="28"/>
                <w:szCs w:val="28"/>
              </w:rPr>
            </w:pPr>
          </w:p>
        </w:tc>
        <w:tc>
          <w:tcPr>
            <w:tcW w:w="1701" w:type="dxa"/>
            <w:noWrap/>
          </w:tcPr>
          <w:p w:rsidR="009A537B" w:rsidRPr="009A537B" w:rsidRDefault="009A537B" w:rsidP="001B5773">
            <w:pPr>
              <w:adjustRightInd w:val="0"/>
              <w:snapToGrid w:val="0"/>
              <w:jc w:val="center"/>
              <w:rPr>
                <w:rFonts w:asciiTheme="minorEastAsia" w:hAnsiTheme="minorEastAsia" w:cs="Times New Roman"/>
                <w:sz w:val="28"/>
                <w:szCs w:val="28"/>
              </w:rPr>
            </w:pPr>
          </w:p>
        </w:tc>
        <w:tc>
          <w:tcPr>
            <w:tcW w:w="1155" w:type="dxa"/>
            <w:noWrap/>
          </w:tcPr>
          <w:p w:rsidR="009A537B" w:rsidRPr="009A537B" w:rsidRDefault="009A537B" w:rsidP="001B5773">
            <w:pPr>
              <w:adjustRightInd w:val="0"/>
              <w:snapToGrid w:val="0"/>
              <w:jc w:val="center"/>
              <w:rPr>
                <w:rFonts w:asciiTheme="minorEastAsia" w:hAnsiTheme="minorEastAsia" w:cs="Times New Roman"/>
                <w:sz w:val="28"/>
                <w:szCs w:val="28"/>
              </w:rPr>
            </w:pPr>
          </w:p>
        </w:tc>
      </w:tr>
      <w:tr w:rsidR="009A537B" w:rsidRPr="009A537B" w:rsidTr="005C04AC">
        <w:trPr>
          <w:trHeight w:val="270"/>
        </w:trPr>
        <w:tc>
          <w:tcPr>
            <w:tcW w:w="1384" w:type="dxa"/>
            <w:noWrap/>
          </w:tcPr>
          <w:p>
            <w:pPr>
              <w:jc w:val="center"/>
            </w:pPr>
            <w:r>
              <w:rPr>
                <w:rFonts w:ascii="宋体" w:hAnsi="宋体"/>
                <w:b w:val="0"/>
                <w:sz w:val="28"/>
              </w:rPr>
              <w:t>质押式回购</w:t>
            </w:r>
          </w:p>
        </w:tc>
        <w:tc>
          <w:tcPr>
            <w:tcW w:w="1985" w:type="dxa"/>
            <w:noWrap/>
            <w:vAlign w:val="center"/>
          </w:tcPr>
          <w:p>
            <w:pPr>
              <w:jc w:val="center"/>
            </w:pPr>
            <w:r>
              <w:rPr>
                <w:rFonts w:ascii="宋体" w:hAnsi="宋体"/>
                <w:b w:val="0"/>
                <w:sz w:val="28"/>
              </w:rPr>
              <w:t>34.38</w:t>
            </w:r>
          </w:p>
        </w:tc>
        <w:tc>
          <w:tcPr>
            <w:tcW w:w="1134" w:type="dxa"/>
            <w:noWrap/>
            <w:vAlign w:val="center"/>
          </w:tcPr>
          <w:p>
            <w:pPr>
              <w:jc w:val="center"/>
            </w:pPr>
            <w:r>
              <w:rPr>
                <w:rFonts w:ascii="宋体" w:hAnsi="宋体"/>
                <w:b w:val="0"/>
                <w:sz w:val="28"/>
              </w:rPr>
              <w:t>8.27%</w:t>
            </w:r>
          </w:p>
        </w:tc>
        <w:tc>
          <w:tcPr>
            <w:tcW w:w="1417" w:type="dxa"/>
            <w:noWrap/>
          </w:tcPr>
          <w:p w:rsidR="009A537B" w:rsidRPr="009A537B" w:rsidRDefault="009A537B" w:rsidP="001B5773">
            <w:pPr>
              <w:adjustRightInd w:val="0"/>
              <w:snapToGrid w:val="0"/>
              <w:jc w:val="center"/>
              <w:rPr>
                <w:rFonts w:asciiTheme="minorEastAsia" w:hAnsiTheme="minorEastAsia" w:cs="Times New Roman"/>
                <w:sz w:val="28"/>
                <w:szCs w:val="28"/>
              </w:rPr>
            </w:pPr>
          </w:p>
        </w:tc>
        <w:tc>
          <w:tcPr>
            <w:tcW w:w="1701" w:type="dxa"/>
            <w:noWrap/>
          </w:tcPr>
          <w:p w:rsidR="009A537B" w:rsidRPr="009A537B" w:rsidRDefault="009A537B" w:rsidP="001B5773">
            <w:pPr>
              <w:adjustRightInd w:val="0"/>
              <w:snapToGrid w:val="0"/>
              <w:jc w:val="center"/>
              <w:rPr>
                <w:rFonts w:asciiTheme="minorEastAsia" w:hAnsiTheme="minorEastAsia" w:cs="Times New Roman"/>
                <w:sz w:val="28"/>
                <w:szCs w:val="28"/>
              </w:rPr>
            </w:pPr>
          </w:p>
        </w:tc>
        <w:tc>
          <w:tcPr>
            <w:tcW w:w="1155" w:type="dxa"/>
            <w:noWrap/>
          </w:tcPr>
          <w:p w:rsidR="009A537B" w:rsidRPr="009A537B" w:rsidRDefault="009A537B" w:rsidP="001B5773">
            <w:pPr>
              <w:adjustRightInd w:val="0"/>
              <w:snapToGrid w:val="0"/>
              <w:jc w:val="center"/>
              <w:rPr>
                <w:rFonts w:asciiTheme="minorEastAsia" w:hAnsiTheme="minorEastAsia" w:cs="Times New Roman"/>
                <w:sz w:val="28"/>
                <w:szCs w:val="28"/>
              </w:rPr>
            </w:pPr>
          </w:p>
        </w:tc>
      </w:tr>
      <w:tr w:rsidR="00E13056" w:rsidRPr="009A537B" w:rsidTr="00807340">
        <w:trPr>
          <w:trHeight w:val="270"/>
        </w:trPr>
        <w:tc>
          <w:tcPr>
            <w:tcW w:w="1384" w:type="dxa"/>
            <w:tcBorders>
              <w:bottom w:val="single" w:sz="4" w:space="0" w:color="auto"/>
            </w:tcBorders>
            <w:noWrap/>
            <w:hideMark/>
          </w:tcPr>
          <w:p w:rsidR="00E13056" w:rsidRPr="009A537B" w:rsidRDefault="00E13056" w:rsidP="001B5773">
            <w:pPr>
              <w:adjustRightInd w:val="0"/>
              <w:snapToGrid w:val="0"/>
              <w:jc w:val="center"/>
              <w:rPr>
                <w:rFonts w:asciiTheme="minorEastAsia" w:hAnsiTheme="minorEastAsia" w:cs="Times New Roman"/>
                <w:b/>
                <w:sz w:val="28"/>
                <w:szCs w:val="28"/>
              </w:rPr>
            </w:pPr>
            <w:r w:rsidRPr="009A537B">
              <w:rPr>
                <w:rFonts w:asciiTheme="minorEastAsia" w:hAnsiTheme="minorEastAsia" w:cs="Times New Roman" w:hint="eastAsia"/>
                <w:b/>
                <w:sz w:val="28"/>
                <w:szCs w:val="28"/>
              </w:rPr>
              <w:t>资产合计</w:t>
            </w:r>
          </w:p>
        </w:tc>
        <w:tc>
          <w:tcPr>
            <w:tcW w:w="1985" w:type="dxa"/>
            <w:tcBorders>
              <w:bottom w:val="single" w:sz="4" w:space="0" w:color="auto"/>
            </w:tcBorders>
            <w:noWrap/>
            <w:vAlign w:val="center"/>
            <w:hideMark/>
          </w:tcPr>
          <w:p>
            <w:pPr>
              <w:jc w:val="center"/>
            </w:pPr>
            <w:r>
              <w:rPr>
                <w:rFonts w:ascii="宋体" w:hAnsi="宋体"/>
                <w:b/>
                <w:sz w:val="28"/>
              </w:rPr>
              <w:t>416.01</w:t>
            </w:r>
          </w:p>
        </w:tc>
        <w:tc>
          <w:tcPr>
            <w:tcW w:w="1134" w:type="dxa"/>
            <w:tcBorders>
              <w:bottom w:val="single" w:sz="4" w:space="0" w:color="auto"/>
            </w:tcBorders>
            <w:noWrap/>
            <w:vAlign w:val="center"/>
            <w:hideMark/>
          </w:tcPr>
          <w:p w:rsidR="00E13056" w:rsidRPr="009A537B" w:rsidRDefault="00E13056" w:rsidP="00201991">
            <w:pPr>
              <w:adjustRightInd w:val="0"/>
              <w:snapToGrid w:val="0"/>
              <w:jc w:val="center"/>
              <w:rPr>
                <w:rFonts w:asciiTheme="minorEastAsia" w:hAnsiTheme="minorEastAsia" w:cs="Times New Roman"/>
                <w:b/>
                <w:sz w:val="28"/>
                <w:szCs w:val="28"/>
              </w:rPr>
            </w:pPr>
            <w:r w:rsidRPr="009A537B">
              <w:rPr>
                <w:rFonts w:asciiTheme="minorEastAsia" w:hAnsiTheme="minorEastAsia" w:cs="Times New Roman" w:hint="eastAsia"/>
                <w:b/>
                <w:sz w:val="28"/>
                <w:szCs w:val="28"/>
              </w:rPr>
              <w:t>100%</w:t>
            </w:r>
          </w:p>
        </w:tc>
        <w:tc>
          <w:tcPr>
            <w:tcW w:w="1417" w:type="dxa"/>
            <w:tcBorders>
              <w:bottom w:val="single" w:sz="4" w:space="0" w:color="auto"/>
            </w:tcBorders>
            <w:noWrap/>
            <w:vAlign w:val="center"/>
            <w:hideMark/>
          </w:tcPr>
          <w:p w:rsidR="00E13056" w:rsidRPr="009A537B" w:rsidRDefault="00E13056" w:rsidP="00807340">
            <w:pPr>
              <w:adjustRightInd w:val="0"/>
              <w:snapToGrid w:val="0"/>
              <w:jc w:val="center"/>
              <w:rPr>
                <w:rFonts w:asciiTheme="minorEastAsia" w:hAnsiTheme="minorEastAsia" w:cs="Times New Roman"/>
                <w:b/>
                <w:sz w:val="28"/>
                <w:szCs w:val="28"/>
              </w:rPr>
            </w:pPr>
            <w:r w:rsidRPr="009A537B">
              <w:rPr>
                <w:rFonts w:asciiTheme="minorEastAsia" w:hAnsiTheme="minorEastAsia" w:cs="Times New Roman" w:hint="eastAsia"/>
                <w:b/>
                <w:sz w:val="28"/>
                <w:szCs w:val="28"/>
              </w:rPr>
              <w:t>负债合计</w:t>
            </w:r>
          </w:p>
        </w:tc>
        <w:tc>
          <w:tcPr>
            <w:tcW w:w="1701" w:type="dxa"/>
            <w:tcBorders>
              <w:bottom w:val="single" w:sz="4" w:space="0" w:color="auto"/>
            </w:tcBorders>
            <w:noWrap/>
            <w:vAlign w:val="center"/>
            <w:hideMark/>
          </w:tcPr>
          <w:p>
            <w:pPr>
              <w:jc w:val="center"/>
            </w:pPr>
            <w:r>
              <w:rPr>
                <w:rFonts w:ascii="宋体" w:hAnsi="宋体"/>
                <w:b/>
                <w:sz w:val="28"/>
              </w:rPr>
              <w:t>6.0</w:t>
            </w:r>
          </w:p>
        </w:tc>
        <w:tc>
          <w:tcPr>
            <w:tcW w:w="1155" w:type="dxa"/>
            <w:tcBorders>
              <w:bottom w:val="single" w:sz="4" w:space="0" w:color="auto"/>
            </w:tcBorders>
            <w:noWrap/>
            <w:vAlign w:val="center"/>
            <w:hideMark/>
          </w:tcPr>
          <w:p w:rsidR="00E13056" w:rsidRPr="009A537B" w:rsidRDefault="00E13056" w:rsidP="00201991">
            <w:pPr>
              <w:adjustRightInd w:val="0"/>
              <w:snapToGrid w:val="0"/>
              <w:jc w:val="center"/>
              <w:rPr>
                <w:rFonts w:asciiTheme="minorEastAsia" w:hAnsiTheme="minorEastAsia" w:cs="Times New Roman"/>
                <w:b/>
                <w:sz w:val="28"/>
                <w:szCs w:val="28"/>
              </w:rPr>
            </w:pPr>
            <w:r w:rsidRPr="009A537B">
              <w:rPr>
                <w:rFonts w:asciiTheme="minorEastAsia" w:hAnsiTheme="minorEastAsia" w:cs="Times New Roman" w:hint="eastAsia"/>
                <w:b/>
                <w:sz w:val="28"/>
                <w:szCs w:val="28"/>
              </w:rPr>
              <w:t>100%</w:t>
            </w:r>
          </w:p>
        </w:tc>
      </w:tr>
      <w:tr w:rsidR="00E13056" w:rsidRPr="009A537B" w:rsidTr="001B5773">
        <w:trPr>
          <w:trHeight w:val="270"/>
        </w:trPr>
        <w:tc>
          <w:tcPr>
            <w:tcW w:w="8776" w:type="dxa"/>
            <w:gridSpan w:val="6"/>
            <w:tcBorders>
              <w:left w:val="nil"/>
              <w:bottom w:val="nil"/>
              <w:right w:val="nil"/>
            </w:tcBorders>
            <w:noWrap/>
            <w:vAlign w:val="center"/>
          </w:tcPr>
          <w:p w:rsidR="00E13056" w:rsidRPr="009A537B" w:rsidRDefault="00E13056" w:rsidP="001B5773">
            <w:pPr>
              <w:widowControl/>
              <w:rPr>
                <w:rFonts w:ascii="宋体" w:eastAsia="宋体" w:hAnsi="宋体" w:cs="宋体"/>
                <w:color w:val="000000"/>
                <w:kern w:val="0"/>
                <w:sz w:val="22"/>
              </w:rPr>
            </w:pPr>
            <w:r w:rsidRPr="009A537B">
              <w:rPr>
                <w:rFonts w:ascii="仿宋" w:eastAsia="仿宋" w:hAnsi="仿宋" w:cs="宋体" w:hint="eastAsia"/>
                <w:color w:val="000000"/>
                <w:kern w:val="0"/>
                <w:sz w:val="24"/>
                <w:szCs w:val="24"/>
              </w:rPr>
              <w:t>数据来源：COMSTAR系统、资金业务管理系统，尚未</w:t>
            </w:r>
            <w:proofErr w:type="gramStart"/>
            <w:r w:rsidRPr="009A537B">
              <w:rPr>
                <w:rFonts w:ascii="仿宋" w:eastAsia="仿宋" w:hAnsi="仿宋" w:cs="宋体" w:hint="eastAsia"/>
                <w:color w:val="000000"/>
                <w:kern w:val="0"/>
                <w:sz w:val="24"/>
                <w:szCs w:val="24"/>
              </w:rPr>
              <w:t>涵盖省联社</w:t>
            </w:r>
            <w:proofErr w:type="gramEnd"/>
            <w:r w:rsidRPr="009A537B">
              <w:rPr>
                <w:rFonts w:ascii="仿宋" w:eastAsia="仿宋" w:hAnsi="仿宋" w:cs="宋体" w:hint="eastAsia"/>
                <w:color w:val="000000"/>
                <w:kern w:val="0"/>
                <w:sz w:val="24"/>
                <w:szCs w:val="24"/>
              </w:rPr>
              <w:t>资金统一平台数据，余额采用系统中市值数据计算，与会计核算数据口径上存在的差异</w:t>
            </w:r>
          </w:p>
        </w:tc>
      </w:tr>
    </w:tbl>
    <w:p w:rsidR="00432F41" w:rsidRPr="002A03CC" w:rsidRDefault="00432F41" w:rsidP="00432F41">
      <w:pPr>
        <w:spacing w:line="560" w:lineRule="exact"/>
        <w:ind w:firstLineChars="200" w:firstLine="643"/>
        <w:rPr>
          <w:rFonts w:ascii="仿宋_GB2312" w:eastAsia="仿宋_GB2312" w:hAnsi="Calibri" w:cs="Times New Roman"/>
          <w:b/>
          <w:sz w:val="32"/>
          <w:szCs w:val="32"/>
        </w:rPr>
      </w:pPr>
      <w:r w:rsidRPr="002A03CC">
        <w:rPr>
          <w:rFonts w:ascii="仿宋_GB2312" w:eastAsia="仿宋_GB2312" w:hAnsi="Calibri" w:cs="Times New Roman" w:hint="eastAsia"/>
          <w:b/>
          <w:sz w:val="32"/>
          <w:szCs w:val="32"/>
        </w:rPr>
        <w:t>（二）理财事业部</w:t>
      </w:r>
    </w:p>
    <w:tbl>
      <w:tblPr>
        <w:tblStyle w:val="a3"/>
        <w:tblW w:w="9238" w:type="dxa"/>
        <w:jc w:val="center"/>
        <w:tblInd w:w="416" w:type="dxa"/>
        <w:tblLook w:val="04A0" w:firstRow="1" w:lastRow="0" w:firstColumn="1" w:lastColumn="0" w:noHBand="0" w:noVBand="1"/>
      </w:tblPr>
      <w:tblGrid>
        <w:gridCol w:w="1440"/>
        <w:gridCol w:w="2120"/>
        <w:gridCol w:w="1056"/>
        <w:gridCol w:w="1581"/>
        <w:gridCol w:w="1985"/>
        <w:gridCol w:w="1056"/>
      </w:tblGrid>
      <w:tr w:rsidR="00432F41" w:rsidRPr="002A03CC" w:rsidTr="00F15BE1">
        <w:trPr>
          <w:trHeight w:val="270"/>
          <w:jc w:val="center"/>
        </w:trPr>
        <w:tc>
          <w:tcPr>
            <w:tcW w:w="4616" w:type="dxa"/>
            <w:gridSpan w:val="3"/>
            <w:tcBorders>
              <w:top w:val="nil"/>
              <w:left w:val="nil"/>
              <w:right w:val="nil"/>
            </w:tcBorders>
            <w:noWrap/>
            <w:hideMark/>
          </w:tcPr>
          <w:p w:rsidR="00432F41" w:rsidRPr="002A03CC" w:rsidRDefault="00432F41" w:rsidP="001B5773">
            <w:pPr>
              <w:widowControl/>
              <w:rPr>
                <w:rFonts w:ascii="仿宋" w:eastAsia="仿宋" w:hAnsi="仿宋" w:cs="宋体"/>
                <w:color w:val="000000"/>
                <w:kern w:val="0"/>
                <w:sz w:val="24"/>
                <w:szCs w:val="24"/>
              </w:rPr>
            </w:pPr>
            <w:r w:rsidRPr="002A03CC">
              <w:rPr>
                <w:rFonts w:ascii="仿宋" w:eastAsia="仿宋" w:hAnsi="仿宋" w:cs="宋体" w:hint="eastAsia"/>
                <w:color w:val="000000"/>
                <w:kern w:val="0"/>
                <w:sz w:val="24"/>
                <w:szCs w:val="24"/>
              </w:rPr>
              <w:t>部门:理财事业部</w:t>
            </w:r>
          </w:p>
        </w:tc>
        <w:tc>
          <w:tcPr>
            <w:tcW w:w="1581" w:type="dxa"/>
            <w:tcBorders>
              <w:top w:val="nil"/>
              <w:left w:val="nil"/>
              <w:right w:val="nil"/>
            </w:tcBorders>
            <w:noWrap/>
            <w:hideMark/>
          </w:tcPr>
          <w:p w:rsidR="00432F41" w:rsidRPr="002A03CC" w:rsidRDefault="00432F41" w:rsidP="001B5773">
            <w:pPr>
              <w:widowControl/>
              <w:rPr>
                <w:rFonts w:ascii="仿宋" w:eastAsia="仿宋" w:hAnsi="仿宋" w:cs="宋体"/>
                <w:color w:val="000000"/>
                <w:kern w:val="0"/>
                <w:sz w:val="24"/>
                <w:szCs w:val="24"/>
              </w:rPr>
            </w:pPr>
          </w:p>
        </w:tc>
        <w:tc>
          <w:tcPr>
            <w:tcW w:w="3041" w:type="dxa"/>
            <w:gridSpan w:val="2"/>
            <w:tcBorders>
              <w:top w:val="nil"/>
              <w:left w:val="nil"/>
              <w:right w:val="nil"/>
            </w:tcBorders>
            <w:noWrap/>
            <w:vAlign w:val="center"/>
            <w:hideMark/>
          </w:tcPr>
          <w:p w:rsidR="00432F41" w:rsidRPr="002A03CC" w:rsidRDefault="00432F41" w:rsidP="001B5773">
            <w:pPr>
              <w:widowControl/>
              <w:jc w:val="right"/>
              <w:rPr>
                <w:rFonts w:ascii="仿宋" w:eastAsia="仿宋" w:hAnsi="仿宋" w:cs="宋体"/>
                <w:color w:val="000000"/>
                <w:kern w:val="0"/>
                <w:sz w:val="24"/>
                <w:szCs w:val="24"/>
              </w:rPr>
            </w:pPr>
            <w:r w:rsidRPr="002A03CC">
              <w:rPr>
                <w:rFonts w:ascii="仿宋" w:eastAsia="仿宋" w:hAnsi="仿宋" w:cs="宋体" w:hint="eastAsia"/>
                <w:color w:val="000000"/>
                <w:kern w:val="0"/>
                <w:sz w:val="24"/>
                <w:szCs w:val="24"/>
              </w:rPr>
              <w:t>单位：万元、%</w:t>
            </w:r>
          </w:p>
        </w:tc>
      </w:tr>
      <w:tr w:rsidR="00432F41" w:rsidRPr="002A03CC" w:rsidTr="00F15BE1">
        <w:trPr>
          <w:trHeight w:val="270"/>
          <w:jc w:val="center"/>
        </w:trPr>
        <w:tc>
          <w:tcPr>
            <w:tcW w:w="1440" w:type="dxa"/>
            <w:noWrap/>
            <w:hideMark/>
          </w:tcPr>
          <w:p w:rsidR="00432F41" w:rsidRPr="002A03CC" w:rsidRDefault="00432F41" w:rsidP="001B5773">
            <w:pPr>
              <w:adjustRightInd w:val="0"/>
              <w:snapToGrid w:val="0"/>
              <w:jc w:val="center"/>
              <w:rPr>
                <w:rFonts w:asciiTheme="minorEastAsia" w:hAnsiTheme="minorEastAsia" w:cs="Times New Roman"/>
                <w:b/>
                <w:sz w:val="28"/>
                <w:szCs w:val="28"/>
              </w:rPr>
            </w:pPr>
            <w:r w:rsidRPr="002A03CC">
              <w:rPr>
                <w:rFonts w:asciiTheme="minorEastAsia" w:hAnsiTheme="minorEastAsia" w:cs="Times New Roman" w:hint="eastAsia"/>
                <w:b/>
                <w:sz w:val="28"/>
                <w:szCs w:val="28"/>
              </w:rPr>
              <w:t>资产</w:t>
            </w:r>
          </w:p>
        </w:tc>
        <w:tc>
          <w:tcPr>
            <w:tcW w:w="2120" w:type="dxa"/>
            <w:noWrap/>
            <w:hideMark/>
          </w:tcPr>
          <w:p w:rsidR="00432F41" w:rsidRPr="002A03CC" w:rsidRDefault="00432F41" w:rsidP="001B5773">
            <w:pPr>
              <w:adjustRightInd w:val="0"/>
              <w:snapToGrid w:val="0"/>
              <w:jc w:val="center"/>
              <w:rPr>
                <w:rFonts w:asciiTheme="minorEastAsia" w:hAnsiTheme="minorEastAsia" w:cs="Times New Roman"/>
                <w:b/>
                <w:sz w:val="28"/>
                <w:szCs w:val="28"/>
              </w:rPr>
            </w:pPr>
            <w:r w:rsidRPr="002A03CC">
              <w:rPr>
                <w:rFonts w:asciiTheme="minorEastAsia" w:hAnsiTheme="minorEastAsia" w:cs="Times New Roman" w:hint="eastAsia"/>
                <w:b/>
                <w:sz w:val="28"/>
                <w:szCs w:val="28"/>
              </w:rPr>
              <w:t>余额</w:t>
            </w:r>
          </w:p>
        </w:tc>
        <w:tc>
          <w:tcPr>
            <w:tcW w:w="1056" w:type="dxa"/>
            <w:noWrap/>
            <w:hideMark/>
          </w:tcPr>
          <w:p w:rsidR="00432F41" w:rsidRPr="002A03CC" w:rsidRDefault="00432F41" w:rsidP="001B5773">
            <w:pPr>
              <w:adjustRightInd w:val="0"/>
              <w:snapToGrid w:val="0"/>
              <w:jc w:val="center"/>
              <w:rPr>
                <w:rFonts w:asciiTheme="minorEastAsia" w:hAnsiTheme="minorEastAsia" w:cs="Times New Roman"/>
                <w:b/>
                <w:sz w:val="28"/>
                <w:szCs w:val="28"/>
              </w:rPr>
            </w:pPr>
            <w:r w:rsidRPr="002A03CC">
              <w:rPr>
                <w:rFonts w:asciiTheme="minorEastAsia" w:hAnsiTheme="minorEastAsia" w:cs="Times New Roman" w:hint="eastAsia"/>
                <w:b/>
                <w:sz w:val="28"/>
                <w:szCs w:val="28"/>
              </w:rPr>
              <w:t>占比</w:t>
            </w:r>
          </w:p>
        </w:tc>
        <w:tc>
          <w:tcPr>
            <w:tcW w:w="1581" w:type="dxa"/>
            <w:noWrap/>
            <w:hideMark/>
          </w:tcPr>
          <w:p w:rsidR="00432F41" w:rsidRPr="002A03CC" w:rsidRDefault="00432F41" w:rsidP="001B5773">
            <w:pPr>
              <w:adjustRightInd w:val="0"/>
              <w:snapToGrid w:val="0"/>
              <w:jc w:val="center"/>
              <w:rPr>
                <w:rFonts w:asciiTheme="minorEastAsia" w:hAnsiTheme="minorEastAsia" w:cs="Times New Roman"/>
                <w:b/>
                <w:sz w:val="28"/>
                <w:szCs w:val="28"/>
              </w:rPr>
            </w:pPr>
            <w:r w:rsidRPr="002A03CC">
              <w:rPr>
                <w:rFonts w:asciiTheme="minorEastAsia" w:hAnsiTheme="minorEastAsia" w:cs="Times New Roman" w:hint="eastAsia"/>
                <w:b/>
                <w:sz w:val="28"/>
                <w:szCs w:val="28"/>
              </w:rPr>
              <w:t>负债</w:t>
            </w:r>
          </w:p>
        </w:tc>
        <w:tc>
          <w:tcPr>
            <w:tcW w:w="1985" w:type="dxa"/>
            <w:noWrap/>
            <w:hideMark/>
          </w:tcPr>
          <w:p w:rsidR="00432F41" w:rsidRPr="002A03CC" w:rsidRDefault="00432F41" w:rsidP="001B5773">
            <w:pPr>
              <w:adjustRightInd w:val="0"/>
              <w:snapToGrid w:val="0"/>
              <w:jc w:val="center"/>
              <w:rPr>
                <w:rFonts w:asciiTheme="minorEastAsia" w:hAnsiTheme="minorEastAsia" w:cs="Times New Roman"/>
                <w:b/>
                <w:sz w:val="28"/>
                <w:szCs w:val="28"/>
              </w:rPr>
            </w:pPr>
            <w:r w:rsidRPr="002A03CC">
              <w:rPr>
                <w:rFonts w:asciiTheme="minorEastAsia" w:hAnsiTheme="minorEastAsia" w:cs="Times New Roman" w:hint="eastAsia"/>
                <w:b/>
                <w:sz w:val="28"/>
                <w:szCs w:val="28"/>
              </w:rPr>
              <w:t>余额</w:t>
            </w:r>
          </w:p>
        </w:tc>
        <w:tc>
          <w:tcPr>
            <w:tcW w:w="1056" w:type="dxa"/>
            <w:noWrap/>
            <w:hideMark/>
          </w:tcPr>
          <w:p w:rsidR="00432F41" w:rsidRPr="002A03CC" w:rsidRDefault="00432F41" w:rsidP="001B5773">
            <w:pPr>
              <w:adjustRightInd w:val="0"/>
              <w:snapToGrid w:val="0"/>
              <w:jc w:val="center"/>
              <w:rPr>
                <w:rFonts w:asciiTheme="minorEastAsia" w:hAnsiTheme="minorEastAsia" w:cs="Times New Roman"/>
                <w:b/>
                <w:sz w:val="28"/>
                <w:szCs w:val="28"/>
              </w:rPr>
            </w:pPr>
            <w:r w:rsidRPr="002A03CC">
              <w:rPr>
                <w:rFonts w:asciiTheme="minorEastAsia" w:hAnsiTheme="minorEastAsia" w:cs="Times New Roman" w:hint="eastAsia"/>
                <w:b/>
                <w:sz w:val="28"/>
                <w:szCs w:val="28"/>
              </w:rPr>
              <w:t>占比</w:t>
            </w:r>
          </w:p>
        </w:tc>
      </w:tr>
      <w:tr w:rsidR="00E7627E" w:rsidRPr="002A03CC" w:rsidTr="000A57D4">
        <w:trPr>
          <w:trHeight w:val="270"/>
          <w:jc w:val="center"/>
        </w:trPr>
        <w:tc>
          <w:tcPr>
            <w:tcW w:w="1440" w:type="dxa"/>
            <w:noWrap/>
            <w:vAlign w:val="center"/>
          </w:tcPr>
          <w:p>
            <w:pPr>
              <w:jc w:val="center"/>
            </w:pPr>
            <w:r>
              <w:rPr>
                <w:rFonts w:ascii="宋体" w:hAnsi="宋体"/>
                <w:b w:val="0"/>
                <w:sz w:val="28"/>
              </w:rPr>
              <w:t>产品—其他SPV</w:t>
            </w:r>
          </w:p>
        </w:tc>
        <w:tc>
          <w:tcPr>
            <w:tcW w:w="2120" w:type="dxa"/>
            <w:noWrap/>
            <w:vAlign w:val="center"/>
          </w:tcPr>
          <w:p>
            <w:pPr>
              <w:jc w:val="center"/>
            </w:pPr>
            <w:r>
              <w:rPr>
                <w:rFonts w:ascii="宋体" w:hAnsi="宋体"/>
                <w:b w:val="0"/>
                <w:sz w:val="28"/>
              </w:rPr>
              <w:t>15.78</w:t>
            </w:r>
          </w:p>
        </w:tc>
        <w:tc>
          <w:tcPr>
            <w:tcW w:w="1056" w:type="dxa"/>
            <w:noWrap/>
            <w:vAlign w:val="center"/>
          </w:tcPr>
          <w:p>
            <w:pPr>
              <w:jc w:val="center"/>
            </w:pPr>
            <w:r>
              <w:rPr>
                <w:rFonts w:ascii="宋体" w:hAnsi="宋体"/>
                <w:b w:val="0"/>
                <w:sz w:val="28"/>
              </w:rPr>
              <w:t>10.59%</w:t>
            </w:r>
          </w:p>
        </w:tc>
        <w:tc>
          <w:tcPr>
            <w:tcW w:w="1581" w:type="dxa"/>
            <w:noWrap/>
            <w:vAlign w:val="center"/>
          </w:tcPr>
          <w:p>
            <w:pPr>
              <w:jc w:val="center"/>
            </w:pPr>
            <w:r>
              <w:rPr>
                <w:rFonts w:ascii="宋体" w:hAnsi="宋体"/>
                <w:b w:val="0"/>
                <w:sz w:val="28"/>
              </w:rPr>
              <w:t>产品—其他SPV</w:t>
            </w:r>
          </w:p>
        </w:tc>
        <w:tc>
          <w:tcPr>
            <w:tcW w:w="1985" w:type="dxa"/>
            <w:noWrap/>
            <w:vAlign w:val="center"/>
          </w:tcPr>
          <w:p>
            <w:pPr>
              <w:jc w:val="center"/>
            </w:pPr>
            <w:r>
              <w:rPr>
                <w:rFonts w:ascii="宋体" w:hAnsi="宋体"/>
                <w:b w:val="0"/>
                <w:sz w:val="28"/>
              </w:rPr>
              <w:t>0.0</w:t>
            </w:r>
          </w:p>
        </w:tc>
        <w:tc>
          <w:tcPr>
            <w:tcW w:w="1056" w:type="dxa"/>
            <w:noWrap/>
            <w:vAlign w:val="center"/>
          </w:tcPr>
          <w:p>
            <w:pPr>
              <w:jc w:val="center"/>
            </w:pPr>
            <w:r>
              <w:rPr>
                <w:rFonts w:ascii="宋体" w:hAnsi="宋体"/>
                <w:b w:val="0"/>
                <w:sz w:val="28"/>
              </w:rPr>
              <w:t>0.0%</w:t>
            </w:r>
          </w:p>
        </w:tc>
      </w:tr>
      <w:tr w:rsidR="00E7627E" w:rsidRPr="002A03CC" w:rsidTr="000A57D4">
        <w:trPr>
          <w:trHeight w:val="270"/>
          <w:jc w:val="center"/>
        </w:trPr>
        <w:tc>
          <w:tcPr>
            <w:tcW w:w="1440" w:type="dxa"/>
            <w:noWrap/>
            <w:vAlign w:val="center"/>
          </w:tcPr>
          <w:p>
            <w:pPr>
              <w:jc w:val="center"/>
            </w:pPr>
            <w:r>
              <w:rPr>
                <w:rFonts w:ascii="宋体" w:hAnsi="宋体"/>
                <w:b w:val="0"/>
                <w:sz w:val="28"/>
              </w:rPr>
              <w:t>债券</w:t>
            </w:r>
          </w:p>
        </w:tc>
        <w:tc>
          <w:tcPr>
            <w:tcW w:w="2120" w:type="dxa"/>
            <w:noWrap/>
            <w:vAlign w:val="center"/>
          </w:tcPr>
          <w:p>
            <w:pPr>
              <w:jc w:val="center"/>
            </w:pPr>
            <w:r>
              <w:rPr>
                <w:rFonts w:ascii="宋体" w:hAnsi="宋体"/>
                <w:b w:val="0"/>
                <w:sz w:val="28"/>
              </w:rPr>
              <w:t>104.31</w:t>
            </w:r>
          </w:p>
        </w:tc>
        <w:tc>
          <w:tcPr>
            <w:tcW w:w="1056" w:type="dxa"/>
            <w:noWrap/>
            <w:vAlign w:val="center"/>
          </w:tcPr>
          <w:p>
            <w:pPr>
              <w:jc w:val="center"/>
            </w:pPr>
            <w:r>
              <w:rPr>
                <w:rFonts w:ascii="宋体" w:hAnsi="宋体"/>
                <w:b w:val="0"/>
                <w:sz w:val="28"/>
              </w:rPr>
              <w:t>69.99%</w:t>
            </w:r>
          </w:p>
        </w:tc>
        <w:tc>
          <w:tcPr>
            <w:tcW w:w="1581" w:type="dxa"/>
            <w:noWrap/>
            <w:vAlign w:val="center"/>
          </w:tcPr>
          <w:p>
            <w:pPr>
              <w:jc w:val="center"/>
            </w:pPr>
            <w:r>
              <w:rPr>
                <w:rFonts w:ascii="宋体" w:hAnsi="宋体"/>
                <w:b w:val="0"/>
                <w:sz w:val="28"/>
              </w:rPr>
              <w:t>剩余现金</w:t>
            </w:r>
          </w:p>
        </w:tc>
        <w:tc>
          <w:tcPr>
            <w:tcW w:w="1985" w:type="dxa"/>
            <w:noWrap/>
            <w:vAlign w:val="center"/>
          </w:tcPr>
          <w:p>
            <w:pPr>
              <w:jc w:val="center"/>
            </w:pPr>
            <w:r>
              <w:rPr>
                <w:rFonts w:ascii="宋体" w:hAnsi="宋体"/>
                <w:b w:val="0"/>
                <w:sz w:val="28"/>
              </w:rPr>
              <w:t>0.04</w:t>
            </w:r>
          </w:p>
        </w:tc>
        <w:tc>
          <w:tcPr>
            <w:tcW w:w="1056" w:type="dxa"/>
            <w:noWrap/>
            <w:vAlign w:val="center"/>
          </w:tcPr>
          <w:p>
            <w:pPr>
              <w:jc w:val="center"/>
            </w:pPr>
            <w:r>
              <w:rPr>
                <w:rFonts w:ascii="宋体" w:hAnsi="宋体"/>
                <w:b w:val="0"/>
                <w:sz w:val="28"/>
              </w:rPr>
              <w:t>0.06%</w:t>
            </w:r>
          </w:p>
        </w:tc>
      </w:tr>
      <w:tr w:rsidR="00E7627E" w:rsidRPr="002A03CC" w:rsidTr="000A57D4">
        <w:trPr>
          <w:trHeight w:val="270"/>
          <w:jc w:val="center"/>
        </w:trPr>
        <w:tc>
          <w:tcPr>
            <w:tcW w:w="1440" w:type="dxa"/>
            <w:noWrap/>
            <w:vAlign w:val="center"/>
          </w:tcPr>
          <w:p>
            <w:pPr>
              <w:jc w:val="center"/>
            </w:pPr>
            <w:r>
              <w:rPr>
                <w:rFonts w:ascii="宋体" w:hAnsi="宋体"/>
                <w:b w:val="0"/>
                <w:sz w:val="28"/>
              </w:rPr>
              <w:t>净值型资产管理计划资产</w:t>
            </w:r>
          </w:p>
        </w:tc>
        <w:tc>
          <w:tcPr>
            <w:tcW w:w="2120" w:type="dxa"/>
            <w:noWrap/>
            <w:vAlign w:val="center"/>
          </w:tcPr>
          <w:p>
            <w:pPr>
              <w:jc w:val="center"/>
            </w:pPr>
            <w:r>
              <w:rPr>
                <w:rFonts w:ascii="宋体" w:hAnsi="宋体"/>
                <w:b w:val="0"/>
                <w:sz w:val="28"/>
              </w:rPr>
              <w:t>1.65</w:t>
            </w:r>
          </w:p>
        </w:tc>
        <w:tc>
          <w:tcPr>
            <w:tcW w:w="1056" w:type="dxa"/>
            <w:noWrap/>
            <w:vAlign w:val="center"/>
          </w:tcPr>
          <w:p>
            <w:pPr>
              <w:jc w:val="center"/>
            </w:pPr>
            <w:r>
              <w:rPr>
                <w:rFonts w:ascii="宋体" w:hAnsi="宋体"/>
                <w:b w:val="0"/>
                <w:sz w:val="28"/>
              </w:rPr>
              <w:t>1.11%</w:t>
            </w:r>
          </w:p>
        </w:tc>
        <w:tc>
          <w:tcPr>
            <w:tcW w:w="1581" w:type="dxa"/>
            <w:noWrap/>
            <w:vAlign w:val="center"/>
          </w:tcPr>
          <w:p>
            <w:pPr>
              <w:jc w:val="center"/>
            </w:pPr>
            <w:r>
              <w:rPr>
                <w:rFonts w:ascii="宋体" w:hAnsi="宋体"/>
                <w:b w:val="0"/>
                <w:sz w:val="28"/>
              </w:rPr>
              <w:t>理财产品</w:t>
            </w:r>
          </w:p>
        </w:tc>
        <w:tc>
          <w:tcPr>
            <w:tcW w:w="1985" w:type="dxa"/>
            <w:noWrap/>
            <w:vAlign w:val="center"/>
          </w:tcPr>
          <w:p>
            <w:pPr>
              <w:jc w:val="center"/>
            </w:pPr>
            <w:r>
              <w:rPr>
                <w:rFonts w:ascii="宋体" w:hAnsi="宋体"/>
                <w:b w:val="0"/>
                <w:sz w:val="28"/>
              </w:rPr>
              <w:t>73.91</w:t>
            </w:r>
          </w:p>
        </w:tc>
        <w:tc>
          <w:tcPr>
            <w:tcW w:w="1056" w:type="dxa"/>
            <w:noWrap/>
            <w:vAlign w:val="center"/>
          </w:tcPr>
          <w:p>
            <w:pPr>
              <w:jc w:val="center"/>
            </w:pPr>
            <w:r>
              <w:rPr>
                <w:rFonts w:ascii="宋体" w:hAnsi="宋体"/>
                <w:b w:val="0"/>
                <w:sz w:val="28"/>
              </w:rPr>
              <w:t>94.2%</w:t>
            </w:r>
          </w:p>
        </w:tc>
      </w:tr>
      <w:tr w:rsidR="001F624B" w:rsidRPr="002A03CC" w:rsidTr="00192DAB">
        <w:trPr>
          <w:trHeight w:val="270"/>
          <w:jc w:val="center"/>
        </w:trPr>
        <w:tc>
          <w:tcPr>
            <w:tcW w:w="1440" w:type="dxa"/>
            <w:noWrap/>
            <w:vAlign w:val="center"/>
          </w:tcPr>
          <w:p>
            <w:pPr>
              <w:jc w:val="center"/>
            </w:pPr>
            <w:r>
              <w:rPr>
                <w:rFonts w:ascii="宋体" w:hAnsi="宋体"/>
                <w:b w:val="0"/>
                <w:sz w:val="28"/>
              </w:rPr>
              <w:t>净值型项目资产</w:t>
            </w:r>
          </w:p>
        </w:tc>
        <w:tc>
          <w:tcPr>
            <w:tcW w:w="2120" w:type="dxa"/>
            <w:noWrap/>
            <w:vAlign w:val="center"/>
          </w:tcPr>
          <w:p>
            <w:pPr>
              <w:jc w:val="center"/>
            </w:pPr>
            <w:r>
              <w:rPr>
                <w:rFonts w:ascii="宋体" w:hAnsi="宋体"/>
                <w:b w:val="0"/>
                <w:sz w:val="28"/>
              </w:rPr>
              <w:t>0.04</w:t>
            </w:r>
          </w:p>
        </w:tc>
        <w:tc>
          <w:tcPr>
            <w:tcW w:w="1056" w:type="dxa"/>
            <w:noWrap/>
            <w:vAlign w:val="center"/>
          </w:tcPr>
          <w:p>
            <w:pPr>
              <w:jc w:val="center"/>
            </w:pPr>
            <w:r>
              <w:rPr>
                <w:rFonts w:ascii="宋体" w:hAnsi="宋体"/>
                <w:b w:val="0"/>
                <w:sz w:val="28"/>
              </w:rPr>
              <w:t>0.02%</w:t>
            </w:r>
          </w:p>
        </w:tc>
        <w:tc>
          <w:tcPr>
            <w:tcW w:w="1581" w:type="dxa"/>
            <w:noWrap/>
            <w:vAlign w:val="center"/>
          </w:tcPr>
          <w:p>
            <w:pPr>
              <w:jc w:val="center"/>
            </w:pPr>
            <w:r>
              <w:rPr>
                <w:rFonts w:ascii="宋体" w:hAnsi="宋体"/>
                <w:b w:val="0"/>
                <w:sz w:val="28"/>
              </w:rPr>
              <w:t>理财费用</w:t>
            </w:r>
          </w:p>
        </w:tc>
        <w:tc>
          <w:tcPr>
            <w:tcW w:w="1985" w:type="dxa"/>
            <w:noWrap/>
            <w:vAlign w:val="center"/>
          </w:tcPr>
          <w:p>
            <w:pPr>
              <w:jc w:val="center"/>
            </w:pPr>
            <w:r>
              <w:rPr>
                <w:rFonts w:ascii="宋体" w:hAnsi="宋体"/>
                <w:b w:val="0"/>
                <w:sz w:val="28"/>
              </w:rPr>
              <w:t>0.03</w:t>
            </w:r>
          </w:p>
        </w:tc>
        <w:tc>
          <w:tcPr>
            <w:tcW w:w="1056" w:type="dxa"/>
            <w:noWrap/>
            <w:vAlign w:val="center"/>
          </w:tcPr>
          <w:p>
            <w:pPr>
              <w:jc w:val="center"/>
            </w:pPr>
            <w:r>
              <w:rPr>
                <w:rFonts w:ascii="宋体" w:hAnsi="宋体"/>
                <w:b w:val="0"/>
                <w:sz w:val="28"/>
              </w:rPr>
              <w:t>0.03%</w:t>
            </w:r>
          </w:p>
        </w:tc>
      </w:tr>
      <w:tr w:rsidR="001F624B" w:rsidRPr="002A03CC" w:rsidTr="00192DAB">
        <w:trPr>
          <w:trHeight w:val="270"/>
          <w:jc w:val="center"/>
        </w:trPr>
        <w:tc>
          <w:tcPr>
            <w:tcW w:w="1440" w:type="dxa"/>
            <w:noWrap/>
            <w:vAlign w:val="center"/>
          </w:tcPr>
          <w:p>
            <w:pPr>
              <w:jc w:val="center"/>
            </w:pPr>
            <w:r>
              <w:rPr>
                <w:rFonts w:ascii="宋体" w:hAnsi="宋体"/>
                <w:b w:val="0"/>
                <w:sz w:val="28"/>
              </w:rPr>
              <w:t>利率型项目资产</w:t>
            </w:r>
          </w:p>
        </w:tc>
        <w:tc>
          <w:tcPr>
            <w:tcW w:w="2120" w:type="dxa"/>
            <w:noWrap/>
            <w:vAlign w:val="center"/>
          </w:tcPr>
          <w:p>
            <w:pPr>
              <w:jc w:val="center"/>
            </w:pPr>
            <w:r>
              <w:rPr>
                <w:rFonts w:ascii="宋体" w:hAnsi="宋体"/>
                <w:b w:val="0"/>
                <w:sz w:val="28"/>
              </w:rPr>
              <w:t>6.06</w:t>
            </w:r>
          </w:p>
        </w:tc>
        <w:tc>
          <w:tcPr>
            <w:tcW w:w="1056" w:type="dxa"/>
            <w:noWrap/>
            <w:vAlign w:val="center"/>
          </w:tcPr>
          <w:p>
            <w:pPr>
              <w:jc w:val="center"/>
            </w:pPr>
            <w:r>
              <w:rPr>
                <w:rFonts w:ascii="宋体" w:hAnsi="宋体"/>
                <w:b w:val="0"/>
                <w:sz w:val="28"/>
              </w:rPr>
              <w:t>4.06%</w:t>
            </w:r>
          </w:p>
        </w:tc>
        <w:tc>
          <w:tcPr>
            <w:tcW w:w="1581" w:type="dxa"/>
            <w:noWrap/>
            <w:vAlign w:val="center"/>
          </w:tcPr>
          <w:p>
            <w:pPr>
              <w:jc w:val="center"/>
            </w:pPr>
            <w:r>
              <w:rPr>
                <w:rFonts w:ascii="宋体" w:hAnsi="宋体"/>
                <w:b w:val="0"/>
                <w:sz w:val="28"/>
              </w:rPr>
              <w:t>质押式回购</w:t>
            </w:r>
          </w:p>
        </w:tc>
        <w:tc>
          <w:tcPr>
            <w:tcW w:w="1985" w:type="dxa"/>
            <w:noWrap/>
            <w:vAlign w:val="center"/>
          </w:tcPr>
          <w:p>
            <w:pPr>
              <w:jc w:val="center"/>
            </w:pPr>
            <w:r>
              <w:rPr>
                <w:rFonts w:ascii="宋体" w:hAnsi="宋体"/>
                <w:b w:val="0"/>
                <w:sz w:val="28"/>
              </w:rPr>
              <w:t>1.45</w:t>
            </w:r>
          </w:p>
        </w:tc>
        <w:tc>
          <w:tcPr>
            <w:tcW w:w="1056" w:type="dxa"/>
            <w:noWrap/>
            <w:vAlign w:val="center"/>
          </w:tcPr>
          <w:p>
            <w:pPr>
              <w:jc w:val="center"/>
            </w:pPr>
            <w:r>
              <w:rPr>
                <w:rFonts w:ascii="宋体" w:hAnsi="宋体"/>
                <w:b w:val="0"/>
                <w:sz w:val="28"/>
              </w:rPr>
              <w:t>1.85%</w:t>
            </w:r>
          </w:p>
        </w:tc>
      </w:tr>
      <w:tr w:rsidR="001F624B" w:rsidRPr="002A03CC" w:rsidTr="00192DAB">
        <w:trPr>
          <w:trHeight w:val="270"/>
          <w:jc w:val="center"/>
        </w:trPr>
        <w:tc>
          <w:tcPr>
            <w:tcW w:w="1440" w:type="dxa"/>
            <w:noWrap/>
            <w:vAlign w:val="center"/>
          </w:tcPr>
          <w:p>
            <w:pPr>
              <w:jc w:val="center"/>
            </w:pPr>
            <w:r>
              <w:rPr>
                <w:rFonts w:ascii="宋体" w:hAnsi="宋体"/>
                <w:b w:val="0"/>
                <w:sz w:val="28"/>
              </w:rPr>
              <w:t>剩余现金</w:t>
            </w:r>
          </w:p>
        </w:tc>
        <w:tc>
          <w:tcPr>
            <w:tcW w:w="2120" w:type="dxa"/>
            <w:noWrap/>
            <w:vAlign w:val="center"/>
          </w:tcPr>
          <w:p>
            <w:pPr>
              <w:jc w:val="center"/>
            </w:pPr>
            <w:r>
              <w:rPr>
                <w:rFonts w:ascii="宋体" w:hAnsi="宋体"/>
                <w:b w:val="0"/>
                <w:sz w:val="28"/>
              </w:rPr>
              <w:t>1.73</w:t>
            </w:r>
          </w:p>
        </w:tc>
        <w:tc>
          <w:tcPr>
            <w:tcW w:w="1056" w:type="dxa"/>
            <w:noWrap/>
            <w:vAlign w:val="center"/>
          </w:tcPr>
          <w:p>
            <w:pPr>
              <w:jc w:val="center"/>
            </w:pPr>
            <w:r>
              <w:rPr>
                <w:rFonts w:ascii="宋体" w:hAnsi="宋体"/>
                <w:b w:val="0"/>
                <w:sz w:val="28"/>
              </w:rPr>
              <w:t>1.16%</w:t>
            </w:r>
          </w:p>
        </w:tc>
        <w:tc>
          <w:tcPr>
            <w:tcW w:w="1581" w:type="dxa"/>
            <w:noWrap/>
            <w:vAlign w:val="center"/>
          </w:tcPr>
          <w:p>
            <w:pPr>
              <w:jc w:val="center"/>
            </w:pPr>
            <w:r>
              <w:rPr>
                <w:rFonts w:ascii="宋体" w:hAnsi="宋体"/>
                <w:b w:val="0"/>
                <w:sz w:val="28"/>
              </w:rPr>
              <w:t>质押式正回购</w:t>
            </w:r>
          </w:p>
        </w:tc>
        <w:tc>
          <w:tcPr>
            <w:tcW w:w="1985" w:type="dxa"/>
            <w:noWrap/>
            <w:vAlign w:val="center"/>
          </w:tcPr>
          <w:p>
            <w:pPr>
              <w:jc w:val="center"/>
            </w:pPr>
            <w:r>
              <w:rPr>
                <w:rFonts w:ascii="宋体" w:hAnsi="宋体"/>
                <w:b w:val="0"/>
                <w:sz w:val="28"/>
              </w:rPr>
              <w:t>3.03</w:t>
            </w:r>
          </w:p>
        </w:tc>
        <w:tc>
          <w:tcPr>
            <w:tcW w:w="1056" w:type="dxa"/>
            <w:noWrap/>
            <w:vAlign w:val="center"/>
          </w:tcPr>
          <w:p>
            <w:pPr>
              <w:jc w:val="center"/>
            </w:pPr>
            <w:r>
              <w:rPr>
                <w:rFonts w:ascii="宋体" w:hAnsi="宋体"/>
                <w:b w:val="0"/>
                <w:sz w:val="28"/>
              </w:rPr>
              <w:t>3.86%</w:t>
            </w:r>
          </w:p>
        </w:tc>
      </w:tr>
      <w:tr w:rsidR="001F624B" w:rsidRPr="002A03CC" w:rsidTr="00192DAB">
        <w:trPr>
          <w:trHeight w:val="270"/>
          <w:jc w:val="center"/>
        </w:trPr>
        <w:tc>
          <w:tcPr>
            <w:tcW w:w="1440" w:type="dxa"/>
            <w:noWrap/>
            <w:vAlign w:val="center"/>
          </w:tcPr>
          <w:p>
            <w:pPr>
              <w:jc w:val="center"/>
            </w:pPr>
            <w:r>
              <w:rPr>
                <w:rFonts w:ascii="宋体" w:hAnsi="宋体"/>
                <w:b w:val="0"/>
                <w:sz w:val="28"/>
              </w:rPr>
              <w:t>同业资产</w:t>
            </w:r>
          </w:p>
        </w:tc>
        <w:tc>
          <w:tcPr>
            <w:tcW w:w="2120" w:type="dxa"/>
            <w:noWrap/>
            <w:vAlign w:val="center"/>
          </w:tcPr>
          <w:p>
            <w:pPr>
              <w:jc w:val="center"/>
            </w:pPr>
            <w:r>
              <w:rPr>
                <w:rFonts w:ascii="宋体" w:hAnsi="宋体"/>
                <w:b w:val="0"/>
                <w:sz w:val="28"/>
              </w:rPr>
              <w:t>0.95</w:t>
            </w:r>
          </w:p>
        </w:tc>
        <w:tc>
          <w:tcPr>
            <w:tcW w:w="1056" w:type="dxa"/>
            <w:noWrap/>
            <w:vAlign w:val="center"/>
          </w:tcPr>
          <w:p>
            <w:pPr>
              <w:jc w:val="center"/>
            </w:pPr>
            <w:r>
              <w:rPr>
                <w:rFonts w:ascii="宋体" w:hAnsi="宋体"/>
                <w:b w:val="0"/>
                <w:sz w:val="28"/>
              </w:rPr>
              <w:t>0.64%</w:t>
            </w:r>
          </w:p>
        </w:tc>
        <w:tc>
          <w:tcPr>
            <w:tcW w:w="1581" w:type="dxa"/>
            <w:noWrap/>
            <w:vAlign w:val="center"/>
          </w:tcPr>
          <w:p w:rsidR="001F624B" w:rsidRPr="002A03CC" w:rsidRDefault="001F624B" w:rsidP="00184655">
            <w:pPr>
              <w:adjustRightInd w:val="0"/>
              <w:snapToGrid w:val="0"/>
              <w:jc w:val="center"/>
              <w:rPr>
                <w:rFonts w:asciiTheme="minorEastAsia" w:hAnsiTheme="minorEastAsia" w:cs="Times New Roman"/>
                <w:sz w:val="28"/>
                <w:szCs w:val="28"/>
              </w:rPr>
            </w:pPr>
          </w:p>
        </w:tc>
        <w:tc>
          <w:tcPr>
            <w:tcW w:w="1985" w:type="dxa"/>
            <w:noWrap/>
            <w:vAlign w:val="center"/>
          </w:tcPr>
          <w:p w:rsidR="001F624B" w:rsidRPr="002A03CC" w:rsidRDefault="001F624B" w:rsidP="00184655">
            <w:pPr>
              <w:adjustRightInd w:val="0"/>
              <w:snapToGrid w:val="0"/>
              <w:jc w:val="center"/>
              <w:rPr>
                <w:rFonts w:asciiTheme="minorEastAsia" w:hAnsiTheme="minorEastAsia" w:cs="Times New Roman"/>
                <w:sz w:val="28"/>
                <w:szCs w:val="28"/>
              </w:rPr>
            </w:pPr>
          </w:p>
        </w:tc>
        <w:tc>
          <w:tcPr>
            <w:tcW w:w="1056" w:type="dxa"/>
            <w:noWrap/>
            <w:vAlign w:val="center"/>
          </w:tcPr>
          <w:p w:rsidR="001F624B" w:rsidRPr="002A03CC" w:rsidRDefault="001F624B" w:rsidP="006167E6">
            <w:pPr>
              <w:adjustRightInd w:val="0"/>
              <w:snapToGrid w:val="0"/>
              <w:jc w:val="center"/>
              <w:rPr>
                <w:rFonts w:asciiTheme="minorEastAsia" w:hAnsiTheme="minorEastAsia" w:cs="Times New Roman"/>
                <w:sz w:val="28"/>
                <w:szCs w:val="28"/>
              </w:rPr>
            </w:pPr>
          </w:p>
        </w:tc>
      </w:tr>
      <w:tr w:rsidR="001F624B" w:rsidRPr="002A03CC" w:rsidTr="00192DAB">
        <w:trPr>
          <w:trHeight w:val="270"/>
          <w:jc w:val="center"/>
        </w:trPr>
        <w:tc>
          <w:tcPr>
            <w:tcW w:w="1440" w:type="dxa"/>
            <w:noWrap/>
            <w:vAlign w:val="center"/>
          </w:tcPr>
          <w:p>
            <w:pPr>
              <w:jc w:val="center"/>
            </w:pPr>
            <w:r>
              <w:rPr>
                <w:rFonts w:ascii="宋体" w:hAnsi="宋体"/>
                <w:b w:val="0"/>
                <w:sz w:val="28"/>
              </w:rPr>
              <w:t>存放同业</w:t>
            </w:r>
          </w:p>
        </w:tc>
        <w:tc>
          <w:tcPr>
            <w:tcW w:w="2120" w:type="dxa"/>
            <w:noWrap/>
            <w:vAlign w:val="center"/>
          </w:tcPr>
          <w:p>
            <w:pPr>
              <w:jc w:val="center"/>
            </w:pPr>
            <w:r>
              <w:rPr>
                <w:rFonts w:ascii="宋体" w:hAnsi="宋体"/>
                <w:b w:val="0"/>
                <w:sz w:val="28"/>
              </w:rPr>
              <w:t>3.61</w:t>
            </w:r>
          </w:p>
        </w:tc>
        <w:tc>
          <w:tcPr>
            <w:tcW w:w="1056" w:type="dxa"/>
            <w:noWrap/>
            <w:vAlign w:val="center"/>
          </w:tcPr>
          <w:p>
            <w:pPr>
              <w:jc w:val="center"/>
            </w:pPr>
            <w:r>
              <w:rPr>
                <w:rFonts w:ascii="宋体" w:hAnsi="宋体"/>
                <w:b w:val="0"/>
                <w:sz w:val="28"/>
              </w:rPr>
              <w:t>2.42%</w:t>
            </w:r>
          </w:p>
        </w:tc>
        <w:tc>
          <w:tcPr>
            <w:tcW w:w="1581" w:type="dxa"/>
            <w:noWrap/>
            <w:vAlign w:val="center"/>
          </w:tcPr>
          <w:p w:rsidR="001F624B" w:rsidRPr="002A03CC" w:rsidRDefault="001F624B" w:rsidP="00184655">
            <w:pPr>
              <w:adjustRightInd w:val="0"/>
              <w:snapToGrid w:val="0"/>
              <w:jc w:val="center"/>
              <w:rPr>
                <w:rFonts w:asciiTheme="minorEastAsia" w:hAnsiTheme="minorEastAsia" w:cs="Times New Roman"/>
                <w:sz w:val="28"/>
                <w:szCs w:val="28"/>
              </w:rPr>
            </w:pPr>
          </w:p>
        </w:tc>
        <w:tc>
          <w:tcPr>
            <w:tcW w:w="1985" w:type="dxa"/>
            <w:noWrap/>
            <w:vAlign w:val="center"/>
          </w:tcPr>
          <w:p w:rsidR="001F624B" w:rsidRPr="002A03CC" w:rsidRDefault="001F624B" w:rsidP="00184655">
            <w:pPr>
              <w:adjustRightInd w:val="0"/>
              <w:snapToGrid w:val="0"/>
              <w:jc w:val="center"/>
              <w:rPr>
                <w:rFonts w:asciiTheme="minorEastAsia" w:hAnsiTheme="minorEastAsia" w:cs="Times New Roman"/>
                <w:sz w:val="28"/>
                <w:szCs w:val="28"/>
              </w:rPr>
            </w:pPr>
          </w:p>
        </w:tc>
        <w:tc>
          <w:tcPr>
            <w:tcW w:w="1056" w:type="dxa"/>
            <w:noWrap/>
            <w:vAlign w:val="center"/>
          </w:tcPr>
          <w:p w:rsidR="001F624B" w:rsidRPr="002A03CC" w:rsidRDefault="001F624B" w:rsidP="006167E6">
            <w:pPr>
              <w:adjustRightInd w:val="0"/>
              <w:snapToGrid w:val="0"/>
              <w:jc w:val="center"/>
              <w:rPr>
                <w:rFonts w:asciiTheme="minorEastAsia" w:hAnsiTheme="minorEastAsia" w:cs="Times New Roman"/>
                <w:sz w:val="28"/>
                <w:szCs w:val="28"/>
              </w:rPr>
            </w:pPr>
          </w:p>
        </w:tc>
      </w:tr>
      <w:tr w:rsidR="001F624B" w:rsidRPr="002A03CC" w:rsidTr="00192DAB">
        <w:trPr>
          <w:trHeight w:val="270"/>
          <w:jc w:val="center"/>
        </w:trPr>
        <w:tc>
          <w:tcPr>
            <w:tcW w:w="1440" w:type="dxa"/>
            <w:noWrap/>
            <w:vAlign w:val="center"/>
          </w:tcPr>
          <w:p>
            <w:pPr>
              <w:jc w:val="center"/>
            </w:pPr>
            <w:r>
              <w:rPr>
                <w:rFonts w:ascii="宋体" w:hAnsi="宋体"/>
                <w:b w:val="0"/>
                <w:sz w:val="28"/>
              </w:rPr>
              <w:t>拆借拆出</w:t>
            </w:r>
          </w:p>
        </w:tc>
        <w:tc>
          <w:tcPr>
            <w:tcW w:w="2120" w:type="dxa"/>
            <w:noWrap/>
            <w:vAlign w:val="center"/>
          </w:tcPr>
          <w:p>
            <w:pPr>
              <w:jc w:val="center"/>
            </w:pPr>
            <w:r>
              <w:rPr>
                <w:rFonts w:ascii="宋体" w:hAnsi="宋体"/>
                <w:b w:val="0"/>
                <w:sz w:val="28"/>
              </w:rPr>
              <w:t>0.45</w:t>
            </w:r>
          </w:p>
        </w:tc>
        <w:tc>
          <w:tcPr>
            <w:tcW w:w="1056" w:type="dxa"/>
            <w:noWrap/>
            <w:vAlign w:val="center"/>
          </w:tcPr>
          <w:p>
            <w:pPr>
              <w:jc w:val="center"/>
            </w:pPr>
            <w:r>
              <w:rPr>
                <w:rFonts w:ascii="宋体" w:hAnsi="宋体"/>
                <w:b w:val="0"/>
                <w:sz w:val="28"/>
              </w:rPr>
              <w:t>0.3%</w:t>
            </w:r>
          </w:p>
        </w:tc>
        <w:tc>
          <w:tcPr>
            <w:tcW w:w="1581" w:type="dxa"/>
            <w:noWrap/>
            <w:vAlign w:val="center"/>
          </w:tcPr>
          <w:p w:rsidR="001F624B" w:rsidRPr="002A03CC" w:rsidRDefault="001F624B" w:rsidP="00184655">
            <w:pPr>
              <w:adjustRightInd w:val="0"/>
              <w:snapToGrid w:val="0"/>
              <w:jc w:val="center"/>
              <w:rPr>
                <w:rFonts w:asciiTheme="minorEastAsia" w:hAnsiTheme="minorEastAsia" w:cs="Times New Roman"/>
                <w:sz w:val="28"/>
                <w:szCs w:val="28"/>
              </w:rPr>
            </w:pPr>
          </w:p>
        </w:tc>
        <w:tc>
          <w:tcPr>
            <w:tcW w:w="1985" w:type="dxa"/>
            <w:noWrap/>
            <w:vAlign w:val="center"/>
          </w:tcPr>
          <w:p w:rsidR="001F624B" w:rsidRPr="002A03CC" w:rsidRDefault="001F624B" w:rsidP="00184655">
            <w:pPr>
              <w:adjustRightInd w:val="0"/>
              <w:snapToGrid w:val="0"/>
              <w:jc w:val="center"/>
              <w:rPr>
                <w:rFonts w:asciiTheme="minorEastAsia" w:hAnsiTheme="minorEastAsia" w:cs="Times New Roman"/>
                <w:sz w:val="28"/>
                <w:szCs w:val="28"/>
              </w:rPr>
            </w:pPr>
          </w:p>
        </w:tc>
        <w:tc>
          <w:tcPr>
            <w:tcW w:w="1056" w:type="dxa"/>
            <w:noWrap/>
            <w:vAlign w:val="center"/>
          </w:tcPr>
          <w:p w:rsidR="001F624B" w:rsidRPr="002A03CC" w:rsidRDefault="001F624B" w:rsidP="006167E6">
            <w:pPr>
              <w:adjustRightInd w:val="0"/>
              <w:snapToGrid w:val="0"/>
              <w:jc w:val="center"/>
              <w:rPr>
                <w:rFonts w:asciiTheme="minorEastAsia" w:hAnsiTheme="minorEastAsia" w:cs="Times New Roman"/>
                <w:sz w:val="28"/>
                <w:szCs w:val="28"/>
              </w:rPr>
            </w:pPr>
          </w:p>
        </w:tc>
      </w:tr>
      <w:tr w:rsidR="00E7627E" w:rsidRPr="002A03CC" w:rsidTr="00192DAB">
        <w:trPr>
          <w:trHeight w:val="270"/>
          <w:jc w:val="center"/>
        </w:trPr>
        <w:tc>
          <w:tcPr>
            <w:tcW w:w="1440" w:type="dxa"/>
            <w:noWrap/>
            <w:vAlign w:val="center"/>
          </w:tcPr>
          <w:p>
            <w:pPr>
              <w:jc w:val="center"/>
            </w:pPr>
            <w:r>
              <w:rPr>
                <w:rFonts w:ascii="宋体" w:hAnsi="宋体"/>
                <w:b w:val="0"/>
                <w:sz w:val="28"/>
              </w:rPr>
              <w:t>活期存款</w:t>
            </w:r>
          </w:p>
        </w:tc>
        <w:tc>
          <w:tcPr>
            <w:tcW w:w="2120" w:type="dxa"/>
            <w:noWrap/>
            <w:vAlign w:val="center"/>
          </w:tcPr>
          <w:p>
            <w:pPr>
              <w:jc w:val="center"/>
            </w:pPr>
            <w:r>
              <w:rPr>
                <w:rFonts w:ascii="宋体" w:hAnsi="宋体"/>
                <w:b w:val="0"/>
                <w:sz w:val="28"/>
              </w:rPr>
              <w:t>0.2</w:t>
            </w:r>
          </w:p>
        </w:tc>
        <w:tc>
          <w:tcPr>
            <w:tcW w:w="1056" w:type="dxa"/>
            <w:noWrap/>
            <w:vAlign w:val="center"/>
          </w:tcPr>
          <w:p>
            <w:pPr>
              <w:jc w:val="center"/>
            </w:pPr>
            <w:r>
              <w:rPr>
                <w:rFonts w:ascii="宋体" w:hAnsi="宋体"/>
                <w:b w:val="0"/>
                <w:sz w:val="28"/>
              </w:rPr>
              <w:t>0.14%</w:t>
            </w:r>
          </w:p>
        </w:tc>
        <w:tc>
          <w:tcPr>
            <w:tcW w:w="1581" w:type="dxa"/>
            <w:noWrap/>
            <w:vAlign w:val="center"/>
          </w:tcPr>
          <w:p w:rsidR="00E7627E" w:rsidRPr="002A03CC" w:rsidRDefault="00E7627E" w:rsidP="00184655">
            <w:pPr>
              <w:adjustRightInd w:val="0"/>
              <w:snapToGrid w:val="0"/>
              <w:jc w:val="center"/>
              <w:rPr>
                <w:rFonts w:asciiTheme="minorEastAsia" w:hAnsiTheme="minorEastAsia" w:cs="Times New Roman"/>
                <w:sz w:val="28"/>
                <w:szCs w:val="28"/>
              </w:rPr>
            </w:pPr>
          </w:p>
        </w:tc>
        <w:tc>
          <w:tcPr>
            <w:tcW w:w="1985" w:type="dxa"/>
            <w:noWrap/>
            <w:vAlign w:val="center"/>
          </w:tcPr>
          <w:p w:rsidR="00E7627E" w:rsidRPr="002A03CC" w:rsidRDefault="00E7627E" w:rsidP="00184655">
            <w:pPr>
              <w:adjustRightInd w:val="0"/>
              <w:snapToGrid w:val="0"/>
              <w:jc w:val="center"/>
              <w:rPr>
                <w:rFonts w:asciiTheme="minorEastAsia" w:hAnsiTheme="minorEastAsia" w:cs="Times New Roman"/>
                <w:sz w:val="28"/>
                <w:szCs w:val="28"/>
              </w:rPr>
            </w:pPr>
          </w:p>
        </w:tc>
        <w:tc>
          <w:tcPr>
            <w:tcW w:w="1056" w:type="dxa"/>
            <w:noWrap/>
            <w:vAlign w:val="center"/>
          </w:tcPr>
          <w:p w:rsidR="00E7627E" w:rsidRPr="002A03CC" w:rsidRDefault="00E7627E" w:rsidP="006167E6">
            <w:pPr>
              <w:adjustRightInd w:val="0"/>
              <w:snapToGrid w:val="0"/>
              <w:jc w:val="center"/>
              <w:rPr>
                <w:rFonts w:asciiTheme="minorEastAsia" w:hAnsiTheme="minorEastAsia" w:cs="Times New Roman"/>
                <w:sz w:val="28"/>
                <w:szCs w:val="28"/>
              </w:rPr>
            </w:pPr>
          </w:p>
        </w:tc>
      </w:tr>
      <w:tr w:rsidR="00E7627E" w:rsidRPr="002A03CC" w:rsidTr="00192DAB">
        <w:trPr>
          <w:trHeight w:val="270"/>
          <w:jc w:val="center"/>
        </w:trPr>
        <w:tc>
          <w:tcPr>
            <w:tcW w:w="1440" w:type="dxa"/>
            <w:noWrap/>
            <w:vAlign w:val="center"/>
          </w:tcPr>
          <w:p>
            <w:pPr>
              <w:jc w:val="center"/>
            </w:pPr>
            <w:r>
              <w:rPr>
                <w:rFonts w:ascii="宋体" w:hAnsi="宋体"/>
                <w:b w:val="0"/>
                <w:sz w:val="28"/>
              </w:rPr>
              <w:t>理财直接融资工具</w:t>
            </w:r>
          </w:p>
        </w:tc>
        <w:tc>
          <w:tcPr>
            <w:tcW w:w="2120" w:type="dxa"/>
            <w:noWrap/>
            <w:vAlign w:val="center"/>
          </w:tcPr>
          <w:p>
            <w:pPr>
              <w:jc w:val="center"/>
            </w:pPr>
            <w:r>
              <w:rPr>
                <w:rFonts w:ascii="宋体" w:hAnsi="宋体"/>
                <w:b w:val="0"/>
                <w:sz w:val="28"/>
              </w:rPr>
              <w:t>2.74</w:t>
            </w:r>
          </w:p>
        </w:tc>
        <w:tc>
          <w:tcPr>
            <w:tcW w:w="1056" w:type="dxa"/>
            <w:noWrap/>
            <w:vAlign w:val="center"/>
          </w:tcPr>
          <w:p>
            <w:pPr>
              <w:jc w:val="center"/>
            </w:pPr>
            <w:r>
              <w:rPr>
                <w:rFonts w:ascii="宋体" w:hAnsi="宋体"/>
                <w:b w:val="0"/>
                <w:sz w:val="28"/>
              </w:rPr>
              <w:t>1.84%</w:t>
            </w:r>
          </w:p>
        </w:tc>
        <w:tc>
          <w:tcPr>
            <w:tcW w:w="1581" w:type="dxa"/>
            <w:noWrap/>
            <w:vAlign w:val="center"/>
          </w:tcPr>
          <w:p w:rsidR="00E7627E" w:rsidRPr="002A03CC" w:rsidRDefault="00E7627E" w:rsidP="00184655">
            <w:pPr>
              <w:adjustRightInd w:val="0"/>
              <w:snapToGrid w:val="0"/>
              <w:jc w:val="center"/>
              <w:rPr>
                <w:rFonts w:asciiTheme="minorEastAsia" w:hAnsiTheme="minorEastAsia" w:cs="Times New Roman"/>
                <w:sz w:val="28"/>
                <w:szCs w:val="28"/>
              </w:rPr>
            </w:pPr>
          </w:p>
        </w:tc>
        <w:tc>
          <w:tcPr>
            <w:tcW w:w="1985" w:type="dxa"/>
            <w:noWrap/>
            <w:vAlign w:val="center"/>
          </w:tcPr>
          <w:p w:rsidR="00E7627E" w:rsidRPr="002A03CC" w:rsidRDefault="00E7627E" w:rsidP="00184655">
            <w:pPr>
              <w:adjustRightInd w:val="0"/>
              <w:snapToGrid w:val="0"/>
              <w:jc w:val="center"/>
              <w:rPr>
                <w:rFonts w:asciiTheme="minorEastAsia" w:hAnsiTheme="minorEastAsia" w:cs="Times New Roman"/>
                <w:sz w:val="28"/>
                <w:szCs w:val="28"/>
              </w:rPr>
            </w:pPr>
          </w:p>
        </w:tc>
        <w:tc>
          <w:tcPr>
            <w:tcW w:w="1056" w:type="dxa"/>
            <w:noWrap/>
            <w:vAlign w:val="center"/>
          </w:tcPr>
          <w:p w:rsidR="00E7627E" w:rsidRPr="002A03CC" w:rsidRDefault="00E7627E" w:rsidP="006167E6">
            <w:pPr>
              <w:adjustRightInd w:val="0"/>
              <w:snapToGrid w:val="0"/>
              <w:jc w:val="center"/>
              <w:rPr>
                <w:rFonts w:asciiTheme="minorEastAsia" w:hAnsiTheme="minorEastAsia" w:cs="Times New Roman"/>
                <w:sz w:val="28"/>
                <w:szCs w:val="28"/>
              </w:rPr>
            </w:pPr>
          </w:p>
        </w:tc>
      </w:tr>
      <w:tr w:rsidR="00E7627E" w:rsidRPr="002A03CC" w:rsidTr="004564D7">
        <w:trPr>
          <w:trHeight w:val="270"/>
          <w:jc w:val="center"/>
        </w:trPr>
        <w:tc>
          <w:tcPr>
            <w:tcW w:w="1440" w:type="dxa"/>
            <w:noWrap/>
            <w:vAlign w:val="center"/>
          </w:tcPr>
          <w:p>
            <w:pPr>
              <w:jc w:val="center"/>
            </w:pPr>
            <w:r>
              <w:rPr>
                <w:rFonts w:ascii="宋体" w:hAnsi="宋体"/>
                <w:b w:val="0"/>
                <w:sz w:val="28"/>
              </w:rPr>
              <w:t>理财直融工具</w:t>
            </w:r>
          </w:p>
        </w:tc>
        <w:tc>
          <w:tcPr>
            <w:tcW w:w="2120" w:type="dxa"/>
            <w:noWrap/>
            <w:vAlign w:val="center"/>
          </w:tcPr>
          <w:p>
            <w:pPr>
              <w:jc w:val="center"/>
            </w:pPr>
            <w:r>
              <w:rPr>
                <w:rFonts w:ascii="宋体" w:hAnsi="宋体"/>
                <w:b w:val="0"/>
                <w:sz w:val="28"/>
              </w:rPr>
              <w:t>0.15</w:t>
            </w:r>
          </w:p>
        </w:tc>
        <w:tc>
          <w:tcPr>
            <w:tcW w:w="1056" w:type="dxa"/>
            <w:noWrap/>
            <w:vAlign w:val="center"/>
          </w:tcPr>
          <w:p>
            <w:pPr>
              <w:jc w:val="center"/>
            </w:pPr>
            <w:r>
              <w:rPr>
                <w:rFonts w:ascii="宋体" w:hAnsi="宋体"/>
                <w:b w:val="0"/>
                <w:sz w:val="28"/>
              </w:rPr>
              <w:t>0.1%</w:t>
            </w:r>
          </w:p>
        </w:tc>
        <w:tc>
          <w:tcPr>
            <w:tcW w:w="1581" w:type="dxa"/>
            <w:noWrap/>
            <w:vAlign w:val="center"/>
          </w:tcPr>
          <w:p w:rsidR="00E7627E" w:rsidRPr="002A03CC" w:rsidRDefault="00E7627E" w:rsidP="007007D0">
            <w:pPr>
              <w:adjustRightInd w:val="0"/>
              <w:snapToGrid w:val="0"/>
              <w:jc w:val="center"/>
              <w:rPr>
                <w:rFonts w:asciiTheme="minorEastAsia" w:hAnsiTheme="minorEastAsia" w:cs="Times New Roman"/>
                <w:sz w:val="28"/>
                <w:szCs w:val="28"/>
              </w:rPr>
            </w:pPr>
          </w:p>
        </w:tc>
        <w:tc>
          <w:tcPr>
            <w:tcW w:w="1985" w:type="dxa"/>
            <w:noWrap/>
            <w:vAlign w:val="center"/>
          </w:tcPr>
          <w:p w:rsidR="00E7627E" w:rsidRPr="002A03CC" w:rsidRDefault="00E7627E" w:rsidP="007007D0">
            <w:pPr>
              <w:adjustRightInd w:val="0"/>
              <w:snapToGrid w:val="0"/>
              <w:jc w:val="center"/>
              <w:rPr>
                <w:rFonts w:asciiTheme="minorEastAsia" w:hAnsiTheme="minorEastAsia" w:cs="Times New Roman"/>
                <w:sz w:val="28"/>
                <w:szCs w:val="28"/>
              </w:rPr>
            </w:pPr>
          </w:p>
        </w:tc>
        <w:tc>
          <w:tcPr>
            <w:tcW w:w="1056" w:type="dxa"/>
            <w:noWrap/>
            <w:vAlign w:val="center"/>
          </w:tcPr>
          <w:p w:rsidR="00E7627E" w:rsidRPr="002A03CC" w:rsidRDefault="00E7627E" w:rsidP="007007D0">
            <w:pPr>
              <w:adjustRightInd w:val="0"/>
              <w:snapToGrid w:val="0"/>
              <w:jc w:val="center"/>
              <w:rPr>
                <w:rFonts w:asciiTheme="minorEastAsia" w:hAnsiTheme="minorEastAsia" w:cs="Times New Roman"/>
                <w:sz w:val="28"/>
                <w:szCs w:val="28"/>
              </w:rPr>
            </w:pPr>
          </w:p>
        </w:tc>
      </w:tr>
      <w:tr w:rsidR="00E7627E" w:rsidRPr="002A03CC" w:rsidTr="004564D7">
        <w:trPr>
          <w:trHeight w:val="270"/>
          <w:jc w:val="center"/>
        </w:trPr>
        <w:tc>
          <w:tcPr>
            <w:tcW w:w="1440" w:type="dxa"/>
            <w:noWrap/>
            <w:vAlign w:val="center"/>
          </w:tcPr>
          <w:p>
            <w:pPr>
              <w:jc w:val="center"/>
            </w:pPr>
            <w:r>
              <w:rPr>
                <w:rFonts w:ascii="宋体" w:hAnsi="宋体"/>
                <w:b w:val="0"/>
                <w:sz w:val="28"/>
              </w:rPr>
              <w:t>自定义资产</w:t>
            </w:r>
          </w:p>
        </w:tc>
        <w:tc>
          <w:tcPr>
            <w:tcW w:w="2120" w:type="dxa"/>
            <w:noWrap/>
            <w:vAlign w:val="center"/>
          </w:tcPr>
          <w:p>
            <w:pPr>
              <w:jc w:val="center"/>
            </w:pPr>
            <w:r>
              <w:rPr>
                <w:rFonts w:ascii="宋体" w:hAnsi="宋体"/>
                <w:b w:val="0"/>
                <w:sz w:val="28"/>
              </w:rPr>
              <w:t>4.5</w:t>
            </w:r>
          </w:p>
        </w:tc>
        <w:tc>
          <w:tcPr>
            <w:tcW w:w="1056" w:type="dxa"/>
            <w:noWrap/>
            <w:vAlign w:val="center"/>
          </w:tcPr>
          <w:p>
            <w:pPr>
              <w:jc w:val="center"/>
            </w:pPr>
            <w:r>
              <w:rPr>
                <w:rFonts w:ascii="宋体" w:hAnsi="宋体"/>
                <w:b w:val="0"/>
                <w:sz w:val="28"/>
              </w:rPr>
              <w:t>3.02%</w:t>
            </w:r>
          </w:p>
        </w:tc>
        <w:tc>
          <w:tcPr>
            <w:tcW w:w="1581" w:type="dxa"/>
            <w:noWrap/>
            <w:vAlign w:val="center"/>
          </w:tcPr>
          <w:p w:rsidR="00E7627E" w:rsidRPr="002A03CC" w:rsidRDefault="00E7627E" w:rsidP="007007D0">
            <w:pPr>
              <w:adjustRightInd w:val="0"/>
              <w:snapToGrid w:val="0"/>
              <w:jc w:val="center"/>
              <w:rPr>
                <w:rFonts w:asciiTheme="minorEastAsia" w:hAnsiTheme="minorEastAsia" w:cs="Times New Roman"/>
                <w:sz w:val="28"/>
                <w:szCs w:val="28"/>
              </w:rPr>
            </w:pPr>
          </w:p>
        </w:tc>
        <w:tc>
          <w:tcPr>
            <w:tcW w:w="1985" w:type="dxa"/>
            <w:noWrap/>
            <w:vAlign w:val="center"/>
          </w:tcPr>
          <w:p w:rsidR="00E7627E" w:rsidRPr="002A03CC" w:rsidRDefault="00E7627E" w:rsidP="007007D0">
            <w:pPr>
              <w:adjustRightInd w:val="0"/>
              <w:snapToGrid w:val="0"/>
              <w:jc w:val="center"/>
              <w:rPr>
                <w:rFonts w:asciiTheme="minorEastAsia" w:hAnsiTheme="minorEastAsia" w:cs="Times New Roman"/>
                <w:sz w:val="28"/>
                <w:szCs w:val="28"/>
              </w:rPr>
            </w:pPr>
          </w:p>
        </w:tc>
        <w:tc>
          <w:tcPr>
            <w:tcW w:w="1056" w:type="dxa"/>
            <w:noWrap/>
            <w:vAlign w:val="center"/>
          </w:tcPr>
          <w:p w:rsidR="00E7627E" w:rsidRPr="002A03CC" w:rsidRDefault="00E7627E" w:rsidP="007007D0">
            <w:pPr>
              <w:adjustRightInd w:val="0"/>
              <w:snapToGrid w:val="0"/>
              <w:jc w:val="center"/>
              <w:rPr>
                <w:rFonts w:asciiTheme="minorEastAsia" w:hAnsiTheme="minorEastAsia" w:cs="Times New Roman"/>
                <w:sz w:val="28"/>
                <w:szCs w:val="28"/>
              </w:rPr>
            </w:pPr>
          </w:p>
        </w:tc>
      </w:tr>
      <w:tr w:rsidR="00E7627E" w:rsidRPr="002A03CC" w:rsidTr="00F70155">
        <w:trPr>
          <w:trHeight w:val="270"/>
          <w:jc w:val="center"/>
        </w:trPr>
        <w:tc>
          <w:tcPr>
            <w:tcW w:w="1440" w:type="dxa"/>
            <w:noWrap/>
            <w:vAlign w:val="center"/>
          </w:tcPr>
          <w:p>
            <w:pPr>
              <w:jc w:val="center"/>
            </w:pPr>
            <w:r>
              <w:rPr>
                <w:rFonts w:ascii="宋体" w:hAnsi="宋体"/>
                <w:b w:val="0"/>
                <w:sz w:val="28"/>
              </w:rPr>
              <w:t>质押式回购</w:t>
            </w:r>
          </w:p>
        </w:tc>
        <w:tc>
          <w:tcPr>
            <w:tcW w:w="2120" w:type="dxa"/>
            <w:noWrap/>
            <w:vAlign w:val="center"/>
          </w:tcPr>
          <w:p>
            <w:pPr>
              <w:jc w:val="center"/>
            </w:pPr>
            <w:r>
              <w:rPr>
                <w:rFonts w:ascii="宋体" w:hAnsi="宋体"/>
                <w:b w:val="0"/>
                <w:sz w:val="28"/>
              </w:rPr>
              <w:t>3.94</w:t>
            </w:r>
          </w:p>
        </w:tc>
        <w:tc>
          <w:tcPr>
            <w:tcW w:w="1056" w:type="dxa"/>
            <w:noWrap/>
            <w:vAlign w:val="center"/>
          </w:tcPr>
          <w:p>
            <w:pPr>
              <w:jc w:val="center"/>
            </w:pPr>
            <w:r>
              <w:rPr>
                <w:rFonts w:ascii="宋体" w:hAnsi="宋体"/>
                <w:b w:val="0"/>
                <w:sz w:val="28"/>
              </w:rPr>
              <w:t>2.65%</w:t>
            </w:r>
          </w:p>
        </w:tc>
        <w:tc>
          <w:tcPr>
            <w:tcW w:w="1581" w:type="dxa"/>
            <w:noWrap/>
            <w:vAlign w:val="center"/>
          </w:tcPr>
          <w:p w:rsidR="00E7627E" w:rsidRPr="002A03CC" w:rsidRDefault="00E7627E" w:rsidP="00192DAB">
            <w:pPr>
              <w:adjustRightInd w:val="0"/>
              <w:snapToGrid w:val="0"/>
              <w:jc w:val="center"/>
              <w:rPr>
                <w:rFonts w:asciiTheme="minorEastAsia" w:hAnsiTheme="minorEastAsia" w:cs="Times New Roman"/>
                <w:sz w:val="28"/>
                <w:szCs w:val="28"/>
              </w:rPr>
            </w:pPr>
          </w:p>
        </w:tc>
        <w:tc>
          <w:tcPr>
            <w:tcW w:w="1985" w:type="dxa"/>
            <w:noWrap/>
            <w:vAlign w:val="center"/>
          </w:tcPr>
          <w:p w:rsidR="00E7627E" w:rsidRPr="002A03CC" w:rsidRDefault="00E7627E" w:rsidP="008B0E56">
            <w:pPr>
              <w:adjustRightInd w:val="0"/>
              <w:snapToGrid w:val="0"/>
              <w:jc w:val="center"/>
              <w:rPr>
                <w:color w:val="000000"/>
                <w:sz w:val="28"/>
                <w:szCs w:val="28"/>
              </w:rPr>
            </w:pPr>
          </w:p>
        </w:tc>
        <w:tc>
          <w:tcPr>
            <w:tcW w:w="1056" w:type="dxa"/>
            <w:noWrap/>
            <w:vAlign w:val="center"/>
          </w:tcPr>
          <w:p w:rsidR="00E7627E" w:rsidRPr="002A03CC" w:rsidRDefault="00E7627E" w:rsidP="008B0E56">
            <w:pPr>
              <w:adjustRightInd w:val="0"/>
              <w:snapToGrid w:val="0"/>
              <w:jc w:val="center"/>
              <w:rPr>
                <w:color w:val="000000"/>
                <w:sz w:val="28"/>
                <w:szCs w:val="28"/>
              </w:rPr>
            </w:pPr>
          </w:p>
        </w:tc>
      </w:tr>
      <w:tr w:rsidR="00E7627E" w:rsidRPr="002A03CC" w:rsidTr="00363A47">
        <w:trPr>
          <w:trHeight w:val="270"/>
          <w:jc w:val="center"/>
        </w:trPr>
        <w:tc>
          <w:tcPr>
            <w:tcW w:w="1440" w:type="dxa"/>
            <w:noWrap/>
            <w:vAlign w:val="center"/>
          </w:tcPr>
          <w:p>
            <w:pPr>
              <w:jc w:val="center"/>
            </w:pPr>
            <w:r>
              <w:rPr>
                <w:rFonts w:ascii="宋体" w:hAnsi="宋体"/>
                <w:b w:val="0"/>
                <w:sz w:val="28"/>
              </w:rPr>
              <w:t>质押式逆回购</w:t>
            </w:r>
          </w:p>
        </w:tc>
        <w:tc>
          <w:tcPr>
            <w:tcW w:w="2120" w:type="dxa"/>
            <w:noWrap/>
            <w:vAlign w:val="center"/>
          </w:tcPr>
          <w:p>
            <w:pPr>
              <w:jc w:val="center"/>
            </w:pPr>
            <w:r>
              <w:rPr>
                <w:rFonts w:ascii="宋体" w:hAnsi="宋体"/>
                <w:b w:val="0"/>
                <w:sz w:val="28"/>
              </w:rPr>
              <w:t>0.06</w:t>
            </w:r>
          </w:p>
        </w:tc>
        <w:tc>
          <w:tcPr>
            <w:tcW w:w="1056" w:type="dxa"/>
            <w:noWrap/>
            <w:vAlign w:val="center"/>
          </w:tcPr>
          <w:p>
            <w:pPr>
              <w:jc w:val="center"/>
            </w:pPr>
            <w:r>
              <w:rPr>
                <w:rFonts w:ascii="宋体" w:hAnsi="宋体"/>
                <w:b w:val="0"/>
                <w:sz w:val="28"/>
              </w:rPr>
              <w:t>0.04%</w:t>
            </w:r>
          </w:p>
        </w:tc>
        <w:tc>
          <w:tcPr>
            <w:tcW w:w="1581" w:type="dxa"/>
            <w:noWrap/>
            <w:vAlign w:val="center"/>
          </w:tcPr>
          <w:p w:rsidR="00E7627E" w:rsidRPr="002A03CC" w:rsidRDefault="00E7627E" w:rsidP="00192DAB">
            <w:pPr>
              <w:adjustRightInd w:val="0"/>
              <w:snapToGrid w:val="0"/>
              <w:jc w:val="center"/>
              <w:rPr>
                <w:rFonts w:asciiTheme="minorEastAsia" w:hAnsiTheme="minorEastAsia" w:cs="Times New Roman"/>
                <w:sz w:val="28"/>
                <w:szCs w:val="28"/>
              </w:rPr>
            </w:pPr>
          </w:p>
        </w:tc>
        <w:tc>
          <w:tcPr>
            <w:tcW w:w="1985" w:type="dxa"/>
            <w:noWrap/>
            <w:vAlign w:val="center"/>
          </w:tcPr>
          <w:p w:rsidR="00E7627E" w:rsidRPr="002A03CC" w:rsidRDefault="00E7627E" w:rsidP="008B0E56">
            <w:pPr>
              <w:adjustRightInd w:val="0"/>
              <w:snapToGrid w:val="0"/>
              <w:jc w:val="center"/>
              <w:rPr>
                <w:color w:val="000000"/>
                <w:sz w:val="28"/>
                <w:szCs w:val="28"/>
              </w:rPr>
            </w:pPr>
          </w:p>
        </w:tc>
        <w:tc>
          <w:tcPr>
            <w:tcW w:w="1056" w:type="dxa"/>
            <w:noWrap/>
            <w:vAlign w:val="center"/>
          </w:tcPr>
          <w:p w:rsidR="00E7627E" w:rsidRPr="002A03CC" w:rsidRDefault="00E7627E" w:rsidP="008B0E56">
            <w:pPr>
              <w:adjustRightInd w:val="0"/>
              <w:snapToGrid w:val="0"/>
              <w:jc w:val="center"/>
              <w:rPr>
                <w:color w:val="000000"/>
                <w:sz w:val="28"/>
                <w:szCs w:val="28"/>
              </w:rPr>
            </w:pPr>
          </w:p>
        </w:tc>
      </w:tr>
      <w:tr w:rsidR="00E7627E" w:rsidRPr="002A03CC" w:rsidTr="00363A47">
        <w:trPr>
          <w:trHeight w:val="270"/>
          <w:jc w:val="center"/>
        </w:trPr>
        <w:tc>
          <w:tcPr>
            <w:tcW w:w="1440" w:type="dxa"/>
            <w:noWrap/>
            <w:vAlign w:val="center"/>
          </w:tcPr>
          <w:p>
            <w:pPr>
              <w:jc w:val="center"/>
            </w:pPr>
            <w:r>
              <w:rPr>
                <w:rFonts w:ascii="宋体" w:hAnsi="宋体"/>
                <w:b w:val="0"/>
                <w:sz w:val="28"/>
              </w:rPr>
              <w:t>资产证券化债券</w:t>
            </w:r>
          </w:p>
        </w:tc>
        <w:tc>
          <w:tcPr>
            <w:tcW w:w="2120" w:type="dxa"/>
            <w:noWrap/>
            <w:vAlign w:val="center"/>
          </w:tcPr>
          <w:p>
            <w:pPr>
              <w:jc w:val="center"/>
            </w:pPr>
            <w:r>
              <w:rPr>
                <w:rFonts w:ascii="宋体" w:hAnsi="宋体"/>
                <w:b w:val="0"/>
                <w:sz w:val="28"/>
              </w:rPr>
              <w:t>2.85</w:t>
            </w:r>
          </w:p>
        </w:tc>
        <w:tc>
          <w:tcPr>
            <w:tcW w:w="1056" w:type="dxa"/>
            <w:noWrap/>
            <w:vAlign w:val="center"/>
          </w:tcPr>
          <w:p>
            <w:pPr>
              <w:jc w:val="center"/>
            </w:pPr>
            <w:r>
              <w:rPr>
                <w:rFonts w:ascii="宋体" w:hAnsi="宋体"/>
                <w:b w:val="0"/>
                <w:sz w:val="28"/>
              </w:rPr>
              <w:t>1.91%</w:t>
            </w:r>
          </w:p>
        </w:tc>
        <w:tc>
          <w:tcPr>
            <w:tcW w:w="1581" w:type="dxa"/>
            <w:noWrap/>
            <w:vAlign w:val="center"/>
          </w:tcPr>
          <w:p w:rsidR="00E7627E" w:rsidRPr="002A03CC" w:rsidRDefault="00E7627E" w:rsidP="00192DAB">
            <w:pPr>
              <w:adjustRightInd w:val="0"/>
              <w:snapToGrid w:val="0"/>
              <w:jc w:val="center"/>
              <w:rPr>
                <w:rFonts w:asciiTheme="minorEastAsia" w:hAnsiTheme="minorEastAsia" w:cs="Times New Roman"/>
                <w:sz w:val="28"/>
                <w:szCs w:val="28"/>
              </w:rPr>
            </w:pPr>
          </w:p>
        </w:tc>
        <w:tc>
          <w:tcPr>
            <w:tcW w:w="1985" w:type="dxa"/>
            <w:noWrap/>
            <w:vAlign w:val="center"/>
          </w:tcPr>
          <w:p w:rsidR="00E7627E" w:rsidRPr="002A03CC" w:rsidRDefault="00E7627E" w:rsidP="008B0E56">
            <w:pPr>
              <w:adjustRightInd w:val="0"/>
              <w:snapToGrid w:val="0"/>
              <w:jc w:val="center"/>
              <w:rPr>
                <w:color w:val="000000"/>
                <w:sz w:val="28"/>
                <w:szCs w:val="28"/>
              </w:rPr>
            </w:pPr>
          </w:p>
        </w:tc>
        <w:tc>
          <w:tcPr>
            <w:tcW w:w="1056" w:type="dxa"/>
            <w:noWrap/>
            <w:vAlign w:val="center"/>
          </w:tcPr>
          <w:p w:rsidR="00E7627E" w:rsidRPr="002A03CC" w:rsidRDefault="00E7627E" w:rsidP="008B0E56">
            <w:pPr>
              <w:adjustRightInd w:val="0"/>
              <w:snapToGrid w:val="0"/>
              <w:jc w:val="center"/>
              <w:rPr>
                <w:color w:val="000000"/>
                <w:sz w:val="28"/>
                <w:szCs w:val="28"/>
              </w:rPr>
            </w:pPr>
          </w:p>
        </w:tc>
      </w:tr>
      <w:tr w:rsidR="00E7627E" w:rsidRPr="002A03CC" w:rsidTr="00E27F60">
        <w:trPr>
          <w:trHeight w:val="270"/>
          <w:jc w:val="center"/>
        </w:trPr>
        <w:tc>
          <w:tcPr>
            <w:tcW w:w="1440" w:type="dxa"/>
            <w:noWrap/>
          </w:tcPr>
          <w:p>
            <w:pPr>
              <w:jc w:val="center"/>
            </w:pPr>
            <w:r>
              <w:rPr>
                <w:rFonts w:ascii="宋体" w:hAnsi="宋体"/>
                <w:b w:val="0"/>
                <w:sz w:val="28"/>
              </w:rPr>
              <w:t>非货币基金</w:t>
            </w:r>
          </w:p>
        </w:tc>
        <w:tc>
          <w:tcPr>
            <w:tcW w:w="2120" w:type="dxa"/>
            <w:noWrap/>
            <w:vAlign w:val="center"/>
          </w:tcPr>
          <w:p>
            <w:pPr>
              <w:jc w:val="center"/>
            </w:pPr>
            <w:r>
              <w:rPr>
                <w:rFonts w:ascii="宋体" w:hAnsi="宋体"/>
                <w:b w:val="0"/>
                <w:sz w:val="28"/>
              </w:rPr>
              <w:t>0.02</w:t>
            </w:r>
          </w:p>
        </w:tc>
        <w:tc>
          <w:tcPr>
            <w:tcW w:w="1056" w:type="dxa"/>
            <w:noWrap/>
            <w:vAlign w:val="center"/>
          </w:tcPr>
          <w:p>
            <w:pPr>
              <w:jc w:val="center"/>
            </w:pPr>
            <w:r>
              <w:rPr>
                <w:rFonts w:ascii="宋体" w:hAnsi="宋体"/>
                <w:b w:val="0"/>
                <w:sz w:val="28"/>
              </w:rPr>
              <w:t>0.01%</w:t>
            </w:r>
          </w:p>
        </w:tc>
        <w:tc>
          <w:tcPr>
            <w:tcW w:w="1581" w:type="dxa"/>
            <w:noWrap/>
            <w:vAlign w:val="center"/>
          </w:tcPr>
          <w:p w:rsidR="00E7627E" w:rsidRPr="002A03CC" w:rsidRDefault="00E7627E" w:rsidP="00192DAB">
            <w:pPr>
              <w:adjustRightInd w:val="0"/>
              <w:snapToGrid w:val="0"/>
              <w:jc w:val="center"/>
              <w:rPr>
                <w:rFonts w:asciiTheme="minorEastAsia" w:hAnsiTheme="minorEastAsia" w:cs="Times New Roman"/>
                <w:sz w:val="28"/>
                <w:szCs w:val="28"/>
              </w:rPr>
            </w:pPr>
          </w:p>
        </w:tc>
        <w:tc>
          <w:tcPr>
            <w:tcW w:w="1985" w:type="dxa"/>
            <w:noWrap/>
            <w:vAlign w:val="center"/>
          </w:tcPr>
          <w:p w:rsidR="00E7627E" w:rsidRPr="002A03CC" w:rsidRDefault="00E7627E" w:rsidP="008B0E56">
            <w:pPr>
              <w:adjustRightInd w:val="0"/>
              <w:snapToGrid w:val="0"/>
              <w:jc w:val="center"/>
              <w:rPr>
                <w:color w:val="000000"/>
                <w:sz w:val="28"/>
                <w:szCs w:val="28"/>
              </w:rPr>
            </w:pPr>
          </w:p>
        </w:tc>
        <w:tc>
          <w:tcPr>
            <w:tcW w:w="1056" w:type="dxa"/>
            <w:noWrap/>
            <w:vAlign w:val="center"/>
          </w:tcPr>
          <w:p w:rsidR="00E7627E" w:rsidRPr="002A03CC" w:rsidRDefault="00E7627E" w:rsidP="008B0E56">
            <w:pPr>
              <w:adjustRightInd w:val="0"/>
              <w:snapToGrid w:val="0"/>
              <w:jc w:val="center"/>
              <w:rPr>
                <w:color w:val="000000"/>
                <w:sz w:val="28"/>
                <w:szCs w:val="28"/>
              </w:rPr>
            </w:pPr>
          </w:p>
        </w:tc>
      </w:tr>
      <w:tr w:rsidR="00A97A80" w:rsidRPr="002A03CC" w:rsidTr="00505565">
        <w:trPr>
          <w:trHeight w:val="270"/>
          <w:jc w:val="center"/>
        </w:trPr>
        <w:tc>
          <w:tcPr>
            <w:tcW w:w="1440" w:type="dxa"/>
            <w:tcBorders>
              <w:bottom w:val="single" w:sz="4" w:space="0" w:color="auto"/>
            </w:tcBorders>
            <w:noWrap/>
            <w:vAlign w:val="center"/>
            <w:hideMark/>
          </w:tcPr>
          <w:p w:rsidR="00A97A80" w:rsidRPr="002A03CC" w:rsidRDefault="00A97A80" w:rsidP="007305BE">
            <w:pPr>
              <w:adjustRightInd w:val="0"/>
              <w:snapToGrid w:val="0"/>
              <w:jc w:val="center"/>
              <w:rPr>
                <w:rFonts w:asciiTheme="minorEastAsia" w:hAnsiTheme="minorEastAsia" w:cs="Times New Roman"/>
                <w:b/>
                <w:sz w:val="28"/>
                <w:szCs w:val="28"/>
              </w:rPr>
            </w:pPr>
            <w:r w:rsidRPr="002A03CC">
              <w:rPr>
                <w:rFonts w:asciiTheme="minorEastAsia" w:hAnsiTheme="minorEastAsia" w:cs="Times New Roman" w:hint="eastAsia"/>
                <w:b/>
                <w:sz w:val="28"/>
                <w:szCs w:val="28"/>
              </w:rPr>
              <w:t>资产合计</w:t>
            </w:r>
          </w:p>
        </w:tc>
        <w:tc>
          <w:tcPr>
            <w:tcW w:w="2120" w:type="dxa"/>
            <w:tcBorders>
              <w:bottom w:val="single" w:sz="4" w:space="0" w:color="auto"/>
            </w:tcBorders>
            <w:noWrap/>
            <w:vAlign w:val="center"/>
            <w:hideMark/>
          </w:tcPr>
          <w:p>
            <w:pPr>
              <w:jc w:val="center"/>
            </w:pPr>
            <w:r>
              <w:rPr>
                <w:rFonts w:ascii="宋体" w:hAnsi="宋体"/>
                <w:b/>
                <w:sz w:val="28"/>
              </w:rPr>
              <w:t>149.04</w:t>
            </w:r>
          </w:p>
        </w:tc>
        <w:tc>
          <w:tcPr>
            <w:tcW w:w="1056" w:type="dxa"/>
            <w:tcBorders>
              <w:bottom w:val="single" w:sz="4" w:space="0" w:color="auto"/>
            </w:tcBorders>
            <w:noWrap/>
            <w:vAlign w:val="center"/>
            <w:hideMark/>
          </w:tcPr>
          <w:p w:rsidR="00A97A80" w:rsidRPr="002A03CC" w:rsidRDefault="00A97A80" w:rsidP="007305BE">
            <w:pPr>
              <w:adjustRightInd w:val="0"/>
              <w:snapToGrid w:val="0"/>
              <w:jc w:val="center"/>
              <w:rPr>
                <w:rFonts w:asciiTheme="minorEastAsia" w:hAnsiTheme="minorEastAsia" w:cs="Times New Roman"/>
                <w:b/>
                <w:sz w:val="28"/>
                <w:szCs w:val="28"/>
              </w:rPr>
            </w:pPr>
            <w:r w:rsidRPr="002A03CC">
              <w:rPr>
                <w:rFonts w:asciiTheme="minorEastAsia" w:hAnsiTheme="minorEastAsia" w:cs="Times New Roman" w:hint="eastAsia"/>
                <w:b/>
                <w:sz w:val="28"/>
                <w:szCs w:val="28"/>
              </w:rPr>
              <w:t>100%</w:t>
            </w:r>
          </w:p>
        </w:tc>
        <w:tc>
          <w:tcPr>
            <w:tcW w:w="1581" w:type="dxa"/>
            <w:tcBorders>
              <w:bottom w:val="single" w:sz="4" w:space="0" w:color="auto"/>
            </w:tcBorders>
            <w:noWrap/>
            <w:vAlign w:val="center"/>
            <w:hideMark/>
          </w:tcPr>
          <w:p w:rsidR="00A97A80" w:rsidRPr="002A03CC" w:rsidRDefault="00A97A80" w:rsidP="007305BE">
            <w:pPr>
              <w:adjustRightInd w:val="0"/>
              <w:snapToGrid w:val="0"/>
              <w:jc w:val="center"/>
              <w:rPr>
                <w:rFonts w:asciiTheme="minorEastAsia" w:hAnsiTheme="minorEastAsia" w:cs="Times New Roman"/>
                <w:b/>
                <w:sz w:val="28"/>
                <w:szCs w:val="28"/>
              </w:rPr>
            </w:pPr>
            <w:r w:rsidRPr="002A03CC">
              <w:rPr>
                <w:rFonts w:asciiTheme="minorEastAsia" w:hAnsiTheme="minorEastAsia" w:cs="Times New Roman" w:hint="eastAsia"/>
                <w:b/>
                <w:sz w:val="28"/>
                <w:szCs w:val="28"/>
              </w:rPr>
              <w:t>负债合计</w:t>
            </w:r>
          </w:p>
        </w:tc>
        <w:tc>
          <w:tcPr>
            <w:tcW w:w="1985" w:type="dxa"/>
            <w:tcBorders>
              <w:bottom w:val="single" w:sz="4" w:space="0" w:color="auto"/>
            </w:tcBorders>
            <w:noWrap/>
            <w:vAlign w:val="center"/>
            <w:hideMark/>
          </w:tcPr>
          <w:p>
            <w:pPr>
              <w:jc w:val="center"/>
            </w:pPr>
            <w:r>
              <w:rPr>
                <w:rFonts w:ascii="宋体" w:hAnsi="宋体"/>
                <w:b/>
                <w:sz w:val="28"/>
              </w:rPr>
              <w:t>78.45</w:t>
            </w:r>
          </w:p>
        </w:tc>
        <w:tc>
          <w:tcPr>
            <w:tcW w:w="1056" w:type="dxa"/>
            <w:tcBorders>
              <w:bottom w:val="single" w:sz="4" w:space="0" w:color="auto"/>
            </w:tcBorders>
            <w:noWrap/>
            <w:vAlign w:val="center"/>
            <w:hideMark/>
          </w:tcPr>
          <w:p w:rsidR="00A97A80" w:rsidRPr="002A03CC" w:rsidRDefault="00A97A80" w:rsidP="008B0E56">
            <w:pPr>
              <w:adjustRightInd w:val="0"/>
              <w:snapToGrid w:val="0"/>
              <w:jc w:val="center"/>
              <w:rPr>
                <w:rFonts w:asciiTheme="minorEastAsia" w:hAnsiTheme="minorEastAsia" w:cs="Times New Roman"/>
                <w:b/>
                <w:sz w:val="28"/>
                <w:szCs w:val="28"/>
              </w:rPr>
            </w:pPr>
            <w:r w:rsidRPr="002A03CC">
              <w:rPr>
                <w:rFonts w:asciiTheme="minorEastAsia" w:hAnsiTheme="minorEastAsia" w:cs="Times New Roman" w:hint="eastAsia"/>
                <w:b/>
                <w:sz w:val="28"/>
                <w:szCs w:val="28"/>
              </w:rPr>
              <w:t>100%</w:t>
            </w:r>
          </w:p>
        </w:tc>
      </w:tr>
      <w:tr w:rsidR="00A97A80" w:rsidRPr="002A03CC" w:rsidTr="00F15BE1">
        <w:trPr>
          <w:trHeight w:val="270"/>
          <w:jc w:val="center"/>
        </w:trPr>
        <w:tc>
          <w:tcPr>
            <w:tcW w:w="9238" w:type="dxa"/>
            <w:gridSpan w:val="6"/>
            <w:tcBorders>
              <w:left w:val="nil"/>
              <w:bottom w:val="nil"/>
              <w:right w:val="nil"/>
            </w:tcBorders>
            <w:noWrap/>
            <w:vAlign w:val="center"/>
          </w:tcPr>
          <w:p w:rsidR="00A97A80" w:rsidRPr="002A03CC" w:rsidRDefault="00A97A80" w:rsidP="0056016C">
            <w:pPr>
              <w:widowControl/>
              <w:rPr>
                <w:rFonts w:ascii="宋体" w:eastAsia="宋体" w:hAnsi="宋体" w:cs="宋体"/>
                <w:color w:val="000000"/>
                <w:kern w:val="0"/>
                <w:sz w:val="22"/>
              </w:rPr>
            </w:pPr>
            <w:r w:rsidRPr="002A03CC">
              <w:rPr>
                <w:rFonts w:ascii="仿宋" w:eastAsia="仿宋" w:hAnsi="仿宋" w:cs="宋体" w:hint="eastAsia"/>
                <w:color w:val="000000"/>
                <w:kern w:val="0"/>
                <w:sz w:val="24"/>
                <w:szCs w:val="24"/>
              </w:rPr>
              <w:t>数据来源：理财资产管理系统、兆</w:t>
            </w:r>
            <w:proofErr w:type="gramStart"/>
            <w:r w:rsidRPr="002A03CC">
              <w:rPr>
                <w:rFonts w:ascii="仿宋" w:eastAsia="仿宋" w:hAnsi="仿宋" w:cs="宋体" w:hint="eastAsia"/>
                <w:color w:val="000000"/>
                <w:kern w:val="0"/>
                <w:sz w:val="24"/>
                <w:szCs w:val="24"/>
              </w:rPr>
              <w:t>尹</w:t>
            </w:r>
            <w:proofErr w:type="gramEnd"/>
            <w:r w:rsidRPr="002A03CC">
              <w:rPr>
                <w:rFonts w:ascii="仿宋" w:eastAsia="仿宋" w:hAnsi="仿宋" w:cs="宋体" w:hint="eastAsia"/>
                <w:color w:val="000000"/>
                <w:kern w:val="0"/>
                <w:sz w:val="24"/>
                <w:szCs w:val="24"/>
              </w:rPr>
              <w:t>系统，余额采用系统中市值数据计算，与会计核算数据口径上存在的差异</w:t>
            </w:r>
          </w:p>
        </w:tc>
      </w:tr>
    </w:tbl>
    <w:p w:rsidR="004411DA" w:rsidRPr="00D57643" w:rsidRDefault="00432F41" w:rsidP="00540422">
      <w:pPr>
        <w:spacing w:line="520" w:lineRule="exact"/>
        <w:ind w:firstLineChars="200" w:firstLine="643"/>
        <w:rPr>
          <w:rFonts w:ascii="仿宋_GB2312" w:eastAsia="仿宋_GB2312" w:hAnsi="Calibri" w:cs="Times New Roman"/>
          <w:b/>
          <w:sz w:val="32"/>
          <w:szCs w:val="32"/>
        </w:rPr>
      </w:pPr>
      <w:r w:rsidRPr="00D57643">
        <w:rPr>
          <w:rFonts w:ascii="仿宋_GB2312" w:eastAsia="仿宋_GB2312" w:hAnsi="Calibri" w:cs="Times New Roman" w:hint="eastAsia"/>
          <w:b/>
          <w:sz w:val="32"/>
          <w:szCs w:val="32"/>
        </w:rPr>
        <w:t>二、交易</w:t>
      </w:r>
      <w:r w:rsidR="004411DA" w:rsidRPr="00D57643">
        <w:rPr>
          <w:rFonts w:ascii="仿宋_GB2312" w:eastAsia="仿宋_GB2312" w:hAnsi="Calibri" w:cs="Times New Roman" w:hint="eastAsia"/>
          <w:b/>
          <w:sz w:val="32"/>
          <w:szCs w:val="32"/>
        </w:rPr>
        <w:t>概况</w:t>
      </w:r>
    </w:p>
    <w:p w:rsidR="008E06F4" w:rsidRPr="00D57643" w:rsidRDefault="00131002" w:rsidP="00540422">
      <w:pPr>
        <w:spacing w:line="520" w:lineRule="exact"/>
        <w:ind w:firstLineChars="200" w:firstLine="643"/>
        <w:rPr>
          <w:rFonts w:ascii="仿宋_GB2312" w:eastAsia="仿宋_GB2312" w:hAnsi="Calibri" w:cs="Times New Roman"/>
          <w:b/>
          <w:sz w:val="32"/>
          <w:szCs w:val="32"/>
        </w:rPr>
      </w:pPr>
      <w:r w:rsidRPr="00D57643">
        <w:rPr>
          <w:rFonts w:ascii="仿宋_GB2312" w:eastAsia="仿宋_GB2312" w:hAnsi="Calibri" w:cs="Times New Roman" w:hint="eastAsia"/>
          <w:b/>
          <w:sz w:val="32"/>
          <w:szCs w:val="32"/>
        </w:rPr>
        <w:t>（</w:t>
      </w:r>
      <w:r w:rsidR="00432F41" w:rsidRPr="00D57643">
        <w:rPr>
          <w:rFonts w:ascii="仿宋_GB2312" w:eastAsia="仿宋_GB2312" w:hAnsi="Calibri" w:cs="Times New Roman" w:hint="eastAsia"/>
          <w:b/>
          <w:sz w:val="32"/>
          <w:szCs w:val="32"/>
        </w:rPr>
        <w:t>一</w:t>
      </w:r>
      <w:r w:rsidRPr="00D57643">
        <w:rPr>
          <w:rFonts w:ascii="仿宋_GB2312" w:eastAsia="仿宋_GB2312" w:hAnsi="Calibri" w:cs="Times New Roman" w:hint="eastAsia"/>
          <w:b/>
          <w:sz w:val="32"/>
          <w:szCs w:val="32"/>
        </w:rPr>
        <w:t>）</w:t>
      </w:r>
      <w:r w:rsidR="008E06F4" w:rsidRPr="00D57643">
        <w:rPr>
          <w:rFonts w:ascii="仿宋_GB2312" w:eastAsia="仿宋_GB2312" w:hAnsi="Calibri" w:cs="Times New Roman" w:hint="eastAsia"/>
          <w:b/>
          <w:sz w:val="32"/>
          <w:szCs w:val="32"/>
        </w:rPr>
        <w:t>同业线上业务</w:t>
      </w:r>
    </w:p>
    <w:p w:rsidR="004411DA" w:rsidRPr="00D57643" w:rsidRDefault="004411DA" w:rsidP="00540422">
      <w:pPr>
        <w:spacing w:line="520" w:lineRule="exact"/>
        <w:ind w:firstLineChars="200" w:firstLine="643"/>
        <w:rPr>
          <w:rFonts w:ascii="仿宋_GB2312" w:eastAsia="仿宋_GB2312" w:hAnsi="Calibri" w:cs="Times New Roman"/>
          <w:b/>
          <w:sz w:val="32"/>
          <w:szCs w:val="32"/>
        </w:rPr>
      </w:pPr>
      <w:r w:rsidRPr="00D57643">
        <w:rPr>
          <w:rFonts w:ascii="仿宋_GB2312" w:eastAsia="仿宋_GB2312" w:hAnsi="Calibri" w:cs="Times New Roman" w:hint="eastAsia"/>
          <w:b/>
          <w:sz w:val="32"/>
          <w:szCs w:val="32"/>
        </w:rPr>
        <w:t>1.按业务类别划分</w:t>
      </w:r>
    </w:p>
    <w:p w:rsidR="00B13BEC" w:rsidRPr="00D57643" w:rsidRDefault="00857F5F" w:rsidP="00B13BEC">
      <w:pPr>
        <w:wordWrap w:val="0"/>
        <w:ind w:firstLineChars="200" w:firstLine="480"/>
        <w:jc w:val="right"/>
        <w:rPr>
          <w:rFonts w:ascii="仿宋_GB2312" w:eastAsia="仿宋_GB2312" w:hAnsi="Calibri" w:cs="Times New Roman"/>
          <w:b/>
          <w:sz w:val="32"/>
          <w:szCs w:val="32"/>
        </w:rPr>
      </w:pPr>
      <w:r w:rsidRPr="00D57643">
        <w:rPr>
          <w:rFonts w:ascii="仿宋_GB2312" w:eastAsia="仿宋_GB2312" w:hAnsi="Calibri" w:cs="Times New Roman" w:hint="eastAsia"/>
          <w:sz w:val="24"/>
          <w:szCs w:val="32"/>
        </w:rPr>
        <w:t>单位：万</w:t>
      </w:r>
      <w:r w:rsidR="00B13BEC" w:rsidRPr="00D57643">
        <w:rPr>
          <w:rFonts w:ascii="仿宋_GB2312" w:eastAsia="仿宋_GB2312" w:hAnsi="Calibri" w:cs="Times New Roman" w:hint="eastAsia"/>
          <w:sz w:val="24"/>
          <w:szCs w:val="32"/>
        </w:rPr>
        <w:t>元</w:t>
      </w:r>
    </w:p>
    <w:tbl>
      <w:tblPr>
        <w:tblStyle w:val="a3"/>
        <w:tblW w:w="9298" w:type="dxa"/>
        <w:jc w:val="center"/>
        <w:tblLayout w:type="fixed"/>
        <w:tblLook w:val="04A0" w:firstRow="1" w:lastRow="0" w:firstColumn="1" w:lastColumn="0" w:noHBand="0" w:noVBand="1"/>
      </w:tblPr>
      <w:tblGrid>
        <w:gridCol w:w="1341"/>
        <w:gridCol w:w="1056"/>
        <w:gridCol w:w="830"/>
        <w:gridCol w:w="2089"/>
        <w:gridCol w:w="1984"/>
        <w:gridCol w:w="1998"/>
      </w:tblGrid>
      <w:tr w:rsidR="002B1799" w:rsidRPr="002E2174" w:rsidTr="00C13DED">
        <w:trPr>
          <w:trHeight w:val="288"/>
          <w:jc w:val="center"/>
        </w:trPr>
        <w:tc>
          <w:tcPr>
            <w:tcW w:w="1341" w:type="dxa"/>
            <w:noWrap/>
            <w:hideMark/>
          </w:tcPr>
          <w:p w:rsidR="002B1799" w:rsidRPr="002E2174" w:rsidRDefault="002B1799" w:rsidP="00401261">
            <w:pPr>
              <w:widowControl/>
              <w:adjustRightInd w:val="0"/>
              <w:snapToGrid w:val="0"/>
              <w:jc w:val="center"/>
              <w:rPr>
                <w:rFonts w:ascii="宋体" w:eastAsia="宋体" w:hAnsi="宋体" w:cs="宋体"/>
                <w:b/>
                <w:color w:val="000000"/>
                <w:kern w:val="0"/>
                <w:sz w:val="28"/>
              </w:rPr>
            </w:pPr>
            <w:r w:rsidRPr="002E2174">
              <w:rPr>
                <w:rFonts w:ascii="宋体" w:eastAsia="宋体" w:hAnsi="宋体" w:cs="宋体" w:hint="eastAsia"/>
                <w:b/>
                <w:color w:val="000000"/>
                <w:kern w:val="0"/>
                <w:sz w:val="28"/>
              </w:rPr>
              <w:t>业务类别</w:t>
            </w:r>
          </w:p>
        </w:tc>
        <w:tc>
          <w:tcPr>
            <w:tcW w:w="1056" w:type="dxa"/>
            <w:noWrap/>
            <w:hideMark/>
          </w:tcPr>
          <w:p w:rsidR="002B1799" w:rsidRPr="002E2174" w:rsidRDefault="002B1799" w:rsidP="00401261">
            <w:pPr>
              <w:widowControl/>
              <w:adjustRightInd w:val="0"/>
              <w:snapToGrid w:val="0"/>
              <w:jc w:val="center"/>
              <w:rPr>
                <w:rFonts w:ascii="宋体" w:eastAsia="宋体" w:hAnsi="宋体" w:cs="宋体"/>
                <w:b/>
                <w:color w:val="000000"/>
                <w:kern w:val="0"/>
                <w:sz w:val="28"/>
              </w:rPr>
            </w:pPr>
            <w:r w:rsidRPr="002E2174">
              <w:rPr>
                <w:rFonts w:ascii="宋体" w:eastAsia="宋体" w:hAnsi="宋体" w:cs="宋体" w:hint="eastAsia"/>
                <w:b/>
                <w:color w:val="000000"/>
                <w:kern w:val="0"/>
                <w:sz w:val="28"/>
              </w:rPr>
              <w:t>方向</w:t>
            </w:r>
          </w:p>
        </w:tc>
        <w:tc>
          <w:tcPr>
            <w:tcW w:w="830" w:type="dxa"/>
            <w:hideMark/>
          </w:tcPr>
          <w:p w:rsidR="002B1799" w:rsidRPr="002E2174" w:rsidRDefault="002B1799" w:rsidP="00401261">
            <w:pPr>
              <w:widowControl/>
              <w:adjustRightInd w:val="0"/>
              <w:snapToGrid w:val="0"/>
              <w:jc w:val="center"/>
              <w:rPr>
                <w:rFonts w:ascii="宋体" w:eastAsia="宋体" w:hAnsi="宋体" w:cs="宋体"/>
                <w:b/>
                <w:color w:val="000000"/>
                <w:kern w:val="0"/>
                <w:sz w:val="28"/>
              </w:rPr>
            </w:pPr>
            <w:r w:rsidRPr="002E2174">
              <w:rPr>
                <w:rFonts w:ascii="宋体" w:eastAsia="宋体" w:hAnsi="宋体" w:cs="宋体" w:hint="eastAsia"/>
                <w:b/>
                <w:color w:val="000000"/>
                <w:kern w:val="0"/>
                <w:sz w:val="28"/>
              </w:rPr>
              <w:t>笔数</w:t>
            </w:r>
          </w:p>
        </w:tc>
        <w:tc>
          <w:tcPr>
            <w:tcW w:w="2089" w:type="dxa"/>
          </w:tcPr>
          <w:p w:rsidR="002B1799" w:rsidRPr="002E2174" w:rsidRDefault="002B1799" w:rsidP="00401261">
            <w:pPr>
              <w:widowControl/>
              <w:adjustRightInd w:val="0"/>
              <w:snapToGrid w:val="0"/>
              <w:jc w:val="center"/>
              <w:rPr>
                <w:rFonts w:ascii="宋体" w:eastAsia="宋体" w:hAnsi="宋体" w:cs="宋体"/>
                <w:b/>
                <w:color w:val="000000"/>
                <w:kern w:val="0"/>
                <w:sz w:val="28"/>
              </w:rPr>
            </w:pPr>
            <w:r w:rsidRPr="002E2174">
              <w:rPr>
                <w:rFonts w:ascii="宋体" w:eastAsia="宋体" w:hAnsi="宋体" w:cs="宋体" w:hint="eastAsia"/>
                <w:b/>
                <w:color w:val="000000"/>
                <w:kern w:val="0"/>
                <w:sz w:val="28"/>
              </w:rPr>
              <w:t>金额</w:t>
            </w:r>
          </w:p>
        </w:tc>
        <w:tc>
          <w:tcPr>
            <w:tcW w:w="1984" w:type="dxa"/>
            <w:hideMark/>
          </w:tcPr>
          <w:p w:rsidR="002B1799" w:rsidRPr="002E2174" w:rsidRDefault="002B1799" w:rsidP="00401261">
            <w:pPr>
              <w:widowControl/>
              <w:adjustRightInd w:val="0"/>
              <w:snapToGrid w:val="0"/>
              <w:jc w:val="center"/>
              <w:rPr>
                <w:rFonts w:ascii="宋体" w:eastAsia="宋体" w:hAnsi="宋体" w:cs="宋体"/>
                <w:b/>
                <w:color w:val="000000"/>
                <w:kern w:val="0"/>
                <w:sz w:val="28"/>
              </w:rPr>
            </w:pPr>
            <w:r w:rsidRPr="002E2174">
              <w:rPr>
                <w:rFonts w:ascii="宋体" w:eastAsia="宋体" w:hAnsi="宋体" w:cs="宋体" w:hint="eastAsia"/>
                <w:b/>
                <w:color w:val="000000"/>
                <w:kern w:val="0"/>
                <w:sz w:val="28"/>
              </w:rPr>
              <w:t>最大单笔金额</w:t>
            </w:r>
          </w:p>
        </w:tc>
        <w:tc>
          <w:tcPr>
            <w:tcW w:w="1998" w:type="dxa"/>
          </w:tcPr>
          <w:p w:rsidR="002B1799" w:rsidRPr="002E2174" w:rsidRDefault="002B1799" w:rsidP="00401261">
            <w:pPr>
              <w:widowControl/>
              <w:adjustRightInd w:val="0"/>
              <w:snapToGrid w:val="0"/>
              <w:jc w:val="center"/>
              <w:rPr>
                <w:rFonts w:ascii="宋体" w:eastAsia="宋体" w:hAnsi="宋体" w:cs="宋体"/>
                <w:b/>
                <w:color w:val="000000"/>
                <w:kern w:val="0"/>
                <w:sz w:val="28"/>
              </w:rPr>
            </w:pPr>
            <w:r w:rsidRPr="002E2174">
              <w:rPr>
                <w:rFonts w:ascii="宋体" w:eastAsia="宋体" w:hAnsi="宋体" w:cs="宋体" w:hint="eastAsia"/>
                <w:b/>
                <w:color w:val="000000"/>
                <w:kern w:val="0"/>
                <w:sz w:val="28"/>
              </w:rPr>
              <w:t>最小单笔金额</w:t>
            </w:r>
          </w:p>
        </w:tc>
      </w:tr>
      <w:tr w:rsidR="002E2174" w:rsidRPr="002E2174" w:rsidTr="00C13DED">
        <w:trPr>
          <w:trHeight w:val="288"/>
          <w:jc w:val="center"/>
        </w:trPr>
        <w:tc>
          <w:tcPr>
            <w:tcW w:w="1341" w:type="dxa"/>
            <w:vMerge w:val="restart"/>
            <w:noWrap/>
            <w:vAlign w:val="center"/>
            <w:hideMark/>
          </w:tcPr>
          <w:p w:rsidR="002E2174" w:rsidRPr="002E2174" w:rsidRDefault="002E2174" w:rsidP="00401261">
            <w:pPr>
              <w:widowControl/>
              <w:adjustRightInd w:val="0"/>
              <w:snapToGrid w:val="0"/>
              <w:jc w:val="center"/>
              <w:rPr>
                <w:rFonts w:ascii="宋体" w:eastAsia="宋体" w:hAnsi="宋体" w:cs="宋体"/>
                <w:color w:val="000000"/>
                <w:kern w:val="0"/>
                <w:sz w:val="28"/>
              </w:rPr>
            </w:pPr>
            <w:r w:rsidRPr="002E2174">
              <w:rPr>
                <w:rFonts w:ascii="宋体" w:eastAsia="宋体" w:hAnsi="宋体" w:cs="宋体" w:hint="eastAsia"/>
                <w:color w:val="000000"/>
                <w:kern w:val="0"/>
                <w:sz w:val="28"/>
              </w:rPr>
              <w:t>回购</w:t>
            </w:r>
          </w:p>
        </w:tc>
        <w:tc>
          <w:tcPr>
            <w:tcW w:w="1056" w:type="dxa"/>
            <w:noWrap/>
            <w:vAlign w:val="center"/>
            <w:hideMark/>
          </w:tcPr>
          <w:p w:rsidR="002E2174" w:rsidRPr="002E2174" w:rsidRDefault="002E2174" w:rsidP="0011006C">
            <w:pPr>
              <w:adjustRightInd w:val="0"/>
              <w:snapToGrid w:val="0"/>
              <w:jc w:val="center"/>
              <w:rPr>
                <w:rFonts w:asciiTheme="minorEastAsia" w:hAnsiTheme="minorEastAsia" w:cs="Times New Roman"/>
                <w:sz w:val="28"/>
                <w:szCs w:val="28"/>
              </w:rPr>
            </w:pPr>
            <w:r w:rsidRPr="002E2174">
              <w:rPr>
                <w:rFonts w:asciiTheme="minorEastAsia" w:hAnsiTheme="minorEastAsia" w:cs="Times New Roman" w:hint="eastAsia"/>
                <w:sz w:val="28"/>
                <w:szCs w:val="28"/>
              </w:rPr>
              <w:t>逆回购</w:t>
            </w:r>
          </w:p>
        </w:tc>
        <w:tc>
          <w:tcPr>
            <w:tcW w:w="830" w:type="dxa"/>
            <w:vAlign w:val="center"/>
            <w:hideMark/>
          </w:tcPr>
          <w:p w:rsidR="002E2174" w:rsidRPr="00AF0C52" w:rsidRDefault="002E2174" w:rsidP="00AF0C52">
            <w:pPr>
              <w:adjustRightInd w:val="0"/>
              <w:snapToGrid w:val="0"/>
              <w:jc w:val="center"/>
              <w:rPr>
                <w:rFonts w:asciiTheme="minorEastAsia" w:hAnsiTheme="minorEastAsia" w:cs="Times New Roman"/>
                <w:sz w:val="28"/>
                <w:szCs w:val="28"/>
              </w:rPr>
            </w:pPr>
            <w:r w:rsidRPr="00AF0C52">
              <w:rPr>
                <w:rFonts w:asciiTheme="minorEastAsia" w:hAnsiTheme="minorEastAsia" w:cs="Times New Roman" w:hint="eastAsia"/>
                <w:sz w:val="28"/>
                <w:szCs w:val="28"/>
              </w:rPr>
              <w:t>22</w:t>
            </w:r>
          </w:p>
        </w:tc>
        <w:tc>
          <w:tcPr>
            <w:tcW w:w="2089" w:type="dxa"/>
            <w:vAlign w:val="center"/>
          </w:tcPr>
          <w:p w:rsidR="002E2174" w:rsidRPr="00AF0C52" w:rsidRDefault="002E2174" w:rsidP="00AF0C52">
            <w:pPr>
              <w:adjustRightInd w:val="0"/>
              <w:snapToGrid w:val="0"/>
              <w:jc w:val="center"/>
              <w:rPr>
                <w:rFonts w:asciiTheme="minorEastAsia" w:hAnsiTheme="minorEastAsia" w:cs="Times New Roman"/>
                <w:sz w:val="28"/>
                <w:szCs w:val="28"/>
              </w:rPr>
            </w:pPr>
            <w:r w:rsidRPr="00AF0C52">
              <w:rPr>
                <w:rFonts w:asciiTheme="minorEastAsia" w:hAnsiTheme="minorEastAsia" w:cs="Times New Roman" w:hint="eastAsia"/>
                <w:sz w:val="28"/>
                <w:szCs w:val="28"/>
              </w:rPr>
              <w:t>562,211.90</w:t>
            </w:r>
          </w:p>
        </w:tc>
        <w:tc>
          <w:tcPr>
            <w:tcW w:w="1984" w:type="dxa"/>
            <w:vAlign w:val="center"/>
          </w:tcPr>
          <w:p w:rsidR="002E2174" w:rsidRPr="00AF0C52" w:rsidRDefault="002E2174" w:rsidP="00AF0C52">
            <w:pPr>
              <w:adjustRightInd w:val="0"/>
              <w:snapToGrid w:val="0"/>
              <w:jc w:val="center"/>
              <w:rPr>
                <w:rFonts w:asciiTheme="minorEastAsia" w:hAnsiTheme="minorEastAsia" w:cs="Times New Roman"/>
                <w:sz w:val="28"/>
                <w:szCs w:val="28"/>
              </w:rPr>
            </w:pPr>
            <w:r w:rsidRPr="00AF0C52">
              <w:rPr>
                <w:rFonts w:asciiTheme="minorEastAsia" w:hAnsiTheme="minorEastAsia" w:cs="Times New Roman" w:hint="eastAsia"/>
                <w:sz w:val="28"/>
                <w:szCs w:val="28"/>
              </w:rPr>
              <w:t>49,992.00</w:t>
            </w:r>
          </w:p>
        </w:tc>
        <w:tc>
          <w:tcPr>
            <w:tcW w:w="1998" w:type="dxa"/>
            <w:vAlign w:val="center"/>
          </w:tcPr>
          <w:p w:rsidR="002E2174" w:rsidRPr="00AF0C52" w:rsidRDefault="002E2174" w:rsidP="00AF0C52">
            <w:pPr>
              <w:adjustRightInd w:val="0"/>
              <w:snapToGrid w:val="0"/>
              <w:jc w:val="center"/>
              <w:rPr>
                <w:rFonts w:asciiTheme="minorEastAsia" w:hAnsiTheme="minorEastAsia" w:cs="Times New Roman"/>
                <w:sz w:val="28"/>
                <w:szCs w:val="28"/>
              </w:rPr>
            </w:pPr>
            <w:r w:rsidRPr="00AF0C52">
              <w:rPr>
                <w:rFonts w:asciiTheme="minorEastAsia" w:hAnsiTheme="minorEastAsia" w:cs="Times New Roman" w:hint="eastAsia"/>
                <w:sz w:val="28"/>
                <w:szCs w:val="28"/>
              </w:rPr>
              <w:t>9,900.00</w:t>
            </w:r>
          </w:p>
        </w:tc>
      </w:tr>
      <w:tr w:rsidR="002E2174" w:rsidRPr="002E2174" w:rsidTr="00C13DED">
        <w:trPr>
          <w:trHeight w:val="288"/>
          <w:jc w:val="center"/>
        </w:trPr>
        <w:tc>
          <w:tcPr>
            <w:tcW w:w="1341" w:type="dxa"/>
            <w:vMerge/>
            <w:noWrap/>
            <w:vAlign w:val="center"/>
          </w:tcPr>
          <w:p w:rsidR="002E2174" w:rsidRPr="002E2174" w:rsidRDefault="002E2174" w:rsidP="00401261">
            <w:pPr>
              <w:widowControl/>
              <w:adjustRightInd w:val="0"/>
              <w:snapToGrid w:val="0"/>
              <w:jc w:val="center"/>
              <w:rPr>
                <w:rFonts w:ascii="宋体" w:eastAsia="宋体" w:hAnsi="宋体" w:cs="宋体"/>
                <w:color w:val="000000"/>
                <w:kern w:val="0"/>
                <w:sz w:val="28"/>
              </w:rPr>
            </w:pPr>
          </w:p>
        </w:tc>
        <w:tc>
          <w:tcPr>
            <w:tcW w:w="1056" w:type="dxa"/>
            <w:noWrap/>
            <w:vAlign w:val="center"/>
          </w:tcPr>
          <w:p w:rsidR="002E2174" w:rsidRPr="002E2174" w:rsidRDefault="002E2174" w:rsidP="00374C02">
            <w:pPr>
              <w:adjustRightInd w:val="0"/>
              <w:snapToGrid w:val="0"/>
              <w:jc w:val="center"/>
              <w:rPr>
                <w:rFonts w:asciiTheme="minorEastAsia" w:hAnsiTheme="minorEastAsia" w:cs="Times New Roman"/>
                <w:sz w:val="28"/>
                <w:szCs w:val="28"/>
              </w:rPr>
            </w:pPr>
            <w:r w:rsidRPr="002E2174">
              <w:rPr>
                <w:rFonts w:asciiTheme="minorEastAsia" w:hAnsiTheme="minorEastAsia" w:cs="Times New Roman" w:hint="eastAsia"/>
                <w:sz w:val="28"/>
                <w:szCs w:val="28"/>
              </w:rPr>
              <w:t>正回购</w:t>
            </w:r>
          </w:p>
        </w:tc>
        <w:tc>
          <w:tcPr>
            <w:tcW w:w="830" w:type="dxa"/>
            <w:vAlign w:val="center"/>
          </w:tcPr>
          <w:p w:rsidR="002E2174" w:rsidRPr="00AF0C52" w:rsidRDefault="002E2174" w:rsidP="00AF0C52">
            <w:pPr>
              <w:adjustRightInd w:val="0"/>
              <w:snapToGrid w:val="0"/>
              <w:jc w:val="center"/>
              <w:rPr>
                <w:rFonts w:asciiTheme="minorEastAsia" w:hAnsiTheme="minorEastAsia" w:cs="Times New Roman"/>
                <w:sz w:val="28"/>
                <w:szCs w:val="28"/>
              </w:rPr>
            </w:pPr>
            <w:r w:rsidRPr="00AF0C52">
              <w:rPr>
                <w:rFonts w:asciiTheme="minorEastAsia" w:hAnsiTheme="minorEastAsia" w:cs="Times New Roman" w:hint="eastAsia"/>
                <w:sz w:val="28"/>
                <w:szCs w:val="28"/>
              </w:rPr>
              <w:t>5</w:t>
            </w:r>
          </w:p>
        </w:tc>
        <w:tc>
          <w:tcPr>
            <w:tcW w:w="2089" w:type="dxa"/>
            <w:vAlign w:val="center"/>
          </w:tcPr>
          <w:p w:rsidR="002E2174" w:rsidRPr="00AF0C52" w:rsidRDefault="002E2174" w:rsidP="00AF0C52">
            <w:pPr>
              <w:adjustRightInd w:val="0"/>
              <w:snapToGrid w:val="0"/>
              <w:jc w:val="center"/>
              <w:rPr>
                <w:rFonts w:asciiTheme="minorEastAsia" w:hAnsiTheme="minorEastAsia" w:cs="Times New Roman"/>
                <w:sz w:val="28"/>
                <w:szCs w:val="28"/>
              </w:rPr>
            </w:pPr>
            <w:r w:rsidRPr="00AF0C52">
              <w:rPr>
                <w:rFonts w:asciiTheme="minorEastAsia" w:hAnsiTheme="minorEastAsia" w:cs="Times New Roman" w:hint="eastAsia"/>
                <w:sz w:val="28"/>
                <w:szCs w:val="28"/>
              </w:rPr>
              <w:t>138,970.00</w:t>
            </w:r>
          </w:p>
        </w:tc>
        <w:tc>
          <w:tcPr>
            <w:tcW w:w="1984" w:type="dxa"/>
            <w:vAlign w:val="center"/>
          </w:tcPr>
          <w:p w:rsidR="002E2174" w:rsidRPr="00AF0C52" w:rsidRDefault="002E2174" w:rsidP="00AF0C52">
            <w:pPr>
              <w:adjustRightInd w:val="0"/>
              <w:snapToGrid w:val="0"/>
              <w:jc w:val="center"/>
              <w:rPr>
                <w:rFonts w:asciiTheme="minorEastAsia" w:hAnsiTheme="minorEastAsia" w:cs="Times New Roman"/>
                <w:sz w:val="28"/>
                <w:szCs w:val="28"/>
              </w:rPr>
            </w:pPr>
            <w:r w:rsidRPr="00AF0C52">
              <w:rPr>
                <w:rFonts w:asciiTheme="minorEastAsia" w:hAnsiTheme="minorEastAsia" w:cs="Times New Roman" w:hint="eastAsia"/>
                <w:sz w:val="28"/>
                <w:szCs w:val="28"/>
              </w:rPr>
              <w:t>49,500.00</w:t>
            </w:r>
          </w:p>
        </w:tc>
        <w:tc>
          <w:tcPr>
            <w:tcW w:w="1998" w:type="dxa"/>
            <w:vAlign w:val="center"/>
          </w:tcPr>
          <w:p w:rsidR="002E2174" w:rsidRPr="00AF0C52" w:rsidRDefault="002E2174" w:rsidP="00AF0C52">
            <w:pPr>
              <w:adjustRightInd w:val="0"/>
              <w:snapToGrid w:val="0"/>
              <w:jc w:val="center"/>
              <w:rPr>
                <w:rFonts w:asciiTheme="minorEastAsia" w:hAnsiTheme="minorEastAsia" w:cs="Times New Roman"/>
                <w:sz w:val="28"/>
                <w:szCs w:val="28"/>
              </w:rPr>
            </w:pPr>
            <w:r w:rsidRPr="00AF0C52">
              <w:rPr>
                <w:rFonts w:asciiTheme="minorEastAsia" w:hAnsiTheme="minorEastAsia" w:cs="Times New Roman" w:hint="eastAsia"/>
                <w:sz w:val="28"/>
                <w:szCs w:val="28"/>
              </w:rPr>
              <w:t>10,000.00</w:t>
            </w:r>
          </w:p>
        </w:tc>
      </w:tr>
      <w:tr w:rsidR="00BF5498" w:rsidRPr="002E2174" w:rsidTr="00C13DED">
        <w:trPr>
          <w:trHeight w:val="288"/>
          <w:jc w:val="center"/>
        </w:trPr>
        <w:tc>
          <w:tcPr>
            <w:tcW w:w="1341" w:type="dxa"/>
            <w:noWrap/>
            <w:vAlign w:val="center"/>
          </w:tcPr>
          <w:p w:rsidR="00BF5498" w:rsidRPr="002E2174" w:rsidRDefault="00BF5498" w:rsidP="00401261">
            <w:pPr>
              <w:widowControl/>
              <w:adjustRightInd w:val="0"/>
              <w:snapToGrid w:val="0"/>
              <w:jc w:val="center"/>
              <w:rPr>
                <w:rFonts w:ascii="宋体" w:eastAsia="宋体" w:hAnsi="宋体" w:cs="宋体"/>
                <w:color w:val="000000"/>
                <w:kern w:val="0"/>
                <w:sz w:val="28"/>
              </w:rPr>
            </w:pPr>
            <w:r w:rsidRPr="002E2174">
              <w:rPr>
                <w:rFonts w:ascii="宋体" w:eastAsia="宋体" w:hAnsi="宋体" w:cs="宋体" w:hint="eastAsia"/>
                <w:color w:val="000000"/>
                <w:kern w:val="0"/>
                <w:sz w:val="28"/>
              </w:rPr>
              <w:t>同业拆借</w:t>
            </w:r>
          </w:p>
        </w:tc>
        <w:tc>
          <w:tcPr>
            <w:tcW w:w="1056" w:type="dxa"/>
            <w:noWrap/>
            <w:vAlign w:val="center"/>
          </w:tcPr>
          <w:p w:rsidR="00BF5498" w:rsidRPr="002E2174" w:rsidRDefault="00BF5498" w:rsidP="00374C02">
            <w:pPr>
              <w:adjustRightInd w:val="0"/>
              <w:snapToGrid w:val="0"/>
              <w:jc w:val="center"/>
              <w:rPr>
                <w:rFonts w:asciiTheme="minorEastAsia" w:hAnsiTheme="minorEastAsia" w:cs="Times New Roman"/>
                <w:sz w:val="28"/>
                <w:szCs w:val="28"/>
              </w:rPr>
            </w:pPr>
            <w:r w:rsidRPr="002E2174">
              <w:rPr>
                <w:rFonts w:asciiTheme="minorEastAsia" w:hAnsiTheme="minorEastAsia" w:cs="Times New Roman" w:hint="eastAsia"/>
                <w:sz w:val="28"/>
                <w:szCs w:val="28"/>
              </w:rPr>
              <w:t>拆出</w:t>
            </w:r>
          </w:p>
        </w:tc>
        <w:tc>
          <w:tcPr>
            <w:tcW w:w="830" w:type="dxa"/>
            <w:vAlign w:val="center"/>
          </w:tcPr>
          <w:p w:rsidR="00BF5498" w:rsidRPr="002E2174" w:rsidRDefault="002E2174" w:rsidP="006470D5">
            <w:pPr>
              <w:adjustRightInd w:val="0"/>
              <w:snapToGrid w:val="0"/>
              <w:jc w:val="center"/>
              <w:rPr>
                <w:rFonts w:asciiTheme="minorEastAsia" w:hAnsiTheme="minorEastAsia" w:cs="Times New Roman"/>
                <w:sz w:val="28"/>
                <w:szCs w:val="28"/>
              </w:rPr>
            </w:pPr>
            <w:r w:rsidRPr="002E2174">
              <w:rPr>
                <w:rFonts w:asciiTheme="minorEastAsia" w:hAnsiTheme="minorEastAsia" w:cs="Times New Roman" w:hint="eastAsia"/>
                <w:sz w:val="28"/>
                <w:szCs w:val="28"/>
              </w:rPr>
              <w:t>4</w:t>
            </w:r>
          </w:p>
        </w:tc>
        <w:tc>
          <w:tcPr>
            <w:tcW w:w="2089" w:type="dxa"/>
            <w:vAlign w:val="center"/>
          </w:tcPr>
          <w:p w:rsidR="00BF5498" w:rsidRPr="002E2174" w:rsidRDefault="002E2174" w:rsidP="006470D5">
            <w:pPr>
              <w:adjustRightInd w:val="0"/>
              <w:snapToGrid w:val="0"/>
              <w:jc w:val="center"/>
              <w:rPr>
                <w:rFonts w:asciiTheme="minorEastAsia" w:hAnsiTheme="minorEastAsia" w:cs="Times New Roman"/>
                <w:sz w:val="28"/>
                <w:szCs w:val="28"/>
              </w:rPr>
            </w:pPr>
            <w:r w:rsidRPr="002E2174">
              <w:rPr>
                <w:rFonts w:asciiTheme="minorEastAsia" w:hAnsiTheme="minorEastAsia" w:cs="Times New Roman" w:hint="eastAsia"/>
                <w:sz w:val="28"/>
                <w:szCs w:val="28"/>
              </w:rPr>
              <w:t>90</w:t>
            </w:r>
            <w:r w:rsidR="00BF5498" w:rsidRPr="002E2174">
              <w:rPr>
                <w:rFonts w:asciiTheme="minorEastAsia" w:hAnsiTheme="minorEastAsia" w:cs="Times New Roman" w:hint="eastAsia"/>
                <w:sz w:val="28"/>
                <w:szCs w:val="28"/>
              </w:rPr>
              <w:t>,000.00</w:t>
            </w:r>
          </w:p>
        </w:tc>
        <w:tc>
          <w:tcPr>
            <w:tcW w:w="1984" w:type="dxa"/>
            <w:vAlign w:val="center"/>
          </w:tcPr>
          <w:p w:rsidR="00BF5498" w:rsidRPr="002E2174" w:rsidRDefault="0011006C" w:rsidP="006470D5">
            <w:pPr>
              <w:adjustRightInd w:val="0"/>
              <w:snapToGrid w:val="0"/>
              <w:jc w:val="center"/>
              <w:rPr>
                <w:rFonts w:asciiTheme="minorEastAsia" w:hAnsiTheme="minorEastAsia" w:cs="Times New Roman"/>
                <w:sz w:val="28"/>
                <w:szCs w:val="28"/>
              </w:rPr>
            </w:pPr>
            <w:r w:rsidRPr="002E2174">
              <w:rPr>
                <w:rFonts w:asciiTheme="minorEastAsia" w:hAnsiTheme="minorEastAsia" w:cs="Times New Roman" w:hint="eastAsia"/>
                <w:sz w:val="28"/>
                <w:szCs w:val="28"/>
              </w:rPr>
              <w:t>4</w:t>
            </w:r>
            <w:r w:rsidR="00BF5498" w:rsidRPr="002E2174">
              <w:rPr>
                <w:rFonts w:asciiTheme="minorEastAsia" w:hAnsiTheme="minorEastAsia" w:cs="Times New Roman" w:hint="eastAsia"/>
                <w:sz w:val="28"/>
                <w:szCs w:val="28"/>
              </w:rPr>
              <w:t>0,000.00</w:t>
            </w:r>
          </w:p>
        </w:tc>
        <w:tc>
          <w:tcPr>
            <w:tcW w:w="1998" w:type="dxa"/>
            <w:vAlign w:val="center"/>
          </w:tcPr>
          <w:p w:rsidR="00BF5498" w:rsidRPr="002E2174" w:rsidRDefault="002E2174" w:rsidP="006470D5">
            <w:pPr>
              <w:adjustRightInd w:val="0"/>
              <w:snapToGrid w:val="0"/>
              <w:jc w:val="center"/>
              <w:rPr>
                <w:rFonts w:asciiTheme="minorEastAsia" w:hAnsiTheme="minorEastAsia" w:cs="Times New Roman"/>
                <w:sz w:val="28"/>
                <w:szCs w:val="28"/>
              </w:rPr>
            </w:pPr>
            <w:r w:rsidRPr="002E2174">
              <w:rPr>
                <w:rFonts w:asciiTheme="minorEastAsia" w:hAnsiTheme="minorEastAsia" w:cs="Times New Roman" w:hint="eastAsia"/>
                <w:sz w:val="28"/>
                <w:szCs w:val="28"/>
              </w:rPr>
              <w:t>10</w:t>
            </w:r>
            <w:r w:rsidR="00BF5498" w:rsidRPr="002E2174">
              <w:rPr>
                <w:rFonts w:asciiTheme="minorEastAsia" w:hAnsiTheme="minorEastAsia" w:cs="Times New Roman" w:hint="eastAsia"/>
                <w:sz w:val="28"/>
                <w:szCs w:val="28"/>
              </w:rPr>
              <w:t>,000.00</w:t>
            </w:r>
          </w:p>
        </w:tc>
      </w:tr>
      <w:tr w:rsidR="00AF0C52" w:rsidRPr="000317CB" w:rsidTr="00C13DED">
        <w:trPr>
          <w:trHeight w:val="288"/>
          <w:jc w:val="center"/>
        </w:trPr>
        <w:tc>
          <w:tcPr>
            <w:tcW w:w="2397" w:type="dxa"/>
            <w:gridSpan w:val="2"/>
            <w:vAlign w:val="center"/>
          </w:tcPr>
          <w:p w:rsidR="00AF0C52" w:rsidRPr="000317CB" w:rsidRDefault="00AF0C52" w:rsidP="00401261">
            <w:pPr>
              <w:widowControl/>
              <w:adjustRightInd w:val="0"/>
              <w:snapToGrid w:val="0"/>
              <w:jc w:val="center"/>
              <w:rPr>
                <w:rFonts w:ascii="宋体" w:eastAsia="宋体" w:hAnsi="宋体" w:cs="宋体"/>
                <w:b/>
                <w:color w:val="000000"/>
                <w:kern w:val="0"/>
                <w:sz w:val="28"/>
              </w:rPr>
            </w:pPr>
            <w:r w:rsidRPr="000317CB">
              <w:rPr>
                <w:rFonts w:ascii="宋体" w:eastAsia="宋体" w:hAnsi="宋体" w:cs="宋体" w:hint="eastAsia"/>
                <w:b/>
                <w:color w:val="000000"/>
                <w:kern w:val="0"/>
                <w:sz w:val="28"/>
              </w:rPr>
              <w:t>合计</w:t>
            </w:r>
          </w:p>
        </w:tc>
        <w:tc>
          <w:tcPr>
            <w:tcW w:w="830" w:type="dxa"/>
            <w:vAlign w:val="center"/>
          </w:tcPr>
          <w:p w:rsidR="00AF0C52" w:rsidRPr="000317CB" w:rsidRDefault="00AF0C52" w:rsidP="00AF0C52">
            <w:pPr>
              <w:adjustRightInd w:val="0"/>
              <w:snapToGrid w:val="0"/>
              <w:jc w:val="center"/>
              <w:rPr>
                <w:rFonts w:asciiTheme="minorEastAsia" w:hAnsiTheme="minorEastAsia" w:cs="Times New Roman"/>
                <w:b/>
                <w:sz w:val="28"/>
                <w:szCs w:val="28"/>
              </w:rPr>
            </w:pPr>
            <w:r w:rsidRPr="000317CB">
              <w:rPr>
                <w:rFonts w:asciiTheme="minorEastAsia" w:hAnsiTheme="minorEastAsia" w:cs="Times New Roman" w:hint="eastAsia"/>
                <w:b/>
                <w:sz w:val="28"/>
                <w:szCs w:val="28"/>
              </w:rPr>
              <w:t>31</w:t>
            </w:r>
          </w:p>
        </w:tc>
        <w:tc>
          <w:tcPr>
            <w:tcW w:w="2089" w:type="dxa"/>
            <w:vAlign w:val="center"/>
          </w:tcPr>
          <w:p w:rsidR="00AF0C52" w:rsidRPr="000317CB" w:rsidRDefault="00AF0C52" w:rsidP="00AF0C52">
            <w:pPr>
              <w:adjustRightInd w:val="0"/>
              <w:snapToGrid w:val="0"/>
              <w:jc w:val="center"/>
              <w:rPr>
                <w:rFonts w:asciiTheme="minorEastAsia" w:hAnsiTheme="minorEastAsia" w:cs="Times New Roman"/>
                <w:b/>
                <w:sz w:val="28"/>
                <w:szCs w:val="28"/>
              </w:rPr>
            </w:pPr>
            <w:r w:rsidRPr="000317CB">
              <w:rPr>
                <w:rFonts w:asciiTheme="minorEastAsia" w:hAnsiTheme="minorEastAsia" w:cs="Times New Roman" w:hint="eastAsia"/>
                <w:b/>
                <w:sz w:val="28"/>
                <w:szCs w:val="28"/>
              </w:rPr>
              <w:t>791,181.90</w:t>
            </w:r>
          </w:p>
        </w:tc>
        <w:tc>
          <w:tcPr>
            <w:tcW w:w="1984" w:type="dxa"/>
            <w:vAlign w:val="center"/>
          </w:tcPr>
          <w:p w:rsidR="00AF0C52" w:rsidRPr="000317CB" w:rsidRDefault="00AF0C52" w:rsidP="00C13DED">
            <w:pPr>
              <w:adjustRightInd w:val="0"/>
              <w:snapToGrid w:val="0"/>
              <w:jc w:val="center"/>
              <w:rPr>
                <w:rFonts w:asciiTheme="minorEastAsia" w:hAnsiTheme="minorEastAsia" w:cs="Times New Roman"/>
                <w:b/>
                <w:sz w:val="28"/>
                <w:szCs w:val="28"/>
              </w:rPr>
            </w:pPr>
            <w:r w:rsidRPr="000317CB">
              <w:rPr>
                <w:rFonts w:asciiTheme="minorEastAsia" w:hAnsiTheme="minorEastAsia" w:cs="Times New Roman"/>
                <w:b/>
                <w:sz w:val="28"/>
                <w:szCs w:val="28"/>
              </w:rPr>
              <w:t>49,992.00</w:t>
            </w:r>
          </w:p>
        </w:tc>
        <w:tc>
          <w:tcPr>
            <w:tcW w:w="1998" w:type="dxa"/>
            <w:vAlign w:val="center"/>
          </w:tcPr>
          <w:p w:rsidR="00AF0C52" w:rsidRPr="000317CB" w:rsidRDefault="00AF0C52" w:rsidP="00C13DED">
            <w:pPr>
              <w:adjustRightInd w:val="0"/>
              <w:snapToGrid w:val="0"/>
              <w:jc w:val="center"/>
              <w:rPr>
                <w:rFonts w:asciiTheme="minorEastAsia" w:hAnsiTheme="minorEastAsia" w:cs="Times New Roman"/>
                <w:b/>
                <w:sz w:val="28"/>
                <w:szCs w:val="28"/>
              </w:rPr>
            </w:pPr>
            <w:r w:rsidRPr="000317CB">
              <w:rPr>
                <w:rFonts w:asciiTheme="minorEastAsia" w:hAnsiTheme="minorEastAsia" w:cs="Times New Roman"/>
                <w:b/>
                <w:sz w:val="28"/>
                <w:szCs w:val="28"/>
              </w:rPr>
              <w:t>9,900.00</w:t>
            </w:r>
          </w:p>
        </w:tc>
      </w:tr>
    </w:tbl>
    <w:p w:rsidR="00B13BEC" w:rsidRPr="000317CB" w:rsidRDefault="00B13BEC" w:rsidP="003D7C56">
      <w:pPr>
        <w:adjustRightInd w:val="0"/>
        <w:snapToGrid w:val="0"/>
        <w:ind w:firstLineChars="250" w:firstLine="600"/>
        <w:rPr>
          <w:rFonts w:ascii="仿宋_GB2312" w:eastAsia="仿宋_GB2312" w:hAnsi="Calibri" w:cs="Times New Roman"/>
          <w:sz w:val="24"/>
          <w:szCs w:val="32"/>
        </w:rPr>
      </w:pPr>
      <w:r w:rsidRPr="000317CB">
        <w:rPr>
          <w:rFonts w:ascii="仿宋_GB2312" w:eastAsia="仿宋_GB2312" w:hAnsi="Calibri" w:cs="Times New Roman" w:hint="eastAsia"/>
          <w:sz w:val="24"/>
          <w:szCs w:val="32"/>
        </w:rPr>
        <w:t>数据来源：COMSTAR系统</w:t>
      </w:r>
    </w:p>
    <w:p w:rsidR="004411DA" w:rsidRPr="000317CB" w:rsidRDefault="004411DA" w:rsidP="00F42EAF">
      <w:pPr>
        <w:spacing w:line="600" w:lineRule="exact"/>
        <w:ind w:firstLineChars="200" w:firstLine="643"/>
        <w:rPr>
          <w:rFonts w:ascii="仿宋_GB2312" w:eastAsia="仿宋_GB2312" w:hAnsi="Calibri" w:cs="Times New Roman"/>
          <w:b/>
          <w:sz w:val="32"/>
          <w:szCs w:val="32"/>
        </w:rPr>
      </w:pPr>
      <w:r w:rsidRPr="000317CB">
        <w:rPr>
          <w:rFonts w:ascii="仿宋_GB2312" w:eastAsia="仿宋_GB2312" w:hAnsi="Calibri" w:cs="Times New Roman" w:hint="eastAsia"/>
          <w:b/>
          <w:sz w:val="32"/>
          <w:szCs w:val="32"/>
        </w:rPr>
        <w:t>2.按</w:t>
      </w:r>
      <w:proofErr w:type="gramStart"/>
      <w:r w:rsidRPr="000317CB">
        <w:rPr>
          <w:rFonts w:ascii="仿宋_GB2312" w:eastAsia="仿宋_GB2312" w:hAnsi="Calibri" w:cs="Times New Roman" w:hint="eastAsia"/>
          <w:b/>
          <w:sz w:val="32"/>
          <w:szCs w:val="32"/>
        </w:rPr>
        <w:t>投组划分</w:t>
      </w:r>
      <w:proofErr w:type="gramEnd"/>
    </w:p>
    <w:p w:rsidR="00B13BEC" w:rsidRPr="000317CB" w:rsidRDefault="009A42D9" w:rsidP="00031324">
      <w:pPr>
        <w:wordWrap w:val="0"/>
        <w:adjustRightInd w:val="0"/>
        <w:snapToGrid w:val="0"/>
        <w:ind w:firstLineChars="200" w:firstLine="480"/>
        <w:jc w:val="right"/>
        <w:rPr>
          <w:rFonts w:ascii="仿宋_GB2312" w:eastAsia="仿宋_GB2312" w:hAnsi="Calibri" w:cs="Times New Roman"/>
          <w:b/>
          <w:sz w:val="32"/>
          <w:szCs w:val="32"/>
        </w:rPr>
      </w:pPr>
      <w:r w:rsidRPr="000317CB">
        <w:rPr>
          <w:rFonts w:ascii="仿宋_GB2312" w:eastAsia="仿宋_GB2312" w:hAnsi="Calibri" w:cs="Times New Roman" w:hint="eastAsia"/>
          <w:sz w:val="24"/>
          <w:szCs w:val="32"/>
        </w:rPr>
        <w:t>单位：万</w:t>
      </w:r>
      <w:r w:rsidR="00B13BEC" w:rsidRPr="000317CB">
        <w:rPr>
          <w:rFonts w:ascii="仿宋_GB2312" w:eastAsia="仿宋_GB2312" w:hAnsi="Calibri" w:cs="Times New Roman" w:hint="eastAsia"/>
          <w:sz w:val="24"/>
          <w:szCs w:val="32"/>
        </w:rPr>
        <w:t>元</w:t>
      </w:r>
    </w:p>
    <w:tbl>
      <w:tblPr>
        <w:tblStyle w:val="a3"/>
        <w:tblW w:w="11623" w:type="dxa"/>
        <w:jc w:val="center"/>
        <w:tblInd w:w="-837" w:type="dxa"/>
        <w:tblLayout w:type="fixed"/>
        <w:tblLook w:val="04A0" w:firstRow="1" w:lastRow="0" w:firstColumn="1" w:lastColumn="0" w:noHBand="0" w:noVBand="1"/>
      </w:tblPr>
      <w:tblGrid>
        <w:gridCol w:w="3067"/>
        <w:gridCol w:w="1374"/>
        <w:gridCol w:w="992"/>
        <w:gridCol w:w="2221"/>
        <w:gridCol w:w="1984"/>
        <w:gridCol w:w="1985"/>
      </w:tblGrid>
      <w:tr w:rsidR="002B1799" w:rsidRPr="000317CB" w:rsidTr="00B714F8">
        <w:trPr>
          <w:trHeight w:val="288"/>
          <w:jc w:val="center"/>
        </w:trPr>
        <w:tc>
          <w:tcPr>
            <w:tcW w:w="3067" w:type="dxa"/>
            <w:noWrap/>
            <w:hideMark/>
          </w:tcPr>
          <w:p w:rsidR="002B1799" w:rsidRPr="000317CB" w:rsidRDefault="002B1799" w:rsidP="00401261">
            <w:pPr>
              <w:widowControl/>
              <w:adjustRightInd w:val="0"/>
              <w:snapToGrid w:val="0"/>
              <w:jc w:val="center"/>
              <w:rPr>
                <w:rFonts w:ascii="宋体" w:eastAsia="宋体" w:hAnsi="宋体" w:cs="宋体"/>
                <w:b/>
                <w:color w:val="000000"/>
                <w:kern w:val="0"/>
                <w:sz w:val="28"/>
              </w:rPr>
            </w:pPr>
            <w:proofErr w:type="gramStart"/>
            <w:r w:rsidRPr="000317CB">
              <w:rPr>
                <w:rFonts w:ascii="宋体" w:eastAsia="宋体" w:hAnsi="宋体" w:cs="宋体" w:hint="eastAsia"/>
                <w:b/>
                <w:color w:val="000000"/>
                <w:kern w:val="0"/>
                <w:sz w:val="28"/>
              </w:rPr>
              <w:t>投组</w:t>
            </w:r>
            <w:proofErr w:type="gramEnd"/>
          </w:p>
        </w:tc>
        <w:tc>
          <w:tcPr>
            <w:tcW w:w="1374" w:type="dxa"/>
            <w:noWrap/>
            <w:hideMark/>
          </w:tcPr>
          <w:p w:rsidR="002B1799" w:rsidRPr="000317CB" w:rsidRDefault="002B1799" w:rsidP="00401261">
            <w:pPr>
              <w:widowControl/>
              <w:adjustRightInd w:val="0"/>
              <w:snapToGrid w:val="0"/>
              <w:jc w:val="center"/>
              <w:rPr>
                <w:rFonts w:ascii="宋体" w:eastAsia="宋体" w:hAnsi="宋体" w:cs="宋体"/>
                <w:b/>
                <w:color w:val="000000"/>
                <w:kern w:val="0"/>
                <w:sz w:val="28"/>
              </w:rPr>
            </w:pPr>
            <w:r w:rsidRPr="000317CB">
              <w:rPr>
                <w:rFonts w:ascii="宋体" w:eastAsia="宋体" w:hAnsi="宋体" w:cs="宋体" w:hint="eastAsia"/>
                <w:b/>
                <w:color w:val="000000"/>
                <w:kern w:val="0"/>
                <w:sz w:val="28"/>
              </w:rPr>
              <w:t>方向</w:t>
            </w:r>
          </w:p>
        </w:tc>
        <w:tc>
          <w:tcPr>
            <w:tcW w:w="992" w:type="dxa"/>
            <w:noWrap/>
            <w:hideMark/>
          </w:tcPr>
          <w:p w:rsidR="002B1799" w:rsidRPr="000317CB" w:rsidRDefault="002B1799" w:rsidP="00401261">
            <w:pPr>
              <w:widowControl/>
              <w:adjustRightInd w:val="0"/>
              <w:snapToGrid w:val="0"/>
              <w:jc w:val="center"/>
              <w:rPr>
                <w:rFonts w:ascii="宋体" w:eastAsia="宋体" w:hAnsi="宋体" w:cs="宋体"/>
                <w:b/>
                <w:color w:val="000000"/>
                <w:kern w:val="0"/>
                <w:sz w:val="28"/>
              </w:rPr>
            </w:pPr>
            <w:r w:rsidRPr="000317CB">
              <w:rPr>
                <w:rFonts w:ascii="宋体" w:eastAsia="宋体" w:hAnsi="宋体" w:cs="宋体" w:hint="eastAsia"/>
                <w:b/>
                <w:color w:val="000000"/>
                <w:kern w:val="0"/>
                <w:sz w:val="28"/>
              </w:rPr>
              <w:t>笔数</w:t>
            </w:r>
          </w:p>
        </w:tc>
        <w:tc>
          <w:tcPr>
            <w:tcW w:w="2221" w:type="dxa"/>
          </w:tcPr>
          <w:p w:rsidR="002B1799" w:rsidRPr="000317CB" w:rsidRDefault="004F0530" w:rsidP="00401261">
            <w:pPr>
              <w:widowControl/>
              <w:adjustRightInd w:val="0"/>
              <w:snapToGrid w:val="0"/>
              <w:jc w:val="center"/>
              <w:rPr>
                <w:rFonts w:ascii="宋体" w:eastAsia="宋体" w:hAnsi="宋体" w:cs="宋体"/>
                <w:b/>
                <w:color w:val="000000"/>
                <w:kern w:val="0"/>
                <w:sz w:val="28"/>
              </w:rPr>
            </w:pPr>
            <w:r w:rsidRPr="000317CB">
              <w:rPr>
                <w:rFonts w:ascii="宋体" w:eastAsia="宋体" w:hAnsi="宋体" w:cs="宋体" w:hint="eastAsia"/>
                <w:b/>
                <w:color w:val="000000"/>
                <w:kern w:val="0"/>
                <w:sz w:val="28"/>
              </w:rPr>
              <w:t>金额</w:t>
            </w:r>
          </w:p>
        </w:tc>
        <w:tc>
          <w:tcPr>
            <w:tcW w:w="1984" w:type="dxa"/>
            <w:noWrap/>
            <w:hideMark/>
          </w:tcPr>
          <w:p w:rsidR="002B1799" w:rsidRPr="000317CB" w:rsidRDefault="002B1799" w:rsidP="00401261">
            <w:pPr>
              <w:widowControl/>
              <w:adjustRightInd w:val="0"/>
              <w:snapToGrid w:val="0"/>
              <w:jc w:val="center"/>
              <w:rPr>
                <w:rFonts w:ascii="宋体" w:eastAsia="宋体" w:hAnsi="宋体" w:cs="宋体"/>
                <w:b/>
                <w:color w:val="000000"/>
                <w:kern w:val="0"/>
                <w:sz w:val="28"/>
              </w:rPr>
            </w:pPr>
            <w:r w:rsidRPr="000317CB">
              <w:rPr>
                <w:rFonts w:ascii="宋体" w:eastAsia="宋体" w:hAnsi="宋体" w:cs="宋体" w:hint="eastAsia"/>
                <w:b/>
                <w:color w:val="000000"/>
                <w:kern w:val="0"/>
                <w:sz w:val="28"/>
              </w:rPr>
              <w:t>最大单笔金额</w:t>
            </w:r>
          </w:p>
        </w:tc>
        <w:tc>
          <w:tcPr>
            <w:tcW w:w="1985" w:type="dxa"/>
            <w:noWrap/>
            <w:hideMark/>
          </w:tcPr>
          <w:p w:rsidR="002B1799" w:rsidRPr="000317CB" w:rsidRDefault="002B1799" w:rsidP="00401261">
            <w:pPr>
              <w:widowControl/>
              <w:adjustRightInd w:val="0"/>
              <w:snapToGrid w:val="0"/>
              <w:jc w:val="center"/>
              <w:rPr>
                <w:rFonts w:ascii="宋体" w:eastAsia="宋体" w:hAnsi="宋体" w:cs="宋体"/>
                <w:b/>
                <w:color w:val="000000"/>
                <w:kern w:val="0"/>
                <w:sz w:val="28"/>
              </w:rPr>
            </w:pPr>
            <w:r w:rsidRPr="000317CB">
              <w:rPr>
                <w:rFonts w:ascii="宋体" w:eastAsia="宋体" w:hAnsi="宋体" w:cs="宋体" w:hint="eastAsia"/>
                <w:b/>
                <w:color w:val="000000"/>
                <w:kern w:val="0"/>
                <w:sz w:val="28"/>
              </w:rPr>
              <w:t>最小单笔金额</w:t>
            </w:r>
          </w:p>
        </w:tc>
      </w:tr>
      <w:tr w:rsidR="000317CB" w:rsidRPr="000317CB" w:rsidTr="00B714F8">
        <w:trPr>
          <w:trHeight w:val="288"/>
          <w:jc w:val="center"/>
        </w:trPr>
        <w:tc>
          <w:tcPr>
            <w:tcW w:w="3067" w:type="dxa"/>
            <w:noWrap/>
            <w:vAlign w:val="center"/>
          </w:tcPr>
          <w:p w:rsidR="000317CB" w:rsidRPr="000317CB" w:rsidRDefault="000317CB" w:rsidP="000317CB">
            <w:pPr>
              <w:adjustRightInd w:val="0"/>
              <w:snapToGrid w:val="0"/>
              <w:jc w:val="center"/>
              <w:rPr>
                <w:rFonts w:asciiTheme="minorEastAsia" w:hAnsiTheme="minorEastAsia" w:cs="Times New Roman"/>
                <w:sz w:val="28"/>
                <w:szCs w:val="28"/>
              </w:rPr>
            </w:pPr>
            <w:r w:rsidRPr="000317CB">
              <w:rPr>
                <w:rFonts w:asciiTheme="minorEastAsia" w:hAnsiTheme="minorEastAsia" w:cs="Times New Roman" w:hint="eastAsia"/>
                <w:sz w:val="28"/>
                <w:szCs w:val="28"/>
              </w:rPr>
              <w:t>自营-资金-质押式回购</w:t>
            </w:r>
          </w:p>
        </w:tc>
        <w:tc>
          <w:tcPr>
            <w:tcW w:w="1374" w:type="dxa"/>
            <w:noWrap/>
            <w:vAlign w:val="center"/>
          </w:tcPr>
          <w:p w:rsidR="000317CB" w:rsidRPr="000317CB" w:rsidRDefault="000317CB" w:rsidP="000317CB">
            <w:pPr>
              <w:adjustRightInd w:val="0"/>
              <w:snapToGrid w:val="0"/>
              <w:jc w:val="center"/>
              <w:rPr>
                <w:rFonts w:asciiTheme="minorEastAsia" w:hAnsiTheme="minorEastAsia" w:cs="Times New Roman"/>
                <w:sz w:val="28"/>
                <w:szCs w:val="28"/>
              </w:rPr>
            </w:pPr>
            <w:r w:rsidRPr="000317CB">
              <w:rPr>
                <w:rFonts w:asciiTheme="minorEastAsia" w:hAnsiTheme="minorEastAsia" w:cs="Times New Roman" w:hint="eastAsia"/>
                <w:sz w:val="28"/>
                <w:szCs w:val="28"/>
              </w:rPr>
              <w:t>质押式逆回购</w:t>
            </w:r>
          </w:p>
        </w:tc>
        <w:tc>
          <w:tcPr>
            <w:tcW w:w="992" w:type="dxa"/>
            <w:noWrap/>
            <w:vAlign w:val="center"/>
          </w:tcPr>
          <w:p w:rsidR="000317CB" w:rsidRPr="000317CB" w:rsidRDefault="000317CB" w:rsidP="000317CB">
            <w:pPr>
              <w:adjustRightInd w:val="0"/>
              <w:snapToGrid w:val="0"/>
              <w:jc w:val="center"/>
              <w:rPr>
                <w:rFonts w:asciiTheme="minorEastAsia" w:hAnsiTheme="minorEastAsia" w:cs="Times New Roman"/>
                <w:sz w:val="28"/>
                <w:szCs w:val="28"/>
              </w:rPr>
            </w:pPr>
            <w:r w:rsidRPr="000317CB">
              <w:rPr>
                <w:rFonts w:asciiTheme="minorEastAsia" w:hAnsiTheme="minorEastAsia" w:cs="Times New Roman" w:hint="eastAsia"/>
                <w:sz w:val="28"/>
                <w:szCs w:val="28"/>
              </w:rPr>
              <w:t>22</w:t>
            </w:r>
          </w:p>
        </w:tc>
        <w:tc>
          <w:tcPr>
            <w:tcW w:w="2221" w:type="dxa"/>
            <w:vAlign w:val="center"/>
          </w:tcPr>
          <w:p w:rsidR="000317CB" w:rsidRPr="000317CB" w:rsidRDefault="000317CB" w:rsidP="000317CB">
            <w:pPr>
              <w:adjustRightInd w:val="0"/>
              <w:snapToGrid w:val="0"/>
              <w:jc w:val="center"/>
              <w:rPr>
                <w:rFonts w:asciiTheme="minorEastAsia" w:hAnsiTheme="minorEastAsia" w:cs="Times New Roman"/>
                <w:sz w:val="28"/>
                <w:szCs w:val="28"/>
              </w:rPr>
            </w:pPr>
            <w:r w:rsidRPr="000317CB">
              <w:rPr>
                <w:rFonts w:asciiTheme="minorEastAsia" w:hAnsiTheme="minorEastAsia" w:cs="Times New Roman" w:hint="eastAsia"/>
                <w:sz w:val="28"/>
                <w:szCs w:val="28"/>
              </w:rPr>
              <w:t>562,211.90</w:t>
            </w:r>
          </w:p>
        </w:tc>
        <w:tc>
          <w:tcPr>
            <w:tcW w:w="1984" w:type="dxa"/>
            <w:noWrap/>
            <w:vAlign w:val="center"/>
          </w:tcPr>
          <w:p w:rsidR="000317CB" w:rsidRPr="000317CB" w:rsidRDefault="000317CB" w:rsidP="000317CB">
            <w:pPr>
              <w:adjustRightInd w:val="0"/>
              <w:snapToGrid w:val="0"/>
              <w:jc w:val="center"/>
              <w:rPr>
                <w:rFonts w:asciiTheme="minorEastAsia" w:hAnsiTheme="minorEastAsia" w:cs="Times New Roman"/>
                <w:sz w:val="28"/>
                <w:szCs w:val="28"/>
              </w:rPr>
            </w:pPr>
            <w:r w:rsidRPr="000317CB">
              <w:rPr>
                <w:rFonts w:asciiTheme="minorEastAsia" w:hAnsiTheme="minorEastAsia" w:cs="Times New Roman" w:hint="eastAsia"/>
                <w:sz w:val="28"/>
                <w:szCs w:val="28"/>
              </w:rPr>
              <w:t>49,992.00</w:t>
            </w:r>
          </w:p>
        </w:tc>
        <w:tc>
          <w:tcPr>
            <w:tcW w:w="1985" w:type="dxa"/>
            <w:noWrap/>
            <w:vAlign w:val="center"/>
          </w:tcPr>
          <w:p w:rsidR="000317CB" w:rsidRPr="000317CB" w:rsidRDefault="000317CB" w:rsidP="000317CB">
            <w:pPr>
              <w:adjustRightInd w:val="0"/>
              <w:snapToGrid w:val="0"/>
              <w:jc w:val="center"/>
              <w:rPr>
                <w:rFonts w:asciiTheme="minorEastAsia" w:hAnsiTheme="minorEastAsia" w:cs="Times New Roman"/>
                <w:sz w:val="28"/>
                <w:szCs w:val="28"/>
              </w:rPr>
            </w:pPr>
            <w:r w:rsidRPr="000317CB">
              <w:rPr>
                <w:rFonts w:asciiTheme="minorEastAsia" w:hAnsiTheme="minorEastAsia" w:cs="Times New Roman" w:hint="eastAsia"/>
                <w:sz w:val="28"/>
                <w:szCs w:val="28"/>
              </w:rPr>
              <w:t>9,900.00</w:t>
            </w:r>
          </w:p>
        </w:tc>
      </w:tr>
      <w:tr w:rsidR="000317CB" w:rsidRPr="000317CB" w:rsidTr="00B714F8">
        <w:trPr>
          <w:trHeight w:val="288"/>
          <w:jc w:val="center"/>
        </w:trPr>
        <w:tc>
          <w:tcPr>
            <w:tcW w:w="3067" w:type="dxa"/>
            <w:noWrap/>
            <w:vAlign w:val="center"/>
          </w:tcPr>
          <w:p w:rsidR="000317CB" w:rsidRPr="000317CB" w:rsidRDefault="000317CB" w:rsidP="000317CB">
            <w:pPr>
              <w:adjustRightInd w:val="0"/>
              <w:snapToGrid w:val="0"/>
              <w:jc w:val="center"/>
              <w:rPr>
                <w:rFonts w:asciiTheme="minorEastAsia" w:hAnsiTheme="minorEastAsia" w:cs="Times New Roman"/>
                <w:sz w:val="28"/>
                <w:szCs w:val="28"/>
              </w:rPr>
            </w:pPr>
            <w:r w:rsidRPr="000317CB">
              <w:rPr>
                <w:rFonts w:asciiTheme="minorEastAsia" w:hAnsiTheme="minorEastAsia" w:cs="Times New Roman" w:hint="eastAsia"/>
                <w:sz w:val="28"/>
                <w:szCs w:val="28"/>
              </w:rPr>
              <w:t>自营-资金-质押式回购</w:t>
            </w:r>
          </w:p>
        </w:tc>
        <w:tc>
          <w:tcPr>
            <w:tcW w:w="1374" w:type="dxa"/>
            <w:noWrap/>
            <w:vAlign w:val="center"/>
          </w:tcPr>
          <w:p w:rsidR="000317CB" w:rsidRPr="000317CB" w:rsidRDefault="000317CB" w:rsidP="000317CB">
            <w:pPr>
              <w:adjustRightInd w:val="0"/>
              <w:snapToGrid w:val="0"/>
              <w:jc w:val="center"/>
              <w:rPr>
                <w:rFonts w:asciiTheme="minorEastAsia" w:hAnsiTheme="minorEastAsia" w:cs="Times New Roman"/>
                <w:sz w:val="28"/>
                <w:szCs w:val="28"/>
              </w:rPr>
            </w:pPr>
            <w:proofErr w:type="gramStart"/>
            <w:r w:rsidRPr="000317CB">
              <w:rPr>
                <w:rFonts w:asciiTheme="minorEastAsia" w:hAnsiTheme="minorEastAsia" w:cs="Times New Roman" w:hint="eastAsia"/>
                <w:sz w:val="28"/>
                <w:szCs w:val="28"/>
              </w:rPr>
              <w:t>质押式正回购</w:t>
            </w:r>
            <w:proofErr w:type="gramEnd"/>
          </w:p>
        </w:tc>
        <w:tc>
          <w:tcPr>
            <w:tcW w:w="992" w:type="dxa"/>
            <w:noWrap/>
            <w:vAlign w:val="center"/>
          </w:tcPr>
          <w:p w:rsidR="000317CB" w:rsidRPr="000317CB" w:rsidRDefault="000317CB" w:rsidP="000317CB">
            <w:pPr>
              <w:adjustRightInd w:val="0"/>
              <w:snapToGrid w:val="0"/>
              <w:jc w:val="center"/>
              <w:rPr>
                <w:rFonts w:asciiTheme="minorEastAsia" w:hAnsiTheme="minorEastAsia" w:cs="Times New Roman"/>
                <w:sz w:val="28"/>
                <w:szCs w:val="28"/>
              </w:rPr>
            </w:pPr>
            <w:r w:rsidRPr="000317CB">
              <w:rPr>
                <w:rFonts w:asciiTheme="minorEastAsia" w:hAnsiTheme="minorEastAsia" w:cs="Times New Roman" w:hint="eastAsia"/>
                <w:sz w:val="28"/>
                <w:szCs w:val="28"/>
              </w:rPr>
              <w:t>5</w:t>
            </w:r>
          </w:p>
        </w:tc>
        <w:tc>
          <w:tcPr>
            <w:tcW w:w="2221" w:type="dxa"/>
            <w:vAlign w:val="center"/>
          </w:tcPr>
          <w:p w:rsidR="000317CB" w:rsidRPr="000317CB" w:rsidRDefault="000317CB" w:rsidP="000317CB">
            <w:pPr>
              <w:adjustRightInd w:val="0"/>
              <w:snapToGrid w:val="0"/>
              <w:jc w:val="center"/>
              <w:rPr>
                <w:rFonts w:asciiTheme="minorEastAsia" w:hAnsiTheme="minorEastAsia" w:cs="Times New Roman"/>
                <w:sz w:val="28"/>
                <w:szCs w:val="28"/>
              </w:rPr>
            </w:pPr>
            <w:r w:rsidRPr="000317CB">
              <w:rPr>
                <w:rFonts w:asciiTheme="minorEastAsia" w:hAnsiTheme="minorEastAsia" w:cs="Times New Roman" w:hint="eastAsia"/>
                <w:sz w:val="28"/>
                <w:szCs w:val="28"/>
              </w:rPr>
              <w:t>138,970.00</w:t>
            </w:r>
          </w:p>
        </w:tc>
        <w:tc>
          <w:tcPr>
            <w:tcW w:w="1984" w:type="dxa"/>
            <w:noWrap/>
            <w:vAlign w:val="center"/>
          </w:tcPr>
          <w:p w:rsidR="000317CB" w:rsidRPr="000317CB" w:rsidRDefault="000317CB" w:rsidP="000317CB">
            <w:pPr>
              <w:adjustRightInd w:val="0"/>
              <w:snapToGrid w:val="0"/>
              <w:jc w:val="center"/>
              <w:rPr>
                <w:rFonts w:asciiTheme="minorEastAsia" w:hAnsiTheme="minorEastAsia" w:cs="Times New Roman"/>
                <w:sz w:val="28"/>
                <w:szCs w:val="28"/>
              </w:rPr>
            </w:pPr>
            <w:r w:rsidRPr="000317CB">
              <w:rPr>
                <w:rFonts w:asciiTheme="minorEastAsia" w:hAnsiTheme="minorEastAsia" w:cs="Times New Roman" w:hint="eastAsia"/>
                <w:sz w:val="28"/>
                <w:szCs w:val="28"/>
              </w:rPr>
              <w:t>49,500.00</w:t>
            </w:r>
          </w:p>
        </w:tc>
        <w:tc>
          <w:tcPr>
            <w:tcW w:w="1985" w:type="dxa"/>
            <w:noWrap/>
            <w:vAlign w:val="center"/>
          </w:tcPr>
          <w:p w:rsidR="000317CB" w:rsidRPr="000317CB" w:rsidRDefault="000317CB" w:rsidP="000317CB">
            <w:pPr>
              <w:adjustRightInd w:val="0"/>
              <w:snapToGrid w:val="0"/>
              <w:jc w:val="center"/>
              <w:rPr>
                <w:rFonts w:asciiTheme="minorEastAsia" w:hAnsiTheme="minorEastAsia" w:cs="Times New Roman"/>
                <w:sz w:val="28"/>
                <w:szCs w:val="28"/>
              </w:rPr>
            </w:pPr>
            <w:r w:rsidRPr="000317CB">
              <w:rPr>
                <w:rFonts w:asciiTheme="minorEastAsia" w:hAnsiTheme="minorEastAsia" w:cs="Times New Roman" w:hint="eastAsia"/>
                <w:sz w:val="28"/>
                <w:szCs w:val="28"/>
              </w:rPr>
              <w:t>10,000.00</w:t>
            </w:r>
          </w:p>
        </w:tc>
      </w:tr>
      <w:tr w:rsidR="000317CB" w:rsidRPr="000317CB" w:rsidTr="00B714F8">
        <w:trPr>
          <w:trHeight w:val="288"/>
          <w:jc w:val="center"/>
        </w:trPr>
        <w:tc>
          <w:tcPr>
            <w:tcW w:w="3067" w:type="dxa"/>
            <w:noWrap/>
            <w:vAlign w:val="center"/>
          </w:tcPr>
          <w:p w:rsidR="000317CB" w:rsidRPr="000317CB" w:rsidRDefault="000317CB" w:rsidP="00BC6EA4">
            <w:pPr>
              <w:adjustRightInd w:val="0"/>
              <w:snapToGrid w:val="0"/>
              <w:jc w:val="center"/>
              <w:rPr>
                <w:rFonts w:asciiTheme="minorEastAsia" w:hAnsiTheme="minorEastAsia" w:cs="Times New Roman"/>
                <w:sz w:val="28"/>
                <w:szCs w:val="28"/>
              </w:rPr>
            </w:pPr>
            <w:r w:rsidRPr="000317CB">
              <w:rPr>
                <w:rFonts w:asciiTheme="minorEastAsia" w:hAnsiTheme="minorEastAsia" w:cs="Times New Roman" w:hint="eastAsia"/>
                <w:sz w:val="28"/>
                <w:szCs w:val="28"/>
              </w:rPr>
              <w:t>自营-资金-拆借</w:t>
            </w:r>
          </w:p>
        </w:tc>
        <w:tc>
          <w:tcPr>
            <w:tcW w:w="1374" w:type="dxa"/>
            <w:noWrap/>
            <w:vAlign w:val="center"/>
          </w:tcPr>
          <w:p w:rsidR="000317CB" w:rsidRPr="000317CB" w:rsidRDefault="000317CB" w:rsidP="00BC6EA4">
            <w:pPr>
              <w:adjustRightInd w:val="0"/>
              <w:snapToGrid w:val="0"/>
              <w:jc w:val="center"/>
              <w:rPr>
                <w:rFonts w:asciiTheme="minorEastAsia" w:hAnsiTheme="minorEastAsia" w:cs="Times New Roman"/>
                <w:sz w:val="28"/>
                <w:szCs w:val="28"/>
              </w:rPr>
            </w:pPr>
            <w:r w:rsidRPr="000317CB">
              <w:rPr>
                <w:rFonts w:asciiTheme="minorEastAsia" w:hAnsiTheme="minorEastAsia" w:cs="Times New Roman" w:hint="eastAsia"/>
                <w:sz w:val="28"/>
                <w:szCs w:val="28"/>
              </w:rPr>
              <w:t>拆借拆出</w:t>
            </w:r>
          </w:p>
        </w:tc>
        <w:tc>
          <w:tcPr>
            <w:tcW w:w="992" w:type="dxa"/>
            <w:noWrap/>
            <w:vAlign w:val="center"/>
          </w:tcPr>
          <w:p w:rsidR="000317CB" w:rsidRPr="000317CB" w:rsidRDefault="000317CB" w:rsidP="000F3526">
            <w:pPr>
              <w:adjustRightInd w:val="0"/>
              <w:snapToGrid w:val="0"/>
              <w:jc w:val="center"/>
              <w:rPr>
                <w:rFonts w:asciiTheme="minorEastAsia" w:hAnsiTheme="minorEastAsia" w:cs="Times New Roman"/>
                <w:sz w:val="28"/>
                <w:szCs w:val="28"/>
              </w:rPr>
            </w:pPr>
            <w:r w:rsidRPr="000317CB">
              <w:rPr>
                <w:rFonts w:asciiTheme="minorEastAsia" w:hAnsiTheme="minorEastAsia" w:cs="Times New Roman" w:hint="eastAsia"/>
                <w:sz w:val="28"/>
                <w:szCs w:val="28"/>
              </w:rPr>
              <w:t>4</w:t>
            </w:r>
          </w:p>
        </w:tc>
        <w:tc>
          <w:tcPr>
            <w:tcW w:w="2221" w:type="dxa"/>
            <w:vAlign w:val="center"/>
          </w:tcPr>
          <w:p w:rsidR="000317CB" w:rsidRPr="000317CB" w:rsidRDefault="000317CB" w:rsidP="000F3526">
            <w:pPr>
              <w:adjustRightInd w:val="0"/>
              <w:snapToGrid w:val="0"/>
              <w:jc w:val="center"/>
              <w:rPr>
                <w:rFonts w:asciiTheme="minorEastAsia" w:hAnsiTheme="minorEastAsia" w:cs="Times New Roman"/>
                <w:sz w:val="28"/>
                <w:szCs w:val="28"/>
              </w:rPr>
            </w:pPr>
            <w:r w:rsidRPr="000317CB">
              <w:rPr>
                <w:rFonts w:asciiTheme="minorEastAsia" w:hAnsiTheme="minorEastAsia" w:cs="Times New Roman" w:hint="eastAsia"/>
                <w:sz w:val="28"/>
                <w:szCs w:val="28"/>
              </w:rPr>
              <w:t>90,000.00</w:t>
            </w:r>
          </w:p>
        </w:tc>
        <w:tc>
          <w:tcPr>
            <w:tcW w:w="1984" w:type="dxa"/>
            <w:noWrap/>
            <w:vAlign w:val="center"/>
          </w:tcPr>
          <w:p w:rsidR="000317CB" w:rsidRPr="000317CB" w:rsidRDefault="000317CB" w:rsidP="000F3526">
            <w:pPr>
              <w:adjustRightInd w:val="0"/>
              <w:snapToGrid w:val="0"/>
              <w:jc w:val="center"/>
              <w:rPr>
                <w:rFonts w:asciiTheme="minorEastAsia" w:hAnsiTheme="minorEastAsia" w:cs="Times New Roman"/>
                <w:sz w:val="28"/>
                <w:szCs w:val="28"/>
              </w:rPr>
            </w:pPr>
            <w:r w:rsidRPr="000317CB">
              <w:rPr>
                <w:rFonts w:asciiTheme="minorEastAsia" w:hAnsiTheme="minorEastAsia" w:cs="Times New Roman" w:hint="eastAsia"/>
                <w:sz w:val="28"/>
                <w:szCs w:val="28"/>
              </w:rPr>
              <w:t>40,000.00</w:t>
            </w:r>
          </w:p>
        </w:tc>
        <w:tc>
          <w:tcPr>
            <w:tcW w:w="1985" w:type="dxa"/>
            <w:noWrap/>
            <w:vAlign w:val="center"/>
          </w:tcPr>
          <w:p w:rsidR="000317CB" w:rsidRPr="000317CB" w:rsidRDefault="000317CB" w:rsidP="000F3526">
            <w:pPr>
              <w:adjustRightInd w:val="0"/>
              <w:snapToGrid w:val="0"/>
              <w:jc w:val="center"/>
              <w:rPr>
                <w:rFonts w:asciiTheme="minorEastAsia" w:hAnsiTheme="minorEastAsia" w:cs="Times New Roman"/>
                <w:sz w:val="28"/>
                <w:szCs w:val="28"/>
              </w:rPr>
            </w:pPr>
            <w:r w:rsidRPr="000317CB">
              <w:rPr>
                <w:rFonts w:asciiTheme="minorEastAsia" w:hAnsiTheme="minorEastAsia" w:cs="Times New Roman" w:hint="eastAsia"/>
                <w:sz w:val="28"/>
                <w:szCs w:val="28"/>
              </w:rPr>
              <w:t>10,000.00</w:t>
            </w:r>
          </w:p>
        </w:tc>
      </w:tr>
      <w:tr w:rsidR="000317CB" w:rsidRPr="000317CB" w:rsidTr="00B714F8">
        <w:trPr>
          <w:trHeight w:val="288"/>
          <w:jc w:val="center"/>
        </w:trPr>
        <w:tc>
          <w:tcPr>
            <w:tcW w:w="4441" w:type="dxa"/>
            <w:gridSpan w:val="2"/>
            <w:noWrap/>
            <w:vAlign w:val="center"/>
          </w:tcPr>
          <w:p w:rsidR="000317CB" w:rsidRPr="000317CB" w:rsidRDefault="000317CB" w:rsidP="00524658">
            <w:pPr>
              <w:widowControl/>
              <w:adjustRightInd w:val="0"/>
              <w:snapToGrid w:val="0"/>
              <w:jc w:val="center"/>
              <w:rPr>
                <w:rFonts w:asciiTheme="minorEastAsia" w:hAnsiTheme="minorEastAsia" w:cs="宋体"/>
                <w:b/>
                <w:color w:val="000000"/>
                <w:kern w:val="0"/>
                <w:sz w:val="28"/>
                <w:szCs w:val="28"/>
              </w:rPr>
            </w:pPr>
            <w:r w:rsidRPr="000317CB">
              <w:rPr>
                <w:rFonts w:asciiTheme="minorEastAsia" w:hAnsiTheme="minorEastAsia" w:cs="宋体" w:hint="eastAsia"/>
                <w:b/>
                <w:color w:val="000000"/>
                <w:kern w:val="0"/>
                <w:sz w:val="28"/>
                <w:szCs w:val="28"/>
              </w:rPr>
              <w:t>合计</w:t>
            </w:r>
          </w:p>
        </w:tc>
        <w:tc>
          <w:tcPr>
            <w:tcW w:w="992" w:type="dxa"/>
            <w:noWrap/>
            <w:vAlign w:val="center"/>
          </w:tcPr>
          <w:p w:rsidR="000317CB" w:rsidRPr="000317CB" w:rsidRDefault="000317CB" w:rsidP="000F3526">
            <w:pPr>
              <w:adjustRightInd w:val="0"/>
              <w:snapToGrid w:val="0"/>
              <w:jc w:val="center"/>
              <w:rPr>
                <w:rFonts w:asciiTheme="minorEastAsia" w:hAnsiTheme="minorEastAsia" w:cs="Times New Roman"/>
                <w:b/>
                <w:sz w:val="28"/>
                <w:szCs w:val="28"/>
              </w:rPr>
            </w:pPr>
            <w:r w:rsidRPr="000317CB">
              <w:rPr>
                <w:rFonts w:asciiTheme="minorEastAsia" w:hAnsiTheme="minorEastAsia" w:cs="Times New Roman" w:hint="eastAsia"/>
                <w:b/>
                <w:sz w:val="28"/>
                <w:szCs w:val="28"/>
              </w:rPr>
              <w:t>31</w:t>
            </w:r>
          </w:p>
        </w:tc>
        <w:tc>
          <w:tcPr>
            <w:tcW w:w="2221" w:type="dxa"/>
            <w:vAlign w:val="center"/>
          </w:tcPr>
          <w:p w:rsidR="000317CB" w:rsidRPr="000317CB" w:rsidRDefault="000317CB" w:rsidP="000F3526">
            <w:pPr>
              <w:adjustRightInd w:val="0"/>
              <w:snapToGrid w:val="0"/>
              <w:jc w:val="center"/>
              <w:rPr>
                <w:rFonts w:asciiTheme="minorEastAsia" w:hAnsiTheme="minorEastAsia" w:cs="Times New Roman"/>
                <w:b/>
                <w:sz w:val="28"/>
                <w:szCs w:val="28"/>
              </w:rPr>
            </w:pPr>
            <w:r w:rsidRPr="000317CB">
              <w:rPr>
                <w:rFonts w:asciiTheme="minorEastAsia" w:hAnsiTheme="minorEastAsia" w:cs="Times New Roman" w:hint="eastAsia"/>
                <w:b/>
                <w:sz w:val="28"/>
                <w:szCs w:val="28"/>
              </w:rPr>
              <w:t>791,181.90</w:t>
            </w:r>
          </w:p>
        </w:tc>
        <w:tc>
          <w:tcPr>
            <w:tcW w:w="1984" w:type="dxa"/>
            <w:noWrap/>
            <w:vAlign w:val="center"/>
          </w:tcPr>
          <w:p w:rsidR="000317CB" w:rsidRPr="000317CB" w:rsidRDefault="000317CB" w:rsidP="000F3526">
            <w:pPr>
              <w:adjustRightInd w:val="0"/>
              <w:snapToGrid w:val="0"/>
              <w:jc w:val="center"/>
              <w:rPr>
                <w:rFonts w:asciiTheme="minorEastAsia" w:hAnsiTheme="minorEastAsia" w:cs="Times New Roman"/>
                <w:b/>
                <w:sz w:val="28"/>
                <w:szCs w:val="28"/>
              </w:rPr>
            </w:pPr>
            <w:r w:rsidRPr="000317CB">
              <w:rPr>
                <w:rFonts w:asciiTheme="minorEastAsia" w:hAnsiTheme="minorEastAsia" w:cs="Times New Roman"/>
                <w:b/>
                <w:sz w:val="28"/>
                <w:szCs w:val="28"/>
              </w:rPr>
              <w:t>49,992.00</w:t>
            </w:r>
          </w:p>
        </w:tc>
        <w:tc>
          <w:tcPr>
            <w:tcW w:w="1985" w:type="dxa"/>
            <w:noWrap/>
            <w:vAlign w:val="center"/>
          </w:tcPr>
          <w:p w:rsidR="000317CB" w:rsidRPr="000317CB" w:rsidRDefault="000317CB" w:rsidP="000F3526">
            <w:pPr>
              <w:adjustRightInd w:val="0"/>
              <w:snapToGrid w:val="0"/>
              <w:jc w:val="center"/>
              <w:rPr>
                <w:rFonts w:asciiTheme="minorEastAsia" w:hAnsiTheme="minorEastAsia" w:cs="Times New Roman"/>
                <w:b/>
                <w:sz w:val="28"/>
                <w:szCs w:val="28"/>
              </w:rPr>
            </w:pPr>
            <w:r w:rsidRPr="000317CB">
              <w:rPr>
                <w:rFonts w:asciiTheme="minorEastAsia" w:hAnsiTheme="minorEastAsia" w:cs="Times New Roman"/>
                <w:b/>
                <w:sz w:val="28"/>
                <w:szCs w:val="28"/>
              </w:rPr>
              <w:t>9,900.00</w:t>
            </w:r>
          </w:p>
        </w:tc>
      </w:tr>
    </w:tbl>
    <w:p w:rsidR="00B13BEC" w:rsidRPr="000317CB" w:rsidRDefault="00B13BEC" w:rsidP="003D7C56">
      <w:pPr>
        <w:adjustRightInd w:val="0"/>
        <w:snapToGrid w:val="0"/>
        <w:ind w:firstLineChars="200" w:firstLine="480"/>
        <w:rPr>
          <w:rFonts w:ascii="仿宋_GB2312" w:eastAsia="仿宋_GB2312" w:hAnsi="Calibri" w:cs="Times New Roman"/>
          <w:sz w:val="24"/>
          <w:szCs w:val="32"/>
        </w:rPr>
      </w:pPr>
      <w:r w:rsidRPr="000317CB">
        <w:rPr>
          <w:rFonts w:ascii="仿宋_GB2312" w:eastAsia="仿宋_GB2312" w:hAnsi="Calibri" w:cs="Times New Roman" w:hint="eastAsia"/>
          <w:sz w:val="24"/>
          <w:szCs w:val="32"/>
        </w:rPr>
        <w:t>数据来源：COMSTAR系统</w:t>
      </w:r>
    </w:p>
    <w:p w:rsidR="002A5322" w:rsidRPr="000317CB" w:rsidRDefault="002A5322" w:rsidP="002A5322">
      <w:pPr>
        <w:spacing w:line="480" w:lineRule="exact"/>
        <w:ind w:firstLineChars="200" w:firstLine="643"/>
        <w:rPr>
          <w:rFonts w:ascii="仿宋_GB2312" w:eastAsia="仿宋_GB2312" w:hAnsi="Calibri" w:cs="Times New Roman"/>
          <w:b/>
          <w:sz w:val="32"/>
          <w:szCs w:val="32"/>
        </w:rPr>
      </w:pPr>
      <w:r w:rsidRPr="000317CB">
        <w:rPr>
          <w:rFonts w:ascii="仿宋_GB2312" w:eastAsia="仿宋_GB2312" w:hAnsi="Calibri" w:cs="Times New Roman" w:hint="eastAsia"/>
          <w:b/>
          <w:sz w:val="32"/>
          <w:szCs w:val="32"/>
        </w:rPr>
        <w:t>（二）同业线下业务</w:t>
      </w:r>
      <w:r w:rsidR="006A6B81" w:rsidRPr="000317CB">
        <w:rPr>
          <w:rFonts w:ascii="仿宋_GB2312" w:eastAsia="仿宋_GB2312" w:hAnsi="Calibri" w:cs="Times New Roman" w:hint="eastAsia"/>
          <w:b/>
          <w:sz w:val="32"/>
          <w:szCs w:val="32"/>
        </w:rPr>
        <w:t>（</w:t>
      </w:r>
      <w:r w:rsidR="00B403B8" w:rsidRPr="000317CB">
        <w:rPr>
          <w:rFonts w:ascii="仿宋_GB2312" w:eastAsia="仿宋_GB2312" w:hAnsi="Calibri" w:cs="Times New Roman" w:hint="eastAsia"/>
          <w:b/>
          <w:sz w:val="32"/>
          <w:szCs w:val="32"/>
        </w:rPr>
        <w:t>资金业务管理系统</w:t>
      </w:r>
      <w:r w:rsidR="006A6B81" w:rsidRPr="000317CB">
        <w:rPr>
          <w:rFonts w:ascii="仿宋_GB2312" w:eastAsia="仿宋_GB2312" w:hAnsi="Calibri" w:cs="Times New Roman" w:hint="eastAsia"/>
          <w:b/>
          <w:sz w:val="32"/>
          <w:szCs w:val="32"/>
        </w:rPr>
        <w:t>本期无交易）</w:t>
      </w:r>
    </w:p>
    <w:p w:rsidR="002A5322" w:rsidRPr="000317CB" w:rsidRDefault="002A5322" w:rsidP="002A5322">
      <w:pPr>
        <w:spacing w:line="480" w:lineRule="exact"/>
        <w:ind w:firstLineChars="200" w:firstLine="643"/>
        <w:rPr>
          <w:rFonts w:ascii="仿宋_GB2312" w:eastAsia="仿宋_GB2312" w:hAnsi="Calibri" w:cs="Times New Roman"/>
          <w:b/>
          <w:sz w:val="32"/>
          <w:szCs w:val="32"/>
        </w:rPr>
      </w:pPr>
      <w:r w:rsidRPr="000317CB">
        <w:rPr>
          <w:rFonts w:ascii="仿宋_GB2312" w:eastAsia="仿宋_GB2312" w:hAnsi="Calibri" w:cs="Times New Roman" w:hint="eastAsia"/>
          <w:b/>
          <w:sz w:val="32"/>
          <w:szCs w:val="32"/>
        </w:rPr>
        <w:t>（三）理财业务</w:t>
      </w:r>
    </w:p>
    <w:p w:rsidR="00432F41" w:rsidRPr="007C6736" w:rsidRDefault="00432F41" w:rsidP="00432F41">
      <w:pPr>
        <w:spacing w:line="520" w:lineRule="exact"/>
        <w:ind w:firstLineChars="200" w:firstLine="643"/>
        <w:rPr>
          <w:rFonts w:ascii="仿宋_GB2312" w:eastAsia="仿宋_GB2312" w:hAnsi="Calibri" w:cs="Times New Roman"/>
          <w:b/>
          <w:sz w:val="32"/>
          <w:szCs w:val="32"/>
        </w:rPr>
      </w:pPr>
      <w:r w:rsidRPr="007C6736">
        <w:rPr>
          <w:rFonts w:ascii="仿宋_GB2312" w:eastAsia="仿宋_GB2312" w:hAnsi="Calibri" w:cs="Times New Roman" w:hint="eastAsia"/>
          <w:b/>
          <w:sz w:val="32"/>
          <w:szCs w:val="32"/>
        </w:rPr>
        <w:t>1.按业务类别划分</w:t>
      </w:r>
    </w:p>
    <w:p w:rsidR="00432F41" w:rsidRPr="007C6736" w:rsidRDefault="00432F41" w:rsidP="00432F41">
      <w:pPr>
        <w:wordWrap w:val="0"/>
        <w:ind w:firstLineChars="200" w:firstLine="480"/>
        <w:jc w:val="right"/>
        <w:rPr>
          <w:rFonts w:ascii="仿宋_GB2312" w:eastAsia="仿宋_GB2312" w:hAnsi="Calibri" w:cs="Times New Roman"/>
          <w:sz w:val="24"/>
          <w:szCs w:val="32"/>
        </w:rPr>
      </w:pPr>
      <w:r w:rsidRPr="007C6736">
        <w:rPr>
          <w:rFonts w:ascii="仿宋_GB2312" w:eastAsia="仿宋_GB2312" w:hAnsi="Calibri" w:cs="Times New Roman" w:hint="eastAsia"/>
          <w:sz w:val="24"/>
          <w:szCs w:val="32"/>
        </w:rPr>
        <w:t>单位：万元</w:t>
      </w:r>
    </w:p>
    <w:tbl>
      <w:tblPr>
        <w:tblStyle w:val="a3"/>
        <w:tblW w:w="9374" w:type="dxa"/>
        <w:jc w:val="center"/>
        <w:tblInd w:w="35" w:type="dxa"/>
        <w:tblLayout w:type="fixed"/>
        <w:tblLook w:val="04A0" w:firstRow="1" w:lastRow="0" w:firstColumn="1" w:lastColumn="0" w:noHBand="0" w:noVBand="1"/>
      </w:tblPr>
      <w:tblGrid>
        <w:gridCol w:w="1419"/>
        <w:gridCol w:w="1134"/>
        <w:gridCol w:w="850"/>
        <w:gridCol w:w="2002"/>
        <w:gridCol w:w="1984"/>
        <w:gridCol w:w="1985"/>
      </w:tblGrid>
      <w:tr w:rsidR="00432F41" w:rsidRPr="007C6736" w:rsidTr="00BC6EA4">
        <w:trPr>
          <w:trHeight w:val="288"/>
          <w:jc w:val="center"/>
        </w:trPr>
        <w:tc>
          <w:tcPr>
            <w:tcW w:w="1419" w:type="dxa"/>
            <w:noWrap/>
            <w:hideMark/>
          </w:tcPr>
          <w:p w:rsidR="00432F41" w:rsidRPr="007C6736" w:rsidRDefault="00432F41" w:rsidP="001B5773">
            <w:pPr>
              <w:widowControl/>
              <w:adjustRightInd w:val="0"/>
              <w:snapToGrid w:val="0"/>
              <w:jc w:val="center"/>
              <w:rPr>
                <w:rFonts w:ascii="宋体" w:eastAsia="宋体" w:hAnsi="宋体" w:cs="宋体"/>
                <w:b/>
                <w:color w:val="000000"/>
                <w:kern w:val="0"/>
                <w:sz w:val="28"/>
              </w:rPr>
            </w:pPr>
            <w:r w:rsidRPr="007C6736">
              <w:rPr>
                <w:rFonts w:ascii="宋体" w:eastAsia="宋体" w:hAnsi="宋体" w:cs="宋体" w:hint="eastAsia"/>
                <w:b/>
                <w:color w:val="000000"/>
                <w:kern w:val="0"/>
                <w:sz w:val="28"/>
              </w:rPr>
              <w:t>业务类别</w:t>
            </w:r>
          </w:p>
        </w:tc>
        <w:tc>
          <w:tcPr>
            <w:tcW w:w="1134" w:type="dxa"/>
            <w:noWrap/>
            <w:hideMark/>
          </w:tcPr>
          <w:p w:rsidR="00432F41" w:rsidRPr="007C6736" w:rsidRDefault="00432F41" w:rsidP="001B5773">
            <w:pPr>
              <w:widowControl/>
              <w:adjustRightInd w:val="0"/>
              <w:snapToGrid w:val="0"/>
              <w:jc w:val="center"/>
              <w:rPr>
                <w:rFonts w:ascii="宋体" w:eastAsia="宋体" w:hAnsi="宋体" w:cs="宋体"/>
                <w:b/>
                <w:color w:val="000000"/>
                <w:kern w:val="0"/>
                <w:sz w:val="28"/>
              </w:rPr>
            </w:pPr>
            <w:r w:rsidRPr="007C6736">
              <w:rPr>
                <w:rFonts w:ascii="宋体" w:eastAsia="宋体" w:hAnsi="宋体" w:cs="宋体" w:hint="eastAsia"/>
                <w:b/>
                <w:color w:val="000000"/>
                <w:kern w:val="0"/>
                <w:sz w:val="28"/>
              </w:rPr>
              <w:t>方向</w:t>
            </w:r>
          </w:p>
        </w:tc>
        <w:tc>
          <w:tcPr>
            <w:tcW w:w="850" w:type="dxa"/>
            <w:hideMark/>
          </w:tcPr>
          <w:p w:rsidR="00432F41" w:rsidRPr="007C6736" w:rsidRDefault="00432F41" w:rsidP="001B5773">
            <w:pPr>
              <w:widowControl/>
              <w:adjustRightInd w:val="0"/>
              <w:snapToGrid w:val="0"/>
              <w:jc w:val="center"/>
              <w:rPr>
                <w:rFonts w:ascii="宋体" w:eastAsia="宋体" w:hAnsi="宋体" w:cs="宋体"/>
                <w:b/>
                <w:color w:val="000000"/>
                <w:kern w:val="0"/>
                <w:sz w:val="28"/>
              </w:rPr>
            </w:pPr>
            <w:r w:rsidRPr="007C6736">
              <w:rPr>
                <w:rFonts w:ascii="宋体" w:eastAsia="宋体" w:hAnsi="宋体" w:cs="宋体" w:hint="eastAsia"/>
                <w:b/>
                <w:color w:val="000000"/>
                <w:kern w:val="0"/>
                <w:sz w:val="28"/>
              </w:rPr>
              <w:t>笔数</w:t>
            </w:r>
          </w:p>
        </w:tc>
        <w:tc>
          <w:tcPr>
            <w:tcW w:w="2002" w:type="dxa"/>
          </w:tcPr>
          <w:p w:rsidR="00432F41" w:rsidRPr="007C6736" w:rsidRDefault="00432F41" w:rsidP="001B5773">
            <w:pPr>
              <w:widowControl/>
              <w:adjustRightInd w:val="0"/>
              <w:snapToGrid w:val="0"/>
              <w:jc w:val="center"/>
              <w:rPr>
                <w:rFonts w:ascii="宋体" w:eastAsia="宋体" w:hAnsi="宋体" w:cs="宋体"/>
                <w:b/>
                <w:color w:val="000000"/>
                <w:kern w:val="0"/>
                <w:sz w:val="28"/>
              </w:rPr>
            </w:pPr>
            <w:r w:rsidRPr="007C6736">
              <w:rPr>
                <w:rFonts w:ascii="宋体" w:eastAsia="宋体" w:hAnsi="宋体" w:cs="宋体" w:hint="eastAsia"/>
                <w:b/>
                <w:color w:val="000000"/>
                <w:kern w:val="0"/>
                <w:sz w:val="28"/>
              </w:rPr>
              <w:t>金额</w:t>
            </w:r>
          </w:p>
        </w:tc>
        <w:tc>
          <w:tcPr>
            <w:tcW w:w="1984" w:type="dxa"/>
            <w:hideMark/>
          </w:tcPr>
          <w:p w:rsidR="00432F41" w:rsidRPr="007C6736" w:rsidRDefault="00432F41" w:rsidP="001B5773">
            <w:pPr>
              <w:widowControl/>
              <w:adjustRightInd w:val="0"/>
              <w:snapToGrid w:val="0"/>
              <w:jc w:val="center"/>
              <w:rPr>
                <w:rFonts w:ascii="宋体" w:eastAsia="宋体" w:hAnsi="宋体" w:cs="宋体"/>
                <w:b/>
                <w:color w:val="000000"/>
                <w:kern w:val="0"/>
                <w:sz w:val="28"/>
              </w:rPr>
            </w:pPr>
            <w:r w:rsidRPr="007C6736">
              <w:rPr>
                <w:rFonts w:ascii="宋体" w:eastAsia="宋体" w:hAnsi="宋体" w:cs="宋体" w:hint="eastAsia"/>
                <w:b/>
                <w:color w:val="000000"/>
                <w:kern w:val="0"/>
                <w:sz w:val="28"/>
              </w:rPr>
              <w:t>最大单笔金额</w:t>
            </w:r>
          </w:p>
        </w:tc>
        <w:tc>
          <w:tcPr>
            <w:tcW w:w="1985" w:type="dxa"/>
          </w:tcPr>
          <w:p w:rsidR="00432F41" w:rsidRPr="007C6736" w:rsidRDefault="00432F41" w:rsidP="001B5773">
            <w:pPr>
              <w:widowControl/>
              <w:adjustRightInd w:val="0"/>
              <w:snapToGrid w:val="0"/>
              <w:jc w:val="center"/>
              <w:rPr>
                <w:rFonts w:ascii="宋体" w:eastAsia="宋体" w:hAnsi="宋体" w:cs="宋体"/>
                <w:b/>
                <w:color w:val="000000"/>
                <w:kern w:val="0"/>
                <w:sz w:val="28"/>
              </w:rPr>
            </w:pPr>
            <w:r w:rsidRPr="007C6736">
              <w:rPr>
                <w:rFonts w:ascii="宋体" w:eastAsia="宋体" w:hAnsi="宋体" w:cs="宋体" w:hint="eastAsia"/>
                <w:b/>
                <w:color w:val="000000"/>
                <w:kern w:val="0"/>
                <w:sz w:val="28"/>
              </w:rPr>
              <w:t>最小单笔金额</w:t>
            </w:r>
          </w:p>
        </w:tc>
      </w:tr>
      <w:tr w:rsidR="007C6736" w:rsidRPr="007C6736" w:rsidTr="00BC6EA4">
        <w:trPr>
          <w:trHeight w:val="288"/>
          <w:jc w:val="center"/>
        </w:trPr>
        <w:tc>
          <w:tcPr>
            <w:tcW w:w="1419" w:type="dxa"/>
            <w:vMerge w:val="restart"/>
            <w:vAlign w:val="center"/>
          </w:tcPr>
          <w:p w:rsidR="007C6736" w:rsidRPr="007C6736" w:rsidRDefault="007C6736" w:rsidP="001B5773">
            <w:pPr>
              <w:widowControl/>
              <w:adjustRightInd w:val="0"/>
              <w:snapToGrid w:val="0"/>
              <w:jc w:val="center"/>
              <w:rPr>
                <w:rFonts w:ascii="宋体" w:eastAsia="宋体" w:hAnsi="宋体" w:cs="宋体"/>
                <w:color w:val="000000"/>
                <w:kern w:val="0"/>
                <w:sz w:val="28"/>
              </w:rPr>
            </w:pPr>
            <w:r w:rsidRPr="007C6736">
              <w:rPr>
                <w:rFonts w:ascii="宋体" w:eastAsia="宋体" w:hAnsi="宋体" w:cs="宋体"/>
                <w:color w:val="000000"/>
                <w:kern w:val="0"/>
                <w:sz w:val="28"/>
              </w:rPr>
              <w:t>现券</w:t>
            </w:r>
          </w:p>
        </w:tc>
        <w:tc>
          <w:tcPr>
            <w:tcW w:w="1134" w:type="dxa"/>
            <w:noWrap/>
            <w:vAlign w:val="center"/>
          </w:tcPr>
          <w:p w:rsidR="007C6736" w:rsidRPr="007C6736" w:rsidRDefault="007C6736" w:rsidP="007C6736">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买入</w:t>
            </w:r>
          </w:p>
        </w:tc>
        <w:tc>
          <w:tcPr>
            <w:tcW w:w="850" w:type="dxa"/>
            <w:vAlign w:val="center"/>
          </w:tcPr>
          <w:p w:rsidR="007C6736" w:rsidRPr="007C6736" w:rsidRDefault="007C6736" w:rsidP="007C6736">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9</w:t>
            </w:r>
          </w:p>
        </w:tc>
        <w:tc>
          <w:tcPr>
            <w:tcW w:w="2002" w:type="dxa"/>
            <w:vAlign w:val="center"/>
          </w:tcPr>
          <w:p w:rsidR="007C6736" w:rsidRPr="007C6736" w:rsidRDefault="007C6736" w:rsidP="007C6736">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33,954.84</w:t>
            </w:r>
          </w:p>
        </w:tc>
        <w:tc>
          <w:tcPr>
            <w:tcW w:w="1984" w:type="dxa"/>
            <w:vAlign w:val="center"/>
          </w:tcPr>
          <w:p w:rsidR="007C6736" w:rsidRPr="007C6736" w:rsidRDefault="007C6736" w:rsidP="007C6736">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5,186.40</w:t>
            </w:r>
          </w:p>
        </w:tc>
        <w:tc>
          <w:tcPr>
            <w:tcW w:w="1985" w:type="dxa"/>
            <w:vAlign w:val="center"/>
          </w:tcPr>
          <w:p w:rsidR="007C6736" w:rsidRPr="007C6736" w:rsidRDefault="007C6736" w:rsidP="007C6736">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1,037.28</w:t>
            </w:r>
          </w:p>
        </w:tc>
      </w:tr>
      <w:tr w:rsidR="007C6736" w:rsidRPr="007C6736" w:rsidTr="00BC6EA4">
        <w:trPr>
          <w:trHeight w:val="288"/>
          <w:jc w:val="center"/>
        </w:trPr>
        <w:tc>
          <w:tcPr>
            <w:tcW w:w="1419" w:type="dxa"/>
            <w:vMerge/>
            <w:vAlign w:val="center"/>
          </w:tcPr>
          <w:p w:rsidR="007C6736" w:rsidRPr="007C6736" w:rsidRDefault="007C6736" w:rsidP="001B5773">
            <w:pPr>
              <w:widowControl/>
              <w:adjustRightInd w:val="0"/>
              <w:snapToGrid w:val="0"/>
              <w:jc w:val="center"/>
              <w:rPr>
                <w:rFonts w:ascii="宋体" w:eastAsia="宋体" w:hAnsi="宋体" w:cs="宋体"/>
                <w:color w:val="000000"/>
                <w:kern w:val="0"/>
                <w:sz w:val="28"/>
              </w:rPr>
            </w:pPr>
          </w:p>
        </w:tc>
        <w:tc>
          <w:tcPr>
            <w:tcW w:w="1134" w:type="dxa"/>
            <w:noWrap/>
            <w:vAlign w:val="center"/>
          </w:tcPr>
          <w:p w:rsidR="007C6736" w:rsidRPr="007C6736" w:rsidRDefault="007C6736" w:rsidP="00BA4191">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卖出</w:t>
            </w:r>
          </w:p>
        </w:tc>
        <w:tc>
          <w:tcPr>
            <w:tcW w:w="850" w:type="dxa"/>
            <w:vAlign w:val="center"/>
          </w:tcPr>
          <w:p w:rsidR="007C6736" w:rsidRPr="007C6736" w:rsidRDefault="007C6736" w:rsidP="007C6736">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3</w:t>
            </w:r>
          </w:p>
        </w:tc>
        <w:tc>
          <w:tcPr>
            <w:tcW w:w="2002" w:type="dxa"/>
            <w:vAlign w:val="center"/>
          </w:tcPr>
          <w:p w:rsidR="007C6736" w:rsidRPr="007C6736" w:rsidRDefault="007C6736" w:rsidP="007C6736">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5,226.53</w:t>
            </w:r>
          </w:p>
        </w:tc>
        <w:tc>
          <w:tcPr>
            <w:tcW w:w="1984" w:type="dxa"/>
            <w:vAlign w:val="center"/>
          </w:tcPr>
          <w:p w:rsidR="007C6736" w:rsidRPr="007C6736" w:rsidRDefault="007C6736" w:rsidP="007C6736">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2,101.56</w:t>
            </w:r>
          </w:p>
        </w:tc>
        <w:tc>
          <w:tcPr>
            <w:tcW w:w="1985" w:type="dxa"/>
            <w:vAlign w:val="center"/>
          </w:tcPr>
          <w:p w:rsidR="007C6736" w:rsidRPr="007C6736" w:rsidRDefault="007C6736" w:rsidP="007C6736">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1,126.99</w:t>
            </w:r>
          </w:p>
        </w:tc>
      </w:tr>
      <w:tr w:rsidR="007C6736" w:rsidRPr="007C6736" w:rsidTr="00BC6EA4">
        <w:trPr>
          <w:trHeight w:val="288"/>
          <w:jc w:val="center"/>
        </w:trPr>
        <w:tc>
          <w:tcPr>
            <w:tcW w:w="1419" w:type="dxa"/>
            <w:vMerge w:val="restart"/>
            <w:vAlign w:val="center"/>
          </w:tcPr>
          <w:p w:rsidR="007C6736" w:rsidRPr="007C6736" w:rsidRDefault="007C6736" w:rsidP="009D2C09">
            <w:pPr>
              <w:widowControl/>
              <w:adjustRightInd w:val="0"/>
              <w:snapToGrid w:val="0"/>
              <w:jc w:val="center"/>
              <w:rPr>
                <w:rFonts w:ascii="宋体" w:eastAsia="宋体" w:hAnsi="宋体" w:cs="宋体"/>
                <w:color w:val="000000"/>
                <w:kern w:val="0"/>
                <w:sz w:val="28"/>
              </w:rPr>
            </w:pPr>
            <w:r w:rsidRPr="007C6736">
              <w:rPr>
                <w:rFonts w:ascii="宋体" w:eastAsia="宋体" w:hAnsi="宋体" w:cs="宋体" w:hint="eastAsia"/>
                <w:color w:val="000000"/>
                <w:kern w:val="0"/>
                <w:sz w:val="28"/>
              </w:rPr>
              <w:t>回购</w:t>
            </w:r>
          </w:p>
        </w:tc>
        <w:tc>
          <w:tcPr>
            <w:tcW w:w="1134" w:type="dxa"/>
            <w:noWrap/>
            <w:vAlign w:val="center"/>
          </w:tcPr>
          <w:p w:rsidR="007C6736" w:rsidRPr="007C6736" w:rsidRDefault="007C6736" w:rsidP="00527EB2">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逆回购</w:t>
            </w:r>
          </w:p>
        </w:tc>
        <w:tc>
          <w:tcPr>
            <w:tcW w:w="850" w:type="dxa"/>
            <w:vAlign w:val="center"/>
          </w:tcPr>
          <w:p w:rsidR="007C6736" w:rsidRPr="007C6736" w:rsidRDefault="007C6736" w:rsidP="007C6736">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14</w:t>
            </w:r>
          </w:p>
        </w:tc>
        <w:tc>
          <w:tcPr>
            <w:tcW w:w="2002" w:type="dxa"/>
            <w:vAlign w:val="center"/>
          </w:tcPr>
          <w:p w:rsidR="007C6736" w:rsidRPr="007C6736" w:rsidRDefault="007C6736" w:rsidP="007C6736">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83,722.00</w:t>
            </w:r>
          </w:p>
        </w:tc>
        <w:tc>
          <w:tcPr>
            <w:tcW w:w="1984" w:type="dxa"/>
            <w:vAlign w:val="center"/>
          </w:tcPr>
          <w:p w:rsidR="007C6736" w:rsidRPr="007C6736" w:rsidRDefault="007C6736" w:rsidP="007C6736">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10,000.00</w:t>
            </w:r>
          </w:p>
        </w:tc>
        <w:tc>
          <w:tcPr>
            <w:tcW w:w="1985" w:type="dxa"/>
            <w:vAlign w:val="center"/>
          </w:tcPr>
          <w:p w:rsidR="007C6736" w:rsidRPr="007C6736" w:rsidRDefault="007C6736" w:rsidP="007C6736">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610.00</w:t>
            </w:r>
          </w:p>
        </w:tc>
      </w:tr>
      <w:tr w:rsidR="007C6736" w:rsidRPr="007C6736" w:rsidTr="00BC6EA4">
        <w:trPr>
          <w:trHeight w:val="288"/>
          <w:jc w:val="center"/>
        </w:trPr>
        <w:tc>
          <w:tcPr>
            <w:tcW w:w="1419" w:type="dxa"/>
            <w:vMerge/>
            <w:vAlign w:val="center"/>
          </w:tcPr>
          <w:p w:rsidR="007C6736" w:rsidRPr="007C6736" w:rsidRDefault="007C6736" w:rsidP="001B5773">
            <w:pPr>
              <w:widowControl/>
              <w:adjustRightInd w:val="0"/>
              <w:snapToGrid w:val="0"/>
              <w:jc w:val="center"/>
              <w:rPr>
                <w:rFonts w:ascii="宋体" w:eastAsia="宋体" w:hAnsi="宋体" w:cs="宋体"/>
                <w:color w:val="000000"/>
                <w:kern w:val="0"/>
                <w:sz w:val="28"/>
              </w:rPr>
            </w:pPr>
          </w:p>
        </w:tc>
        <w:tc>
          <w:tcPr>
            <w:tcW w:w="1134" w:type="dxa"/>
            <w:noWrap/>
            <w:vAlign w:val="center"/>
          </w:tcPr>
          <w:p w:rsidR="007C6736" w:rsidRPr="007C6736" w:rsidRDefault="007C6736" w:rsidP="00BA4191">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正回购</w:t>
            </w:r>
          </w:p>
        </w:tc>
        <w:tc>
          <w:tcPr>
            <w:tcW w:w="850" w:type="dxa"/>
            <w:vAlign w:val="center"/>
          </w:tcPr>
          <w:p w:rsidR="007C6736" w:rsidRPr="007C6736" w:rsidRDefault="007C6736" w:rsidP="007C6736">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4</w:t>
            </w:r>
          </w:p>
        </w:tc>
        <w:tc>
          <w:tcPr>
            <w:tcW w:w="2002" w:type="dxa"/>
            <w:vAlign w:val="center"/>
          </w:tcPr>
          <w:p w:rsidR="007C6736" w:rsidRPr="007C6736" w:rsidRDefault="007C6736" w:rsidP="007C6736">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14,534.00</w:t>
            </w:r>
          </w:p>
        </w:tc>
        <w:tc>
          <w:tcPr>
            <w:tcW w:w="1984" w:type="dxa"/>
            <w:vAlign w:val="center"/>
          </w:tcPr>
          <w:p w:rsidR="007C6736" w:rsidRPr="007C6736" w:rsidRDefault="007C6736" w:rsidP="007C6736">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5,035.00</w:t>
            </w:r>
          </w:p>
        </w:tc>
        <w:tc>
          <w:tcPr>
            <w:tcW w:w="1985" w:type="dxa"/>
            <w:vAlign w:val="center"/>
          </w:tcPr>
          <w:p w:rsidR="007C6736" w:rsidRPr="007C6736" w:rsidRDefault="007C6736" w:rsidP="007C6736">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1,900.00</w:t>
            </w:r>
          </w:p>
        </w:tc>
      </w:tr>
      <w:tr w:rsidR="007C6736" w:rsidRPr="007C6736" w:rsidTr="00BC6EA4">
        <w:trPr>
          <w:trHeight w:val="288"/>
          <w:jc w:val="center"/>
        </w:trPr>
        <w:tc>
          <w:tcPr>
            <w:tcW w:w="1419" w:type="dxa"/>
            <w:vMerge w:val="restart"/>
            <w:vAlign w:val="center"/>
          </w:tcPr>
          <w:p w:rsidR="007C6736" w:rsidRPr="007C6736" w:rsidRDefault="007C6736" w:rsidP="001B5773">
            <w:pPr>
              <w:widowControl/>
              <w:adjustRightInd w:val="0"/>
              <w:snapToGrid w:val="0"/>
              <w:jc w:val="center"/>
              <w:rPr>
                <w:rFonts w:ascii="宋体" w:eastAsia="宋体" w:hAnsi="宋体" w:cs="宋体"/>
                <w:color w:val="000000"/>
                <w:kern w:val="0"/>
                <w:sz w:val="28"/>
              </w:rPr>
            </w:pPr>
            <w:r w:rsidRPr="007C6736">
              <w:rPr>
                <w:rFonts w:ascii="宋体" w:eastAsia="宋体" w:hAnsi="宋体" w:cs="宋体" w:hint="eastAsia"/>
                <w:color w:val="000000"/>
                <w:kern w:val="0"/>
                <w:sz w:val="28"/>
              </w:rPr>
              <w:t>ETF</w:t>
            </w:r>
          </w:p>
        </w:tc>
        <w:tc>
          <w:tcPr>
            <w:tcW w:w="1134" w:type="dxa"/>
            <w:noWrap/>
            <w:vAlign w:val="center"/>
          </w:tcPr>
          <w:p w:rsidR="007C6736" w:rsidRPr="007C6736" w:rsidRDefault="007C6736" w:rsidP="00BA4191">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买入</w:t>
            </w:r>
          </w:p>
        </w:tc>
        <w:tc>
          <w:tcPr>
            <w:tcW w:w="850" w:type="dxa"/>
            <w:vAlign w:val="center"/>
          </w:tcPr>
          <w:p w:rsidR="007C6736" w:rsidRPr="007C6736" w:rsidRDefault="007C6736" w:rsidP="00F96F1A">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1</w:t>
            </w:r>
          </w:p>
        </w:tc>
        <w:tc>
          <w:tcPr>
            <w:tcW w:w="2002" w:type="dxa"/>
            <w:vAlign w:val="center"/>
          </w:tcPr>
          <w:p w:rsidR="007C6736" w:rsidRPr="007C6736" w:rsidRDefault="007C6736" w:rsidP="007C6736">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5,917.86</w:t>
            </w:r>
          </w:p>
        </w:tc>
        <w:tc>
          <w:tcPr>
            <w:tcW w:w="1984" w:type="dxa"/>
            <w:vAlign w:val="center"/>
          </w:tcPr>
          <w:p w:rsidR="007C6736" w:rsidRPr="007C6736" w:rsidRDefault="007C6736" w:rsidP="00F96F1A">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5,917.86</w:t>
            </w:r>
          </w:p>
        </w:tc>
        <w:tc>
          <w:tcPr>
            <w:tcW w:w="1985" w:type="dxa"/>
            <w:vAlign w:val="center"/>
          </w:tcPr>
          <w:p w:rsidR="007C6736" w:rsidRPr="007C6736" w:rsidRDefault="007C6736" w:rsidP="00F96F1A">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5,917.86</w:t>
            </w:r>
          </w:p>
        </w:tc>
      </w:tr>
      <w:tr w:rsidR="007C6736" w:rsidRPr="00E13056" w:rsidTr="00BC6EA4">
        <w:trPr>
          <w:trHeight w:val="288"/>
          <w:jc w:val="center"/>
        </w:trPr>
        <w:tc>
          <w:tcPr>
            <w:tcW w:w="1419" w:type="dxa"/>
            <w:vMerge/>
            <w:vAlign w:val="center"/>
          </w:tcPr>
          <w:p w:rsidR="007C6736" w:rsidRPr="007C6736" w:rsidRDefault="007C6736" w:rsidP="001B5773">
            <w:pPr>
              <w:widowControl/>
              <w:adjustRightInd w:val="0"/>
              <w:snapToGrid w:val="0"/>
              <w:jc w:val="center"/>
              <w:rPr>
                <w:rFonts w:ascii="宋体" w:eastAsia="宋体" w:hAnsi="宋体" w:cs="宋体"/>
                <w:color w:val="000000"/>
                <w:kern w:val="0"/>
                <w:sz w:val="28"/>
              </w:rPr>
            </w:pPr>
          </w:p>
        </w:tc>
        <w:tc>
          <w:tcPr>
            <w:tcW w:w="1134" w:type="dxa"/>
            <w:noWrap/>
            <w:vAlign w:val="center"/>
          </w:tcPr>
          <w:p w:rsidR="007C6736" w:rsidRPr="007C6736" w:rsidRDefault="007C6736" w:rsidP="00BA4191">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卖出</w:t>
            </w:r>
          </w:p>
        </w:tc>
        <w:tc>
          <w:tcPr>
            <w:tcW w:w="850" w:type="dxa"/>
            <w:vAlign w:val="center"/>
          </w:tcPr>
          <w:p w:rsidR="007C6736" w:rsidRPr="007C6736" w:rsidRDefault="007C6736" w:rsidP="00F96F1A">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5</w:t>
            </w:r>
          </w:p>
        </w:tc>
        <w:tc>
          <w:tcPr>
            <w:tcW w:w="2002" w:type="dxa"/>
            <w:vAlign w:val="center"/>
          </w:tcPr>
          <w:p w:rsidR="007C6736" w:rsidRPr="007C6736" w:rsidRDefault="007C6736" w:rsidP="00F96F1A">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18,778.46</w:t>
            </w:r>
          </w:p>
        </w:tc>
        <w:tc>
          <w:tcPr>
            <w:tcW w:w="1984" w:type="dxa"/>
            <w:vAlign w:val="center"/>
          </w:tcPr>
          <w:p w:rsidR="007C6736" w:rsidRPr="007C6736" w:rsidRDefault="007C6736" w:rsidP="007C6736">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sz w:val="28"/>
                <w:szCs w:val="28"/>
              </w:rPr>
              <w:t>5,917</w:t>
            </w:r>
            <w:r w:rsidRPr="007C6736">
              <w:rPr>
                <w:rFonts w:asciiTheme="minorEastAsia" w:hAnsiTheme="minorEastAsia" w:cs="Times New Roman" w:hint="eastAsia"/>
                <w:sz w:val="28"/>
                <w:szCs w:val="28"/>
              </w:rPr>
              <w:t>.</w:t>
            </w:r>
            <w:r w:rsidRPr="007C6736">
              <w:rPr>
                <w:rFonts w:asciiTheme="minorEastAsia" w:hAnsiTheme="minorEastAsia" w:cs="Times New Roman"/>
                <w:sz w:val="28"/>
                <w:szCs w:val="28"/>
              </w:rPr>
              <w:t>89</w:t>
            </w:r>
          </w:p>
        </w:tc>
        <w:tc>
          <w:tcPr>
            <w:tcW w:w="1985" w:type="dxa"/>
            <w:vAlign w:val="center"/>
          </w:tcPr>
          <w:p w:rsidR="007C6736" w:rsidRPr="007C6736" w:rsidRDefault="007C6736" w:rsidP="007C6736">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sz w:val="28"/>
                <w:szCs w:val="28"/>
              </w:rPr>
              <w:t>2,881</w:t>
            </w:r>
            <w:r w:rsidRPr="007C6736">
              <w:rPr>
                <w:rFonts w:asciiTheme="minorEastAsia" w:hAnsiTheme="minorEastAsia" w:cs="Times New Roman" w:hint="eastAsia"/>
                <w:sz w:val="28"/>
                <w:szCs w:val="28"/>
              </w:rPr>
              <w:t>.</w:t>
            </w:r>
            <w:r w:rsidRPr="007C6736">
              <w:rPr>
                <w:rFonts w:asciiTheme="minorEastAsia" w:hAnsiTheme="minorEastAsia" w:cs="Times New Roman"/>
                <w:sz w:val="28"/>
                <w:szCs w:val="28"/>
              </w:rPr>
              <w:t>89</w:t>
            </w:r>
          </w:p>
        </w:tc>
      </w:tr>
      <w:tr w:rsidR="000F3526" w:rsidRPr="000F3526" w:rsidTr="00BC6EA4">
        <w:trPr>
          <w:trHeight w:val="288"/>
          <w:jc w:val="center"/>
        </w:trPr>
        <w:tc>
          <w:tcPr>
            <w:tcW w:w="2553" w:type="dxa"/>
            <w:gridSpan w:val="2"/>
            <w:vAlign w:val="center"/>
          </w:tcPr>
          <w:p w:rsidR="000F3526" w:rsidRPr="000F3526" w:rsidRDefault="000F3526" w:rsidP="001B5773">
            <w:pPr>
              <w:widowControl/>
              <w:adjustRightInd w:val="0"/>
              <w:snapToGrid w:val="0"/>
              <w:jc w:val="center"/>
              <w:rPr>
                <w:rFonts w:ascii="宋体" w:eastAsia="宋体" w:hAnsi="宋体" w:cs="宋体"/>
                <w:b/>
                <w:color w:val="000000"/>
                <w:kern w:val="0"/>
                <w:sz w:val="28"/>
              </w:rPr>
            </w:pPr>
            <w:r w:rsidRPr="000F3526">
              <w:rPr>
                <w:rFonts w:ascii="宋体" w:eastAsia="宋体" w:hAnsi="宋体" w:cs="宋体" w:hint="eastAsia"/>
                <w:b/>
                <w:color w:val="000000"/>
                <w:kern w:val="0"/>
                <w:sz w:val="28"/>
              </w:rPr>
              <w:t>合计</w:t>
            </w:r>
          </w:p>
        </w:tc>
        <w:tc>
          <w:tcPr>
            <w:tcW w:w="850" w:type="dxa"/>
            <w:vAlign w:val="center"/>
          </w:tcPr>
          <w:p w:rsidR="000F3526" w:rsidRPr="000F3526" w:rsidRDefault="000F3526" w:rsidP="000F3526">
            <w:pPr>
              <w:adjustRightInd w:val="0"/>
              <w:snapToGrid w:val="0"/>
              <w:jc w:val="center"/>
              <w:rPr>
                <w:rFonts w:asciiTheme="minorEastAsia" w:hAnsiTheme="minorEastAsia" w:cs="Times New Roman"/>
                <w:b/>
                <w:sz w:val="28"/>
                <w:szCs w:val="28"/>
              </w:rPr>
            </w:pPr>
            <w:r w:rsidRPr="000F3526">
              <w:rPr>
                <w:rFonts w:asciiTheme="minorEastAsia" w:hAnsiTheme="minorEastAsia" w:cs="Times New Roman" w:hint="eastAsia"/>
                <w:b/>
                <w:sz w:val="28"/>
                <w:szCs w:val="28"/>
              </w:rPr>
              <w:t>36</w:t>
            </w:r>
          </w:p>
        </w:tc>
        <w:tc>
          <w:tcPr>
            <w:tcW w:w="2002" w:type="dxa"/>
            <w:vAlign w:val="center"/>
          </w:tcPr>
          <w:p w:rsidR="000F3526" w:rsidRPr="000F3526" w:rsidRDefault="000F3526" w:rsidP="000F3526">
            <w:pPr>
              <w:adjustRightInd w:val="0"/>
              <w:snapToGrid w:val="0"/>
              <w:jc w:val="center"/>
              <w:rPr>
                <w:rFonts w:asciiTheme="minorEastAsia" w:hAnsiTheme="minorEastAsia" w:cs="Times New Roman"/>
                <w:b/>
                <w:sz w:val="28"/>
                <w:szCs w:val="28"/>
              </w:rPr>
            </w:pPr>
            <w:r w:rsidRPr="000F3526">
              <w:rPr>
                <w:rFonts w:asciiTheme="minorEastAsia" w:hAnsiTheme="minorEastAsia" w:cs="Times New Roman" w:hint="eastAsia"/>
                <w:b/>
                <w:sz w:val="28"/>
                <w:szCs w:val="28"/>
              </w:rPr>
              <w:t>162,133.69</w:t>
            </w:r>
          </w:p>
        </w:tc>
        <w:tc>
          <w:tcPr>
            <w:tcW w:w="1984" w:type="dxa"/>
            <w:vAlign w:val="center"/>
          </w:tcPr>
          <w:p w:rsidR="000F3526" w:rsidRPr="000F3526" w:rsidRDefault="000F3526" w:rsidP="00F96F1A">
            <w:pPr>
              <w:adjustRightInd w:val="0"/>
              <w:snapToGrid w:val="0"/>
              <w:jc w:val="center"/>
              <w:rPr>
                <w:rFonts w:asciiTheme="minorEastAsia" w:hAnsiTheme="minorEastAsia" w:cs="Times New Roman"/>
                <w:b/>
                <w:sz w:val="28"/>
                <w:szCs w:val="28"/>
              </w:rPr>
            </w:pPr>
            <w:r w:rsidRPr="000F3526">
              <w:rPr>
                <w:rFonts w:asciiTheme="minorEastAsia" w:hAnsiTheme="minorEastAsia" w:cs="Times New Roman"/>
                <w:b/>
                <w:sz w:val="28"/>
                <w:szCs w:val="28"/>
              </w:rPr>
              <w:t>10,000.00</w:t>
            </w:r>
          </w:p>
        </w:tc>
        <w:tc>
          <w:tcPr>
            <w:tcW w:w="1985" w:type="dxa"/>
            <w:vAlign w:val="center"/>
          </w:tcPr>
          <w:p w:rsidR="000F3526" w:rsidRPr="000F3526" w:rsidRDefault="000F3526" w:rsidP="00F96F1A">
            <w:pPr>
              <w:adjustRightInd w:val="0"/>
              <w:snapToGrid w:val="0"/>
              <w:jc w:val="center"/>
              <w:rPr>
                <w:rFonts w:asciiTheme="minorEastAsia" w:hAnsiTheme="minorEastAsia" w:cs="Times New Roman"/>
                <w:b/>
                <w:sz w:val="28"/>
                <w:szCs w:val="28"/>
              </w:rPr>
            </w:pPr>
            <w:r w:rsidRPr="000F3526">
              <w:rPr>
                <w:rFonts w:asciiTheme="minorEastAsia" w:hAnsiTheme="minorEastAsia" w:cs="Times New Roman"/>
                <w:b/>
                <w:sz w:val="28"/>
                <w:szCs w:val="28"/>
              </w:rPr>
              <w:t>610.00</w:t>
            </w:r>
          </w:p>
        </w:tc>
      </w:tr>
    </w:tbl>
    <w:p w:rsidR="00432F41" w:rsidRPr="000F3526" w:rsidRDefault="00432F41" w:rsidP="00432F41">
      <w:pPr>
        <w:adjustRightInd w:val="0"/>
        <w:snapToGrid w:val="0"/>
        <w:ind w:firstLineChars="250" w:firstLine="600"/>
        <w:rPr>
          <w:rFonts w:ascii="仿宋_GB2312" w:eastAsia="仿宋_GB2312" w:hAnsi="Calibri" w:cs="Times New Roman"/>
          <w:sz w:val="24"/>
          <w:szCs w:val="32"/>
        </w:rPr>
      </w:pPr>
      <w:r w:rsidRPr="000F3526">
        <w:rPr>
          <w:rFonts w:ascii="仿宋_GB2312" w:eastAsia="仿宋_GB2312" w:hAnsi="Calibri" w:cs="Times New Roman" w:hint="eastAsia"/>
          <w:sz w:val="24"/>
          <w:szCs w:val="32"/>
        </w:rPr>
        <w:t>数据来源：理财资产管理系统</w:t>
      </w:r>
      <w:r w:rsidR="001A717C" w:rsidRPr="000F3526">
        <w:rPr>
          <w:rFonts w:ascii="仿宋" w:eastAsia="仿宋" w:hAnsi="仿宋" w:cs="宋体" w:hint="eastAsia"/>
          <w:color w:val="000000"/>
          <w:kern w:val="0"/>
          <w:sz w:val="24"/>
          <w:szCs w:val="24"/>
        </w:rPr>
        <w:t>、兆</w:t>
      </w:r>
      <w:proofErr w:type="gramStart"/>
      <w:r w:rsidR="001A717C" w:rsidRPr="000F3526">
        <w:rPr>
          <w:rFonts w:ascii="仿宋" w:eastAsia="仿宋" w:hAnsi="仿宋" w:cs="宋体" w:hint="eastAsia"/>
          <w:color w:val="000000"/>
          <w:kern w:val="0"/>
          <w:sz w:val="24"/>
          <w:szCs w:val="24"/>
        </w:rPr>
        <w:t>尹</w:t>
      </w:r>
      <w:proofErr w:type="gramEnd"/>
      <w:r w:rsidR="001A717C" w:rsidRPr="000F3526">
        <w:rPr>
          <w:rFonts w:ascii="仿宋" w:eastAsia="仿宋" w:hAnsi="仿宋" w:cs="宋体" w:hint="eastAsia"/>
          <w:color w:val="000000"/>
          <w:kern w:val="0"/>
          <w:sz w:val="24"/>
          <w:szCs w:val="24"/>
        </w:rPr>
        <w:t>系统</w:t>
      </w:r>
    </w:p>
    <w:p w:rsidR="000F3526" w:rsidRDefault="000F3526" w:rsidP="00432F41">
      <w:pPr>
        <w:spacing w:line="520" w:lineRule="exact"/>
        <w:ind w:firstLineChars="200" w:firstLine="643"/>
        <w:rPr>
          <w:rFonts w:ascii="仿宋_GB2312" w:eastAsia="仿宋_GB2312" w:hAnsi="Calibri" w:cs="Times New Roman"/>
          <w:b/>
          <w:sz w:val="32"/>
          <w:szCs w:val="32"/>
        </w:rPr>
      </w:pPr>
    </w:p>
    <w:p w:rsidR="00432F41" w:rsidRPr="00F410A8" w:rsidRDefault="00432F41" w:rsidP="00432F41">
      <w:pPr>
        <w:spacing w:line="520" w:lineRule="exact"/>
        <w:ind w:firstLineChars="200" w:firstLine="643"/>
        <w:rPr>
          <w:rFonts w:ascii="仿宋_GB2312" w:eastAsia="仿宋_GB2312" w:hAnsi="Calibri" w:cs="Times New Roman"/>
          <w:b/>
          <w:sz w:val="32"/>
          <w:szCs w:val="32"/>
        </w:rPr>
      </w:pPr>
      <w:r w:rsidRPr="00F410A8">
        <w:rPr>
          <w:rFonts w:ascii="仿宋_GB2312" w:eastAsia="仿宋_GB2312" w:hAnsi="Calibri" w:cs="Times New Roman" w:hint="eastAsia"/>
          <w:b/>
          <w:sz w:val="32"/>
          <w:szCs w:val="32"/>
        </w:rPr>
        <w:t>2.按</w:t>
      </w:r>
      <w:proofErr w:type="gramStart"/>
      <w:r w:rsidRPr="00F410A8">
        <w:rPr>
          <w:rFonts w:ascii="仿宋_GB2312" w:eastAsia="仿宋_GB2312" w:hAnsi="Calibri" w:cs="Times New Roman" w:hint="eastAsia"/>
          <w:b/>
          <w:sz w:val="32"/>
          <w:szCs w:val="32"/>
        </w:rPr>
        <w:t>投组划分</w:t>
      </w:r>
      <w:proofErr w:type="gramEnd"/>
    </w:p>
    <w:tbl>
      <w:tblPr>
        <w:tblStyle w:val="a3"/>
        <w:tblW w:w="10857" w:type="dxa"/>
        <w:jc w:val="center"/>
        <w:tblInd w:w="-366" w:type="dxa"/>
        <w:tblLayout w:type="fixed"/>
        <w:tblLook w:val="04A0" w:firstRow="1" w:lastRow="0" w:firstColumn="1" w:lastColumn="0" w:noHBand="0" w:noVBand="1"/>
      </w:tblPr>
      <w:tblGrid>
        <w:gridCol w:w="1985"/>
        <w:gridCol w:w="1985"/>
        <w:gridCol w:w="992"/>
        <w:gridCol w:w="1926"/>
        <w:gridCol w:w="1985"/>
        <w:gridCol w:w="1984"/>
      </w:tblGrid>
      <w:tr w:rsidR="00432F41" w:rsidRPr="00F410A8" w:rsidTr="001B5773">
        <w:trPr>
          <w:trHeight w:val="288"/>
          <w:jc w:val="center"/>
        </w:trPr>
        <w:tc>
          <w:tcPr>
            <w:tcW w:w="1985" w:type="dxa"/>
            <w:tcBorders>
              <w:top w:val="nil"/>
              <w:left w:val="nil"/>
              <w:right w:val="nil"/>
            </w:tcBorders>
            <w:noWrap/>
          </w:tcPr>
          <w:p w:rsidR="00432F41" w:rsidRPr="00F410A8" w:rsidRDefault="00432F41" w:rsidP="001B5773">
            <w:pPr>
              <w:widowControl/>
              <w:adjustRightInd w:val="0"/>
              <w:snapToGrid w:val="0"/>
              <w:jc w:val="center"/>
              <w:rPr>
                <w:rFonts w:ascii="宋体" w:eastAsia="宋体" w:hAnsi="宋体" w:cs="宋体"/>
                <w:b/>
                <w:color w:val="000000"/>
                <w:kern w:val="0"/>
                <w:sz w:val="28"/>
              </w:rPr>
            </w:pPr>
          </w:p>
        </w:tc>
        <w:tc>
          <w:tcPr>
            <w:tcW w:w="1985" w:type="dxa"/>
            <w:tcBorders>
              <w:top w:val="nil"/>
              <w:left w:val="nil"/>
              <w:right w:val="nil"/>
            </w:tcBorders>
            <w:noWrap/>
          </w:tcPr>
          <w:p w:rsidR="00432F41" w:rsidRPr="00F410A8" w:rsidRDefault="00432F41" w:rsidP="001B5773">
            <w:pPr>
              <w:widowControl/>
              <w:adjustRightInd w:val="0"/>
              <w:snapToGrid w:val="0"/>
              <w:jc w:val="center"/>
              <w:rPr>
                <w:rFonts w:ascii="宋体" w:eastAsia="宋体" w:hAnsi="宋体" w:cs="宋体"/>
                <w:b/>
                <w:color w:val="000000"/>
                <w:kern w:val="0"/>
                <w:sz w:val="28"/>
              </w:rPr>
            </w:pPr>
          </w:p>
        </w:tc>
        <w:tc>
          <w:tcPr>
            <w:tcW w:w="992" w:type="dxa"/>
            <w:tcBorders>
              <w:top w:val="nil"/>
              <w:left w:val="nil"/>
              <w:right w:val="nil"/>
            </w:tcBorders>
            <w:noWrap/>
          </w:tcPr>
          <w:p w:rsidR="00432F41" w:rsidRPr="00F410A8" w:rsidRDefault="00432F41" w:rsidP="001B5773">
            <w:pPr>
              <w:widowControl/>
              <w:adjustRightInd w:val="0"/>
              <w:snapToGrid w:val="0"/>
              <w:jc w:val="center"/>
              <w:rPr>
                <w:rFonts w:ascii="宋体" w:eastAsia="宋体" w:hAnsi="宋体" w:cs="宋体"/>
                <w:b/>
                <w:color w:val="000000"/>
                <w:kern w:val="0"/>
                <w:sz w:val="28"/>
              </w:rPr>
            </w:pPr>
          </w:p>
        </w:tc>
        <w:tc>
          <w:tcPr>
            <w:tcW w:w="1926" w:type="dxa"/>
            <w:tcBorders>
              <w:top w:val="nil"/>
              <w:left w:val="nil"/>
              <w:right w:val="nil"/>
            </w:tcBorders>
          </w:tcPr>
          <w:p w:rsidR="00432F41" w:rsidRPr="00F410A8" w:rsidRDefault="00432F41" w:rsidP="001B5773">
            <w:pPr>
              <w:widowControl/>
              <w:adjustRightInd w:val="0"/>
              <w:snapToGrid w:val="0"/>
              <w:jc w:val="center"/>
              <w:rPr>
                <w:rFonts w:ascii="宋体" w:eastAsia="宋体" w:hAnsi="宋体" w:cs="宋体"/>
                <w:b/>
                <w:color w:val="000000"/>
                <w:kern w:val="0"/>
                <w:sz w:val="28"/>
              </w:rPr>
            </w:pPr>
          </w:p>
        </w:tc>
        <w:tc>
          <w:tcPr>
            <w:tcW w:w="1985" w:type="dxa"/>
            <w:tcBorders>
              <w:top w:val="nil"/>
              <w:left w:val="nil"/>
              <w:right w:val="nil"/>
            </w:tcBorders>
            <w:noWrap/>
          </w:tcPr>
          <w:p w:rsidR="00432F41" w:rsidRPr="00F410A8" w:rsidRDefault="00432F41" w:rsidP="001B5773">
            <w:pPr>
              <w:widowControl/>
              <w:adjustRightInd w:val="0"/>
              <w:snapToGrid w:val="0"/>
              <w:jc w:val="center"/>
              <w:rPr>
                <w:rFonts w:ascii="宋体" w:eastAsia="宋体" w:hAnsi="宋体" w:cs="宋体"/>
                <w:b/>
                <w:color w:val="000000"/>
                <w:kern w:val="0"/>
                <w:sz w:val="28"/>
              </w:rPr>
            </w:pPr>
          </w:p>
        </w:tc>
        <w:tc>
          <w:tcPr>
            <w:tcW w:w="1984" w:type="dxa"/>
            <w:tcBorders>
              <w:top w:val="nil"/>
              <w:left w:val="nil"/>
              <w:right w:val="nil"/>
            </w:tcBorders>
            <w:noWrap/>
          </w:tcPr>
          <w:p w:rsidR="00432F41" w:rsidRPr="00F410A8" w:rsidRDefault="00432F41" w:rsidP="001B5773">
            <w:pPr>
              <w:widowControl/>
              <w:adjustRightInd w:val="0"/>
              <w:snapToGrid w:val="0"/>
              <w:jc w:val="center"/>
              <w:rPr>
                <w:rFonts w:ascii="宋体" w:eastAsia="宋体" w:hAnsi="宋体" w:cs="宋体"/>
                <w:b/>
                <w:color w:val="000000"/>
                <w:kern w:val="0"/>
                <w:sz w:val="28"/>
              </w:rPr>
            </w:pPr>
            <w:r w:rsidRPr="00F410A8">
              <w:rPr>
                <w:rFonts w:ascii="仿宋_GB2312" w:eastAsia="仿宋_GB2312" w:hAnsi="Calibri" w:cs="Times New Roman" w:hint="eastAsia"/>
                <w:sz w:val="24"/>
                <w:szCs w:val="32"/>
              </w:rPr>
              <w:t>单位：万元</w:t>
            </w:r>
          </w:p>
        </w:tc>
      </w:tr>
      <w:tr w:rsidR="00432F41" w:rsidRPr="00F410A8" w:rsidTr="001B5773">
        <w:trPr>
          <w:trHeight w:val="288"/>
          <w:jc w:val="center"/>
        </w:trPr>
        <w:tc>
          <w:tcPr>
            <w:tcW w:w="1985" w:type="dxa"/>
            <w:noWrap/>
            <w:hideMark/>
          </w:tcPr>
          <w:p w:rsidR="00432F41" w:rsidRPr="00F410A8" w:rsidRDefault="00432F41" w:rsidP="001B5773">
            <w:pPr>
              <w:widowControl/>
              <w:adjustRightInd w:val="0"/>
              <w:snapToGrid w:val="0"/>
              <w:jc w:val="center"/>
              <w:rPr>
                <w:rFonts w:ascii="宋体" w:eastAsia="宋体" w:hAnsi="宋体" w:cs="宋体"/>
                <w:b/>
                <w:color w:val="000000"/>
                <w:kern w:val="0"/>
                <w:sz w:val="28"/>
              </w:rPr>
            </w:pPr>
            <w:proofErr w:type="gramStart"/>
            <w:r w:rsidRPr="00F410A8">
              <w:rPr>
                <w:rFonts w:ascii="宋体" w:eastAsia="宋体" w:hAnsi="宋体" w:cs="宋体" w:hint="eastAsia"/>
                <w:b/>
                <w:color w:val="000000"/>
                <w:kern w:val="0"/>
                <w:sz w:val="28"/>
              </w:rPr>
              <w:t>投组</w:t>
            </w:r>
            <w:proofErr w:type="gramEnd"/>
          </w:p>
        </w:tc>
        <w:tc>
          <w:tcPr>
            <w:tcW w:w="1985" w:type="dxa"/>
            <w:noWrap/>
            <w:hideMark/>
          </w:tcPr>
          <w:p w:rsidR="00432F41" w:rsidRPr="00F410A8" w:rsidRDefault="00432F41" w:rsidP="001B5773">
            <w:pPr>
              <w:widowControl/>
              <w:adjustRightInd w:val="0"/>
              <w:snapToGrid w:val="0"/>
              <w:jc w:val="center"/>
              <w:rPr>
                <w:rFonts w:ascii="宋体" w:eastAsia="宋体" w:hAnsi="宋体" w:cs="宋体"/>
                <w:b/>
                <w:color w:val="000000"/>
                <w:kern w:val="0"/>
                <w:sz w:val="28"/>
              </w:rPr>
            </w:pPr>
            <w:r w:rsidRPr="00F410A8">
              <w:rPr>
                <w:rFonts w:ascii="宋体" w:eastAsia="宋体" w:hAnsi="宋体" w:cs="宋体" w:hint="eastAsia"/>
                <w:b/>
                <w:color w:val="000000"/>
                <w:kern w:val="0"/>
                <w:sz w:val="28"/>
              </w:rPr>
              <w:t>方向</w:t>
            </w:r>
          </w:p>
        </w:tc>
        <w:tc>
          <w:tcPr>
            <w:tcW w:w="992" w:type="dxa"/>
            <w:noWrap/>
            <w:hideMark/>
          </w:tcPr>
          <w:p w:rsidR="00432F41" w:rsidRPr="00F410A8" w:rsidRDefault="00432F41" w:rsidP="001B5773">
            <w:pPr>
              <w:widowControl/>
              <w:adjustRightInd w:val="0"/>
              <w:snapToGrid w:val="0"/>
              <w:jc w:val="center"/>
              <w:rPr>
                <w:rFonts w:ascii="宋体" w:eastAsia="宋体" w:hAnsi="宋体" w:cs="宋体"/>
                <w:b/>
                <w:color w:val="000000"/>
                <w:kern w:val="0"/>
                <w:sz w:val="28"/>
              </w:rPr>
            </w:pPr>
            <w:r w:rsidRPr="00F410A8">
              <w:rPr>
                <w:rFonts w:ascii="宋体" w:eastAsia="宋体" w:hAnsi="宋体" w:cs="宋体" w:hint="eastAsia"/>
                <w:b/>
                <w:color w:val="000000"/>
                <w:kern w:val="0"/>
                <w:sz w:val="28"/>
              </w:rPr>
              <w:t>笔数</w:t>
            </w:r>
          </w:p>
        </w:tc>
        <w:tc>
          <w:tcPr>
            <w:tcW w:w="1926" w:type="dxa"/>
          </w:tcPr>
          <w:p w:rsidR="00432F41" w:rsidRPr="00F410A8" w:rsidRDefault="00432F41" w:rsidP="001B5773">
            <w:pPr>
              <w:widowControl/>
              <w:adjustRightInd w:val="0"/>
              <w:snapToGrid w:val="0"/>
              <w:jc w:val="center"/>
              <w:rPr>
                <w:rFonts w:ascii="宋体" w:eastAsia="宋体" w:hAnsi="宋体" w:cs="宋体"/>
                <w:b/>
                <w:color w:val="000000"/>
                <w:kern w:val="0"/>
                <w:sz w:val="28"/>
              </w:rPr>
            </w:pPr>
            <w:r w:rsidRPr="00F410A8">
              <w:rPr>
                <w:rFonts w:ascii="宋体" w:eastAsia="宋体" w:hAnsi="宋体" w:cs="宋体" w:hint="eastAsia"/>
                <w:b/>
                <w:color w:val="000000"/>
                <w:kern w:val="0"/>
                <w:sz w:val="28"/>
              </w:rPr>
              <w:t>金额</w:t>
            </w:r>
          </w:p>
        </w:tc>
        <w:tc>
          <w:tcPr>
            <w:tcW w:w="1985" w:type="dxa"/>
            <w:noWrap/>
            <w:hideMark/>
          </w:tcPr>
          <w:p w:rsidR="00432F41" w:rsidRPr="00F410A8" w:rsidRDefault="00432F41" w:rsidP="001B5773">
            <w:pPr>
              <w:widowControl/>
              <w:adjustRightInd w:val="0"/>
              <w:snapToGrid w:val="0"/>
              <w:jc w:val="center"/>
              <w:rPr>
                <w:rFonts w:ascii="宋体" w:eastAsia="宋体" w:hAnsi="宋体" w:cs="宋体"/>
                <w:b/>
                <w:color w:val="000000"/>
                <w:kern w:val="0"/>
                <w:sz w:val="28"/>
              </w:rPr>
            </w:pPr>
            <w:r w:rsidRPr="00F410A8">
              <w:rPr>
                <w:rFonts w:ascii="宋体" w:eastAsia="宋体" w:hAnsi="宋体" w:cs="宋体" w:hint="eastAsia"/>
                <w:b/>
                <w:color w:val="000000"/>
                <w:kern w:val="0"/>
                <w:sz w:val="28"/>
              </w:rPr>
              <w:t>最大单笔金额</w:t>
            </w:r>
          </w:p>
        </w:tc>
        <w:tc>
          <w:tcPr>
            <w:tcW w:w="1984" w:type="dxa"/>
            <w:noWrap/>
            <w:hideMark/>
          </w:tcPr>
          <w:p w:rsidR="00432F41" w:rsidRPr="00F410A8" w:rsidRDefault="00432F41" w:rsidP="001B5773">
            <w:pPr>
              <w:widowControl/>
              <w:adjustRightInd w:val="0"/>
              <w:snapToGrid w:val="0"/>
              <w:jc w:val="center"/>
              <w:rPr>
                <w:rFonts w:ascii="宋体" w:eastAsia="宋体" w:hAnsi="宋体" w:cs="宋体"/>
                <w:b/>
                <w:color w:val="000000"/>
                <w:kern w:val="0"/>
                <w:sz w:val="28"/>
              </w:rPr>
            </w:pPr>
            <w:r w:rsidRPr="00F410A8">
              <w:rPr>
                <w:rFonts w:ascii="宋体" w:eastAsia="宋体" w:hAnsi="宋体" w:cs="宋体" w:hint="eastAsia"/>
                <w:b/>
                <w:color w:val="000000"/>
                <w:kern w:val="0"/>
                <w:sz w:val="28"/>
              </w:rPr>
              <w:t>最小单笔金额</w:t>
            </w:r>
          </w:p>
        </w:tc>
      </w:tr>
      <w:tr w:rsidR="000F3526" w:rsidRPr="00F410A8" w:rsidTr="001B5773">
        <w:trPr>
          <w:trHeight w:val="288"/>
          <w:jc w:val="center"/>
        </w:trPr>
        <w:tc>
          <w:tcPr>
            <w:tcW w:w="1985" w:type="dxa"/>
            <w:noWrap/>
            <w:vAlign w:val="center"/>
          </w:tcPr>
          <w:p w:rsidR="000F3526" w:rsidRPr="00F410A8" w:rsidRDefault="000F3526" w:rsidP="00725154">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丰登周周发180天理财计划</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roofErr w:type="gramStart"/>
            <w:r w:rsidRPr="00F410A8">
              <w:rPr>
                <w:rFonts w:asciiTheme="minorEastAsia" w:hAnsiTheme="minorEastAsia" w:cs="Times New Roman" w:hint="eastAsia"/>
                <w:sz w:val="28"/>
                <w:szCs w:val="28"/>
              </w:rPr>
              <w:t>质押式正回购</w:t>
            </w:r>
            <w:proofErr w:type="gramEnd"/>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w:t>
            </w: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1,900.00</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1,900.00</w:t>
            </w: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1,900.00</w:t>
            </w:r>
          </w:p>
        </w:tc>
      </w:tr>
      <w:tr w:rsidR="000F3526" w:rsidRPr="00F410A8" w:rsidTr="001B5773">
        <w:trPr>
          <w:trHeight w:val="288"/>
          <w:jc w:val="center"/>
        </w:trPr>
        <w:tc>
          <w:tcPr>
            <w:tcW w:w="1985" w:type="dxa"/>
            <w:noWrap/>
            <w:vAlign w:val="center"/>
          </w:tcPr>
          <w:p w:rsidR="000F3526" w:rsidRPr="00F410A8" w:rsidRDefault="000F3526" w:rsidP="00725154">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丰登周周发180天理财计划</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现券买入</w:t>
            </w: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w:t>
            </w: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5,106.39</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5,106.39</w:t>
            </w: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5,106.39</w:t>
            </w:r>
          </w:p>
        </w:tc>
      </w:tr>
      <w:tr w:rsidR="000F3526" w:rsidRPr="00F410A8" w:rsidTr="001B5773">
        <w:trPr>
          <w:trHeight w:val="288"/>
          <w:jc w:val="center"/>
        </w:trPr>
        <w:tc>
          <w:tcPr>
            <w:tcW w:w="1985" w:type="dxa"/>
            <w:noWrap/>
            <w:vAlign w:val="center"/>
          </w:tcPr>
          <w:p w:rsidR="000F3526" w:rsidRPr="00F410A8" w:rsidRDefault="000F3526" w:rsidP="00725154">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丰登周周发90天理财计划</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现券卖出</w:t>
            </w: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w:t>
            </w: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1,997.98</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1,997.98</w:t>
            </w: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1,997.98</w:t>
            </w:r>
          </w:p>
        </w:tc>
      </w:tr>
      <w:tr w:rsidR="000F3526" w:rsidRPr="00F410A8" w:rsidTr="001B5773">
        <w:trPr>
          <w:trHeight w:val="288"/>
          <w:jc w:val="center"/>
        </w:trPr>
        <w:tc>
          <w:tcPr>
            <w:tcW w:w="1985" w:type="dxa"/>
            <w:noWrap/>
            <w:vAlign w:val="center"/>
          </w:tcPr>
          <w:p w:rsidR="000F3526" w:rsidRPr="00F410A8" w:rsidRDefault="000F3526" w:rsidP="00725154">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丰登周周发90天理财计划</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roofErr w:type="gramStart"/>
            <w:r w:rsidRPr="00F410A8">
              <w:rPr>
                <w:rFonts w:asciiTheme="minorEastAsia" w:hAnsiTheme="minorEastAsia" w:cs="Times New Roman" w:hint="eastAsia"/>
                <w:sz w:val="28"/>
                <w:szCs w:val="28"/>
              </w:rPr>
              <w:t>质押式正回购</w:t>
            </w:r>
            <w:proofErr w:type="gramEnd"/>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2</w:t>
            </w: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8,075.00</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5,035.00</w:t>
            </w: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3,040.00</w:t>
            </w:r>
          </w:p>
        </w:tc>
      </w:tr>
      <w:tr w:rsidR="000F3526" w:rsidRPr="00F410A8" w:rsidTr="001B5773">
        <w:trPr>
          <w:trHeight w:val="288"/>
          <w:jc w:val="center"/>
        </w:trPr>
        <w:tc>
          <w:tcPr>
            <w:tcW w:w="1985" w:type="dxa"/>
            <w:noWrap/>
            <w:vAlign w:val="center"/>
          </w:tcPr>
          <w:p w:rsidR="000F3526" w:rsidRPr="00F410A8" w:rsidRDefault="000F3526" w:rsidP="00725154">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丰登周周发90天理财计划</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现券买入</w:t>
            </w: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2</w:t>
            </w: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10,097.64</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5,106.39</w:t>
            </w: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4,991.25</w:t>
            </w:r>
          </w:p>
        </w:tc>
      </w:tr>
      <w:tr w:rsidR="000F3526" w:rsidRPr="00F410A8" w:rsidTr="001B5773">
        <w:trPr>
          <w:trHeight w:val="288"/>
          <w:jc w:val="center"/>
        </w:trPr>
        <w:tc>
          <w:tcPr>
            <w:tcW w:w="1985" w:type="dxa"/>
            <w:noWrap/>
            <w:vAlign w:val="center"/>
          </w:tcPr>
          <w:p w:rsidR="000F3526" w:rsidRPr="00F410A8" w:rsidRDefault="000F3526" w:rsidP="00725154">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丰沃12号一年定开债券投资理财计划</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现券买入</w:t>
            </w: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2</w:t>
            </w: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3,228.55</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2,101.56</w:t>
            </w: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1,126.99</w:t>
            </w:r>
          </w:p>
        </w:tc>
      </w:tr>
      <w:tr w:rsidR="000F3526" w:rsidRPr="00F410A8" w:rsidTr="001B5773">
        <w:trPr>
          <w:trHeight w:val="288"/>
          <w:jc w:val="center"/>
        </w:trPr>
        <w:tc>
          <w:tcPr>
            <w:tcW w:w="1985" w:type="dxa"/>
            <w:noWrap/>
            <w:vAlign w:val="center"/>
          </w:tcPr>
          <w:p w:rsidR="000F3526" w:rsidRPr="00F410A8" w:rsidRDefault="000F3526" w:rsidP="00725154">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丰沃12号一年定开债券投资理财计划</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质押式逆回购</w:t>
            </w: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3</w:t>
            </w: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14,350.00</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8,200.00</w:t>
            </w: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1,650.00</w:t>
            </w:r>
          </w:p>
        </w:tc>
      </w:tr>
      <w:tr w:rsidR="000F3526" w:rsidRPr="00F410A8" w:rsidTr="001B5773">
        <w:trPr>
          <w:trHeight w:val="288"/>
          <w:jc w:val="center"/>
        </w:trPr>
        <w:tc>
          <w:tcPr>
            <w:tcW w:w="1985" w:type="dxa"/>
            <w:noWrap/>
            <w:vAlign w:val="center"/>
          </w:tcPr>
          <w:p w:rsidR="000F3526" w:rsidRPr="00F410A8" w:rsidRDefault="000F3526" w:rsidP="00725154">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丰沃8号一年定开债券投资理财计划</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质押式逆回购</w:t>
            </w: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w:t>
            </w: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610.00</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610.00</w:t>
            </w: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610.00</w:t>
            </w:r>
          </w:p>
        </w:tc>
      </w:tr>
      <w:tr w:rsidR="000F3526" w:rsidRPr="00F410A8" w:rsidTr="001B5773">
        <w:trPr>
          <w:trHeight w:val="288"/>
          <w:jc w:val="center"/>
        </w:trPr>
        <w:tc>
          <w:tcPr>
            <w:tcW w:w="1985" w:type="dxa"/>
            <w:noWrap/>
            <w:vAlign w:val="center"/>
          </w:tcPr>
          <w:p w:rsidR="000F3526" w:rsidRPr="00F410A8" w:rsidRDefault="000F3526" w:rsidP="00725154">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丰沃9号一年定开债券投资理财计划</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质押式逆回购</w:t>
            </w: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2</w:t>
            </w: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6,200.00</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3,100.00</w:t>
            </w: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3,100.00</w:t>
            </w:r>
          </w:p>
        </w:tc>
      </w:tr>
      <w:tr w:rsidR="000F3526" w:rsidRPr="00F410A8" w:rsidTr="001B5773">
        <w:trPr>
          <w:trHeight w:val="288"/>
          <w:jc w:val="center"/>
        </w:trPr>
        <w:tc>
          <w:tcPr>
            <w:tcW w:w="1985" w:type="dxa"/>
            <w:noWrap/>
            <w:vAlign w:val="center"/>
          </w:tcPr>
          <w:p w:rsidR="000F3526" w:rsidRPr="00F410A8" w:rsidRDefault="000F3526" w:rsidP="00725154">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丰沃三年15号A2-按季分红</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现券买入</w:t>
            </w: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w:t>
            </w: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1,037.28</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1,037.28</w:t>
            </w: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1,037.28</w:t>
            </w:r>
          </w:p>
        </w:tc>
      </w:tr>
      <w:tr w:rsidR="000F3526" w:rsidRPr="00F410A8" w:rsidTr="001B5773">
        <w:trPr>
          <w:trHeight w:val="288"/>
          <w:jc w:val="center"/>
        </w:trPr>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lastRenderedPageBreak/>
              <w:t>丰盈专属</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现券卖出</w:t>
            </w: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2</w:t>
            </w: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3,228.55</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2,101.56</w:t>
            </w: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1,126.99</w:t>
            </w:r>
          </w:p>
        </w:tc>
      </w:tr>
      <w:tr w:rsidR="000F3526" w:rsidRPr="00F410A8" w:rsidTr="001B5773">
        <w:trPr>
          <w:trHeight w:val="288"/>
          <w:jc w:val="center"/>
        </w:trPr>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丰盈专属</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质押式逆回购</w:t>
            </w: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5</w:t>
            </w: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33,382.00</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10,000.00</w:t>
            </w: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3,136.00</w:t>
            </w:r>
          </w:p>
        </w:tc>
      </w:tr>
      <w:tr w:rsidR="000F3526" w:rsidRPr="00F410A8" w:rsidTr="001B5773">
        <w:trPr>
          <w:trHeight w:val="288"/>
          <w:jc w:val="center"/>
        </w:trPr>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丰裕</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现券买入</w:t>
            </w: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3</w:t>
            </w: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14,484.98</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5,186.40</w:t>
            </w: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4,149.12</w:t>
            </w:r>
          </w:p>
        </w:tc>
      </w:tr>
      <w:tr w:rsidR="000F3526" w:rsidRPr="00F410A8" w:rsidTr="001B5773">
        <w:trPr>
          <w:trHeight w:val="288"/>
          <w:jc w:val="center"/>
        </w:trPr>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丰裕</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质押式逆回购</w:t>
            </w: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w:t>
            </w: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9,180.00</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9,180.00</w:t>
            </w: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9,180.00</w:t>
            </w:r>
          </w:p>
        </w:tc>
      </w:tr>
      <w:tr w:rsidR="000F3526" w:rsidRPr="00F410A8" w:rsidTr="001B5773">
        <w:trPr>
          <w:trHeight w:val="288"/>
          <w:jc w:val="center"/>
        </w:trPr>
        <w:tc>
          <w:tcPr>
            <w:tcW w:w="1985" w:type="dxa"/>
            <w:noWrap/>
            <w:vAlign w:val="center"/>
          </w:tcPr>
          <w:p w:rsidR="000F3526" w:rsidRPr="00F410A8" w:rsidRDefault="000F3526" w:rsidP="00725154">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厦门农商银行-丰登债券投资理财计划</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roofErr w:type="gramStart"/>
            <w:r w:rsidRPr="00F410A8">
              <w:rPr>
                <w:rFonts w:asciiTheme="minorEastAsia" w:hAnsiTheme="minorEastAsia" w:cs="Times New Roman" w:hint="eastAsia"/>
                <w:sz w:val="28"/>
                <w:szCs w:val="28"/>
              </w:rPr>
              <w:t>质押式正回购</w:t>
            </w:r>
            <w:proofErr w:type="gramEnd"/>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w:t>
            </w: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4,559.00</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4,559.00</w:t>
            </w: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4,559.00</w:t>
            </w:r>
          </w:p>
        </w:tc>
      </w:tr>
      <w:tr w:rsidR="000F3526" w:rsidRPr="00F410A8" w:rsidTr="001B5773">
        <w:trPr>
          <w:trHeight w:val="288"/>
          <w:jc w:val="center"/>
        </w:trPr>
        <w:tc>
          <w:tcPr>
            <w:tcW w:w="1985" w:type="dxa"/>
            <w:noWrap/>
            <w:vAlign w:val="center"/>
          </w:tcPr>
          <w:p w:rsidR="000F3526" w:rsidRPr="00F410A8" w:rsidRDefault="000F3526" w:rsidP="00725154">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厦门农商银行-丰登债券投资理财计划</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质押式逆回购</w:t>
            </w: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2</w:t>
            </w: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20,000.00</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10,000.00</w:t>
            </w: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10,000.00</w:t>
            </w:r>
          </w:p>
        </w:tc>
      </w:tr>
      <w:tr w:rsidR="000F3526" w:rsidRPr="00F410A8" w:rsidTr="001B5773">
        <w:trPr>
          <w:trHeight w:val="288"/>
          <w:jc w:val="center"/>
        </w:trPr>
        <w:tc>
          <w:tcPr>
            <w:tcW w:w="1985" w:type="dxa"/>
            <w:noWrap/>
            <w:vAlign w:val="center"/>
          </w:tcPr>
          <w:p w:rsidR="000F3526" w:rsidRPr="00F410A8" w:rsidRDefault="000F3526" w:rsidP="00670C22">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丰裕</w:t>
            </w:r>
          </w:p>
        </w:tc>
        <w:tc>
          <w:tcPr>
            <w:tcW w:w="1985" w:type="dxa"/>
            <w:noWrap/>
            <w:vAlign w:val="center"/>
          </w:tcPr>
          <w:p w:rsidR="000F3526" w:rsidRPr="00F410A8" w:rsidRDefault="000F3526" w:rsidP="000F3526">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ETF买入</w:t>
            </w:r>
          </w:p>
        </w:tc>
        <w:tc>
          <w:tcPr>
            <w:tcW w:w="992" w:type="dxa"/>
            <w:noWrap/>
            <w:vAlign w:val="center"/>
          </w:tcPr>
          <w:p w:rsidR="000F3526" w:rsidRPr="00F410A8" w:rsidRDefault="000F3526" w:rsidP="000F3526">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w:t>
            </w:r>
          </w:p>
        </w:tc>
        <w:tc>
          <w:tcPr>
            <w:tcW w:w="1926" w:type="dxa"/>
            <w:vAlign w:val="center"/>
          </w:tcPr>
          <w:p w:rsidR="000F3526" w:rsidRPr="00F410A8" w:rsidRDefault="000F3526" w:rsidP="000F3526">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5,917.86</w:t>
            </w:r>
          </w:p>
        </w:tc>
        <w:tc>
          <w:tcPr>
            <w:tcW w:w="1985" w:type="dxa"/>
            <w:noWrap/>
            <w:vAlign w:val="center"/>
          </w:tcPr>
          <w:p w:rsidR="000F3526" w:rsidRPr="00F410A8" w:rsidRDefault="000F3526" w:rsidP="000F3526">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5,917.86</w:t>
            </w:r>
          </w:p>
        </w:tc>
        <w:tc>
          <w:tcPr>
            <w:tcW w:w="1984" w:type="dxa"/>
            <w:noWrap/>
            <w:vAlign w:val="center"/>
          </w:tcPr>
          <w:p w:rsidR="000F3526" w:rsidRPr="00F410A8" w:rsidRDefault="000F3526" w:rsidP="000F3526">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5,917.86</w:t>
            </w:r>
          </w:p>
        </w:tc>
      </w:tr>
      <w:tr w:rsidR="000F3526" w:rsidRPr="00F410A8" w:rsidTr="001B5773">
        <w:trPr>
          <w:trHeight w:val="288"/>
          <w:jc w:val="center"/>
        </w:trPr>
        <w:tc>
          <w:tcPr>
            <w:tcW w:w="1985" w:type="dxa"/>
            <w:noWrap/>
            <w:vAlign w:val="center"/>
          </w:tcPr>
          <w:p w:rsidR="000F3526" w:rsidRPr="00F410A8" w:rsidRDefault="000F3526" w:rsidP="00670C22">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丰裕</w:t>
            </w:r>
          </w:p>
        </w:tc>
        <w:tc>
          <w:tcPr>
            <w:tcW w:w="1985" w:type="dxa"/>
            <w:noWrap/>
            <w:vAlign w:val="center"/>
          </w:tcPr>
          <w:p w:rsidR="000F3526" w:rsidRPr="00F410A8" w:rsidRDefault="000F3526" w:rsidP="000F3526">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ETF卖出</w:t>
            </w:r>
          </w:p>
        </w:tc>
        <w:tc>
          <w:tcPr>
            <w:tcW w:w="992" w:type="dxa"/>
            <w:noWrap/>
            <w:vAlign w:val="center"/>
          </w:tcPr>
          <w:p w:rsidR="000F3526" w:rsidRPr="00F410A8" w:rsidRDefault="000F3526" w:rsidP="000F3526">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5</w:t>
            </w:r>
          </w:p>
        </w:tc>
        <w:tc>
          <w:tcPr>
            <w:tcW w:w="1926" w:type="dxa"/>
            <w:vAlign w:val="center"/>
          </w:tcPr>
          <w:p w:rsidR="000F3526" w:rsidRPr="00F410A8" w:rsidRDefault="000F3526" w:rsidP="000F3526">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18,778.46</w:t>
            </w:r>
          </w:p>
        </w:tc>
        <w:tc>
          <w:tcPr>
            <w:tcW w:w="1985" w:type="dxa"/>
            <w:noWrap/>
            <w:vAlign w:val="center"/>
          </w:tcPr>
          <w:p w:rsidR="000F3526" w:rsidRPr="00F410A8" w:rsidRDefault="000F3526" w:rsidP="000F3526">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sz w:val="28"/>
                <w:szCs w:val="28"/>
              </w:rPr>
              <w:t>5,917</w:t>
            </w:r>
            <w:r w:rsidRPr="00F410A8">
              <w:rPr>
                <w:rFonts w:asciiTheme="minorEastAsia" w:hAnsiTheme="minorEastAsia" w:cs="Times New Roman" w:hint="eastAsia"/>
                <w:sz w:val="28"/>
                <w:szCs w:val="28"/>
              </w:rPr>
              <w:t>.</w:t>
            </w:r>
            <w:r w:rsidRPr="00F410A8">
              <w:rPr>
                <w:rFonts w:asciiTheme="minorEastAsia" w:hAnsiTheme="minorEastAsia" w:cs="Times New Roman"/>
                <w:sz w:val="28"/>
                <w:szCs w:val="28"/>
              </w:rPr>
              <w:t>89</w:t>
            </w:r>
          </w:p>
        </w:tc>
        <w:tc>
          <w:tcPr>
            <w:tcW w:w="1984" w:type="dxa"/>
            <w:noWrap/>
            <w:vAlign w:val="center"/>
          </w:tcPr>
          <w:p w:rsidR="000F3526" w:rsidRPr="00F410A8" w:rsidRDefault="000F3526" w:rsidP="000F3526">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sz w:val="28"/>
                <w:szCs w:val="28"/>
              </w:rPr>
              <w:t>2,881</w:t>
            </w:r>
            <w:r w:rsidRPr="00F410A8">
              <w:rPr>
                <w:rFonts w:asciiTheme="minorEastAsia" w:hAnsiTheme="minorEastAsia" w:cs="Times New Roman" w:hint="eastAsia"/>
                <w:sz w:val="28"/>
                <w:szCs w:val="28"/>
              </w:rPr>
              <w:t>.</w:t>
            </w:r>
            <w:r w:rsidRPr="00F410A8">
              <w:rPr>
                <w:rFonts w:asciiTheme="minorEastAsia" w:hAnsiTheme="minorEastAsia" w:cs="Times New Roman"/>
                <w:sz w:val="28"/>
                <w:szCs w:val="28"/>
              </w:rPr>
              <w:t>89</w:t>
            </w:r>
          </w:p>
        </w:tc>
      </w:tr>
      <w:tr w:rsidR="000F3526" w:rsidRPr="00F410A8" w:rsidTr="009F2B69">
        <w:trPr>
          <w:trHeight w:val="288"/>
          <w:jc w:val="center"/>
        </w:trPr>
        <w:tc>
          <w:tcPr>
            <w:tcW w:w="3970" w:type="dxa"/>
            <w:gridSpan w:val="2"/>
            <w:noWrap/>
            <w:vAlign w:val="center"/>
          </w:tcPr>
          <w:p w:rsidR="000F3526" w:rsidRPr="00F410A8" w:rsidRDefault="000F3526" w:rsidP="00374C02">
            <w:pPr>
              <w:adjustRightInd w:val="0"/>
              <w:snapToGrid w:val="0"/>
              <w:jc w:val="center"/>
              <w:rPr>
                <w:rFonts w:asciiTheme="minorEastAsia" w:hAnsiTheme="minorEastAsia" w:cs="Times New Roman"/>
                <w:b/>
                <w:sz w:val="28"/>
                <w:szCs w:val="28"/>
              </w:rPr>
            </w:pPr>
            <w:r w:rsidRPr="00F410A8">
              <w:rPr>
                <w:rFonts w:asciiTheme="minorEastAsia" w:hAnsiTheme="minorEastAsia" w:cs="Times New Roman" w:hint="eastAsia"/>
                <w:b/>
                <w:sz w:val="28"/>
                <w:szCs w:val="28"/>
              </w:rPr>
              <w:t>合计</w:t>
            </w:r>
          </w:p>
        </w:tc>
        <w:tc>
          <w:tcPr>
            <w:tcW w:w="992" w:type="dxa"/>
            <w:noWrap/>
            <w:vAlign w:val="center"/>
          </w:tcPr>
          <w:p w:rsidR="000F3526" w:rsidRPr="00F410A8" w:rsidRDefault="000F3526" w:rsidP="000F3526">
            <w:pPr>
              <w:adjustRightInd w:val="0"/>
              <w:snapToGrid w:val="0"/>
              <w:jc w:val="center"/>
              <w:rPr>
                <w:rFonts w:asciiTheme="minorEastAsia" w:hAnsiTheme="minorEastAsia" w:cs="Times New Roman"/>
                <w:b/>
                <w:sz w:val="28"/>
                <w:szCs w:val="28"/>
              </w:rPr>
            </w:pPr>
            <w:r w:rsidRPr="00F410A8">
              <w:rPr>
                <w:rFonts w:asciiTheme="minorEastAsia" w:hAnsiTheme="minorEastAsia" w:cs="Times New Roman" w:hint="eastAsia"/>
                <w:b/>
                <w:sz w:val="28"/>
                <w:szCs w:val="28"/>
              </w:rPr>
              <w:t>36</w:t>
            </w:r>
          </w:p>
        </w:tc>
        <w:tc>
          <w:tcPr>
            <w:tcW w:w="1926" w:type="dxa"/>
            <w:vAlign w:val="center"/>
          </w:tcPr>
          <w:p w:rsidR="000F3526" w:rsidRPr="00F410A8" w:rsidRDefault="000F3526" w:rsidP="000F3526">
            <w:pPr>
              <w:adjustRightInd w:val="0"/>
              <w:snapToGrid w:val="0"/>
              <w:jc w:val="center"/>
              <w:rPr>
                <w:rFonts w:asciiTheme="minorEastAsia" w:hAnsiTheme="minorEastAsia" w:cs="Times New Roman"/>
                <w:b/>
                <w:sz w:val="28"/>
                <w:szCs w:val="28"/>
              </w:rPr>
            </w:pPr>
            <w:r w:rsidRPr="00F410A8">
              <w:rPr>
                <w:rFonts w:asciiTheme="minorEastAsia" w:hAnsiTheme="minorEastAsia" w:cs="Times New Roman" w:hint="eastAsia"/>
                <w:b/>
                <w:sz w:val="28"/>
                <w:szCs w:val="28"/>
              </w:rPr>
              <w:t>162,133.69</w:t>
            </w:r>
          </w:p>
        </w:tc>
        <w:tc>
          <w:tcPr>
            <w:tcW w:w="1985" w:type="dxa"/>
            <w:noWrap/>
            <w:vAlign w:val="center"/>
          </w:tcPr>
          <w:p w:rsidR="000F3526" w:rsidRPr="00F410A8" w:rsidRDefault="000F3526" w:rsidP="000F3526">
            <w:pPr>
              <w:adjustRightInd w:val="0"/>
              <w:snapToGrid w:val="0"/>
              <w:jc w:val="center"/>
              <w:rPr>
                <w:rFonts w:asciiTheme="minorEastAsia" w:hAnsiTheme="minorEastAsia" w:cs="Times New Roman"/>
                <w:b/>
                <w:sz w:val="28"/>
                <w:szCs w:val="28"/>
              </w:rPr>
            </w:pPr>
            <w:r w:rsidRPr="00F410A8">
              <w:rPr>
                <w:rFonts w:asciiTheme="minorEastAsia" w:hAnsiTheme="minorEastAsia" w:cs="Times New Roman"/>
                <w:b/>
                <w:sz w:val="28"/>
                <w:szCs w:val="28"/>
              </w:rPr>
              <w:t>10,000.00</w:t>
            </w:r>
          </w:p>
        </w:tc>
        <w:tc>
          <w:tcPr>
            <w:tcW w:w="1984" w:type="dxa"/>
            <w:noWrap/>
            <w:vAlign w:val="center"/>
          </w:tcPr>
          <w:p w:rsidR="000F3526" w:rsidRPr="00F410A8" w:rsidRDefault="000F3526" w:rsidP="000F3526">
            <w:pPr>
              <w:adjustRightInd w:val="0"/>
              <w:snapToGrid w:val="0"/>
              <w:jc w:val="center"/>
              <w:rPr>
                <w:rFonts w:asciiTheme="minorEastAsia" w:hAnsiTheme="minorEastAsia" w:cs="Times New Roman"/>
                <w:b/>
                <w:sz w:val="28"/>
                <w:szCs w:val="28"/>
              </w:rPr>
            </w:pPr>
            <w:r w:rsidRPr="00F410A8">
              <w:rPr>
                <w:rFonts w:asciiTheme="minorEastAsia" w:hAnsiTheme="minorEastAsia" w:cs="Times New Roman"/>
                <w:b/>
                <w:sz w:val="28"/>
                <w:szCs w:val="28"/>
              </w:rPr>
              <w:t>610.00</w:t>
            </w:r>
          </w:p>
        </w:tc>
      </w:tr>
    </w:tbl>
    <w:p w:rsidR="00432F41" w:rsidRPr="00F410A8" w:rsidRDefault="00432F41" w:rsidP="00432F41">
      <w:pPr>
        <w:adjustRightInd w:val="0"/>
        <w:snapToGrid w:val="0"/>
        <w:ind w:firstLineChars="250" w:firstLine="600"/>
        <w:rPr>
          <w:rFonts w:ascii="仿宋_GB2312" w:eastAsia="仿宋_GB2312" w:hAnsi="Calibri" w:cs="Times New Roman"/>
          <w:sz w:val="24"/>
          <w:szCs w:val="32"/>
        </w:rPr>
      </w:pPr>
      <w:r w:rsidRPr="00F410A8">
        <w:rPr>
          <w:rFonts w:ascii="仿宋_GB2312" w:eastAsia="仿宋_GB2312" w:hAnsi="Calibri" w:cs="Times New Roman" w:hint="eastAsia"/>
          <w:sz w:val="24"/>
          <w:szCs w:val="32"/>
        </w:rPr>
        <w:t>数据来源：理财资产管理系统</w:t>
      </w:r>
      <w:r w:rsidR="001A717C" w:rsidRPr="00F410A8">
        <w:rPr>
          <w:rFonts w:ascii="仿宋" w:eastAsia="仿宋" w:hAnsi="仿宋" w:cs="宋体" w:hint="eastAsia"/>
          <w:color w:val="000000"/>
          <w:kern w:val="0"/>
          <w:sz w:val="24"/>
          <w:szCs w:val="24"/>
        </w:rPr>
        <w:t>、兆</w:t>
      </w:r>
      <w:proofErr w:type="gramStart"/>
      <w:r w:rsidR="001A717C" w:rsidRPr="00F410A8">
        <w:rPr>
          <w:rFonts w:ascii="仿宋" w:eastAsia="仿宋" w:hAnsi="仿宋" w:cs="宋体" w:hint="eastAsia"/>
          <w:color w:val="000000"/>
          <w:kern w:val="0"/>
          <w:sz w:val="24"/>
          <w:szCs w:val="24"/>
        </w:rPr>
        <w:t>尹</w:t>
      </w:r>
      <w:proofErr w:type="gramEnd"/>
      <w:r w:rsidR="001A717C" w:rsidRPr="00F410A8">
        <w:rPr>
          <w:rFonts w:ascii="仿宋" w:eastAsia="仿宋" w:hAnsi="仿宋" w:cs="宋体" w:hint="eastAsia"/>
          <w:color w:val="000000"/>
          <w:kern w:val="0"/>
          <w:sz w:val="24"/>
          <w:szCs w:val="24"/>
        </w:rPr>
        <w:t>系统</w:t>
      </w:r>
    </w:p>
    <w:p w:rsidR="00EE2B2D" w:rsidRPr="00542893" w:rsidRDefault="002E58C4" w:rsidP="00F42EAF">
      <w:pPr>
        <w:spacing w:line="600" w:lineRule="exact"/>
        <w:ind w:firstLineChars="200" w:firstLine="643"/>
        <w:rPr>
          <w:rFonts w:ascii="仿宋_GB2312" w:eastAsia="仿宋_GB2312" w:hAnsi="Calibri" w:cs="Times New Roman"/>
          <w:b/>
          <w:sz w:val="32"/>
          <w:szCs w:val="32"/>
        </w:rPr>
      </w:pPr>
      <w:r w:rsidRPr="00542893">
        <w:rPr>
          <w:rFonts w:ascii="仿宋_GB2312" w:eastAsia="仿宋_GB2312" w:hAnsi="Calibri" w:cs="Times New Roman" w:hint="eastAsia"/>
          <w:b/>
          <w:sz w:val="32"/>
          <w:szCs w:val="32"/>
        </w:rPr>
        <w:t>（四）</w:t>
      </w:r>
      <w:r w:rsidR="00EE2B2D" w:rsidRPr="00542893">
        <w:rPr>
          <w:rFonts w:ascii="仿宋_GB2312" w:eastAsia="仿宋_GB2312" w:hAnsi="Calibri" w:cs="Times New Roman" w:hint="eastAsia"/>
          <w:b/>
          <w:sz w:val="32"/>
          <w:szCs w:val="32"/>
        </w:rPr>
        <w:t>交易对手</w:t>
      </w:r>
    </w:p>
    <w:tbl>
      <w:tblPr>
        <w:tblStyle w:val="a3"/>
        <w:tblW w:w="11157" w:type="dxa"/>
        <w:jc w:val="center"/>
        <w:tblInd w:w="-61" w:type="dxa"/>
        <w:tblLayout w:type="fixed"/>
        <w:tblLook w:val="04A0" w:firstRow="1" w:lastRow="0" w:firstColumn="1" w:lastColumn="0" w:noHBand="0" w:noVBand="1"/>
      </w:tblPr>
      <w:tblGrid>
        <w:gridCol w:w="1673"/>
        <w:gridCol w:w="851"/>
        <w:gridCol w:w="850"/>
        <w:gridCol w:w="906"/>
        <w:gridCol w:w="498"/>
        <w:gridCol w:w="851"/>
        <w:gridCol w:w="850"/>
        <w:gridCol w:w="851"/>
        <w:gridCol w:w="850"/>
        <w:gridCol w:w="851"/>
        <w:gridCol w:w="425"/>
        <w:gridCol w:w="851"/>
        <w:gridCol w:w="850"/>
      </w:tblGrid>
      <w:tr w:rsidR="009C1DC5" w:rsidRPr="00542893" w:rsidTr="00BA4191">
        <w:trPr>
          <w:trHeight w:val="270"/>
          <w:jc w:val="center"/>
        </w:trPr>
        <w:tc>
          <w:tcPr>
            <w:tcW w:w="1673" w:type="dxa"/>
            <w:tcBorders>
              <w:top w:val="nil"/>
              <w:left w:val="nil"/>
              <w:right w:val="nil"/>
            </w:tcBorders>
            <w:noWrap/>
          </w:tcPr>
          <w:p w:rsidR="009C1DC5" w:rsidRPr="00542893" w:rsidRDefault="009C1DC5" w:rsidP="00EE52A0">
            <w:pPr>
              <w:widowControl/>
              <w:jc w:val="left"/>
              <w:rPr>
                <w:rFonts w:ascii="宋体" w:eastAsia="宋体" w:hAnsi="宋体" w:cs="宋体"/>
                <w:color w:val="000000"/>
                <w:kern w:val="0"/>
                <w:sz w:val="22"/>
              </w:rPr>
            </w:pPr>
          </w:p>
        </w:tc>
        <w:tc>
          <w:tcPr>
            <w:tcW w:w="851" w:type="dxa"/>
            <w:tcBorders>
              <w:top w:val="nil"/>
              <w:left w:val="nil"/>
              <w:right w:val="nil"/>
            </w:tcBorders>
            <w:noWrap/>
          </w:tcPr>
          <w:p w:rsidR="009C1DC5" w:rsidRPr="00542893" w:rsidRDefault="009C1DC5" w:rsidP="00EE52A0">
            <w:pPr>
              <w:widowControl/>
              <w:jc w:val="left"/>
              <w:rPr>
                <w:rFonts w:ascii="宋体" w:eastAsia="宋体" w:hAnsi="宋体" w:cs="宋体"/>
                <w:color w:val="000000"/>
                <w:kern w:val="0"/>
                <w:sz w:val="22"/>
              </w:rPr>
            </w:pPr>
          </w:p>
        </w:tc>
        <w:tc>
          <w:tcPr>
            <w:tcW w:w="850" w:type="dxa"/>
            <w:tcBorders>
              <w:top w:val="nil"/>
              <w:left w:val="nil"/>
              <w:right w:val="nil"/>
            </w:tcBorders>
            <w:noWrap/>
          </w:tcPr>
          <w:p w:rsidR="009C1DC5" w:rsidRPr="00542893" w:rsidRDefault="009C1DC5" w:rsidP="00EE52A0">
            <w:pPr>
              <w:widowControl/>
              <w:jc w:val="left"/>
              <w:rPr>
                <w:rFonts w:ascii="宋体" w:eastAsia="宋体" w:hAnsi="宋体" w:cs="宋体"/>
                <w:color w:val="000000"/>
                <w:kern w:val="0"/>
                <w:sz w:val="22"/>
              </w:rPr>
            </w:pPr>
          </w:p>
        </w:tc>
        <w:tc>
          <w:tcPr>
            <w:tcW w:w="906" w:type="dxa"/>
            <w:tcBorders>
              <w:top w:val="nil"/>
              <w:left w:val="nil"/>
              <w:right w:val="nil"/>
            </w:tcBorders>
            <w:noWrap/>
          </w:tcPr>
          <w:p w:rsidR="009C1DC5" w:rsidRPr="00542893" w:rsidRDefault="009C1DC5" w:rsidP="00EE52A0">
            <w:pPr>
              <w:widowControl/>
              <w:jc w:val="right"/>
              <w:rPr>
                <w:rFonts w:ascii="宋体" w:eastAsia="宋体" w:hAnsi="宋体" w:cs="宋体"/>
                <w:color w:val="000000"/>
                <w:kern w:val="0"/>
                <w:sz w:val="22"/>
              </w:rPr>
            </w:pPr>
          </w:p>
        </w:tc>
        <w:tc>
          <w:tcPr>
            <w:tcW w:w="6877" w:type="dxa"/>
            <w:gridSpan w:val="9"/>
            <w:tcBorders>
              <w:top w:val="nil"/>
              <w:left w:val="nil"/>
              <w:right w:val="nil"/>
            </w:tcBorders>
            <w:noWrap/>
          </w:tcPr>
          <w:p w:rsidR="009C1DC5" w:rsidRPr="00542893" w:rsidRDefault="009C1DC5" w:rsidP="00EE52A0">
            <w:pPr>
              <w:widowControl/>
              <w:jc w:val="right"/>
              <w:rPr>
                <w:rFonts w:ascii="仿宋" w:eastAsia="仿宋" w:hAnsi="仿宋" w:cs="宋体"/>
                <w:color w:val="000000"/>
                <w:kern w:val="0"/>
                <w:sz w:val="24"/>
                <w:szCs w:val="24"/>
              </w:rPr>
            </w:pPr>
            <w:r w:rsidRPr="00542893">
              <w:rPr>
                <w:rFonts w:ascii="仿宋" w:eastAsia="仿宋" w:hAnsi="仿宋" w:cs="宋体" w:hint="eastAsia"/>
                <w:color w:val="000000"/>
                <w:kern w:val="0"/>
                <w:sz w:val="24"/>
                <w:szCs w:val="24"/>
              </w:rPr>
              <w:t>单位：亿元</w:t>
            </w:r>
          </w:p>
        </w:tc>
      </w:tr>
      <w:tr w:rsidR="00524327" w:rsidRPr="00E13056" w:rsidTr="00BA4191">
        <w:trPr>
          <w:trHeight w:val="270"/>
          <w:jc w:val="center"/>
        </w:trPr>
        <w:tc>
          <w:tcPr>
            <w:tcW w:w="1673" w:type="dxa"/>
            <w:noWrap/>
            <w:vAlign w:val="center"/>
          </w:tcPr>
          <w:p w:rsidR="009C1DC5" w:rsidRPr="00542893" w:rsidRDefault="009C1DC5" w:rsidP="00524327">
            <w:pPr>
              <w:widowControl/>
              <w:adjustRightInd w:val="0"/>
              <w:snapToGrid w:val="0"/>
              <w:jc w:val="center"/>
              <w:rPr>
                <w:rFonts w:asciiTheme="minorEastAsia" w:hAnsiTheme="minorEastAsia" w:cs="宋体"/>
                <w:b/>
                <w:color w:val="000000"/>
                <w:kern w:val="0"/>
                <w:sz w:val="28"/>
                <w:szCs w:val="28"/>
              </w:rPr>
            </w:pPr>
            <w:r w:rsidRPr="00542893">
              <w:rPr>
                <w:rFonts w:asciiTheme="minorEastAsia" w:hAnsiTheme="minorEastAsia" w:cs="宋体" w:hint="eastAsia"/>
                <w:b/>
                <w:color w:val="000000"/>
                <w:kern w:val="0"/>
                <w:sz w:val="28"/>
                <w:szCs w:val="28"/>
              </w:rPr>
              <w:t>交易对手</w:t>
            </w:r>
          </w:p>
        </w:tc>
        <w:tc>
          <w:tcPr>
            <w:tcW w:w="851" w:type="dxa"/>
            <w:noWrap/>
            <w:vAlign w:val="center"/>
          </w:tcPr>
          <w:p w:rsidR="009C1DC5" w:rsidRPr="00542893" w:rsidRDefault="009C1DC5" w:rsidP="00524327">
            <w:pPr>
              <w:widowControl/>
              <w:adjustRightInd w:val="0"/>
              <w:snapToGrid w:val="0"/>
              <w:jc w:val="center"/>
              <w:rPr>
                <w:rFonts w:asciiTheme="minorEastAsia" w:hAnsiTheme="minorEastAsia" w:cs="宋体"/>
                <w:b/>
                <w:color w:val="000000"/>
                <w:kern w:val="0"/>
                <w:sz w:val="28"/>
                <w:szCs w:val="28"/>
              </w:rPr>
            </w:pPr>
            <w:r w:rsidRPr="00542893">
              <w:rPr>
                <w:rFonts w:asciiTheme="minorEastAsia" w:hAnsiTheme="minorEastAsia" w:cs="宋体" w:hint="eastAsia"/>
                <w:b/>
                <w:color w:val="000000"/>
                <w:kern w:val="0"/>
                <w:sz w:val="28"/>
                <w:szCs w:val="28"/>
              </w:rPr>
              <w:t>方向</w:t>
            </w:r>
          </w:p>
        </w:tc>
        <w:tc>
          <w:tcPr>
            <w:tcW w:w="850" w:type="dxa"/>
            <w:noWrap/>
            <w:vAlign w:val="center"/>
          </w:tcPr>
          <w:p w:rsidR="009C1DC5" w:rsidRPr="00542893" w:rsidRDefault="009C1DC5" w:rsidP="00524327">
            <w:pPr>
              <w:widowControl/>
              <w:adjustRightInd w:val="0"/>
              <w:snapToGrid w:val="0"/>
              <w:jc w:val="center"/>
              <w:rPr>
                <w:rFonts w:asciiTheme="minorEastAsia" w:hAnsiTheme="minorEastAsia" w:cs="宋体"/>
                <w:b/>
                <w:color w:val="000000"/>
                <w:kern w:val="0"/>
                <w:sz w:val="28"/>
                <w:szCs w:val="28"/>
              </w:rPr>
            </w:pPr>
            <w:r w:rsidRPr="00542893">
              <w:rPr>
                <w:rFonts w:asciiTheme="minorEastAsia" w:hAnsiTheme="minorEastAsia" w:cs="宋体" w:hint="eastAsia"/>
                <w:b/>
                <w:color w:val="000000"/>
                <w:kern w:val="0"/>
                <w:sz w:val="28"/>
                <w:szCs w:val="28"/>
              </w:rPr>
              <w:t>部门</w:t>
            </w:r>
          </w:p>
        </w:tc>
        <w:tc>
          <w:tcPr>
            <w:tcW w:w="906" w:type="dxa"/>
            <w:noWrap/>
            <w:vAlign w:val="center"/>
          </w:tcPr>
          <w:p w:rsidR="009C1DC5" w:rsidRPr="00542893" w:rsidRDefault="009C1DC5" w:rsidP="00524327">
            <w:pPr>
              <w:widowControl/>
              <w:adjustRightInd w:val="0"/>
              <w:snapToGrid w:val="0"/>
              <w:jc w:val="center"/>
              <w:rPr>
                <w:rFonts w:asciiTheme="minorEastAsia" w:hAnsiTheme="minorEastAsia" w:cs="宋体"/>
                <w:b/>
                <w:color w:val="000000"/>
                <w:kern w:val="0"/>
                <w:sz w:val="28"/>
                <w:szCs w:val="28"/>
              </w:rPr>
            </w:pPr>
            <w:r w:rsidRPr="00542893">
              <w:rPr>
                <w:rFonts w:asciiTheme="minorEastAsia" w:hAnsiTheme="minorEastAsia" w:cs="宋体" w:hint="eastAsia"/>
                <w:b/>
                <w:color w:val="000000"/>
                <w:kern w:val="0"/>
                <w:sz w:val="28"/>
                <w:szCs w:val="28"/>
              </w:rPr>
              <w:t>金额</w:t>
            </w:r>
          </w:p>
        </w:tc>
        <w:tc>
          <w:tcPr>
            <w:tcW w:w="498" w:type="dxa"/>
            <w:noWrap/>
            <w:vAlign w:val="center"/>
          </w:tcPr>
          <w:p w:rsidR="009C1DC5" w:rsidRPr="00542893" w:rsidRDefault="009C1DC5" w:rsidP="00524327">
            <w:pPr>
              <w:widowControl/>
              <w:adjustRightInd w:val="0"/>
              <w:snapToGrid w:val="0"/>
              <w:jc w:val="center"/>
              <w:rPr>
                <w:rFonts w:asciiTheme="minorEastAsia" w:hAnsiTheme="minorEastAsia" w:cs="宋体"/>
                <w:b/>
                <w:color w:val="000000"/>
                <w:kern w:val="0"/>
                <w:sz w:val="28"/>
                <w:szCs w:val="28"/>
              </w:rPr>
            </w:pPr>
            <w:r w:rsidRPr="00542893">
              <w:rPr>
                <w:rFonts w:asciiTheme="minorEastAsia" w:hAnsiTheme="minorEastAsia" w:cs="宋体" w:hint="eastAsia"/>
                <w:b/>
                <w:color w:val="000000"/>
                <w:kern w:val="0"/>
                <w:sz w:val="28"/>
                <w:szCs w:val="28"/>
              </w:rPr>
              <w:t>笔数</w:t>
            </w:r>
          </w:p>
        </w:tc>
        <w:tc>
          <w:tcPr>
            <w:tcW w:w="851" w:type="dxa"/>
            <w:noWrap/>
            <w:vAlign w:val="center"/>
          </w:tcPr>
          <w:p w:rsidR="009C1DC5" w:rsidRPr="00542893" w:rsidRDefault="009C1DC5" w:rsidP="00524327">
            <w:pPr>
              <w:widowControl/>
              <w:adjustRightInd w:val="0"/>
              <w:snapToGrid w:val="0"/>
              <w:jc w:val="center"/>
              <w:rPr>
                <w:rFonts w:asciiTheme="minorEastAsia" w:hAnsiTheme="minorEastAsia" w:cs="宋体"/>
                <w:b/>
                <w:color w:val="000000"/>
                <w:kern w:val="0"/>
                <w:sz w:val="28"/>
                <w:szCs w:val="28"/>
              </w:rPr>
            </w:pPr>
            <w:r w:rsidRPr="00542893">
              <w:rPr>
                <w:rFonts w:asciiTheme="minorEastAsia" w:hAnsiTheme="minorEastAsia" w:cs="宋体" w:hint="eastAsia"/>
                <w:b/>
                <w:color w:val="000000"/>
                <w:kern w:val="0"/>
                <w:sz w:val="28"/>
                <w:szCs w:val="28"/>
              </w:rPr>
              <w:t>最大单笔</w:t>
            </w:r>
          </w:p>
        </w:tc>
        <w:tc>
          <w:tcPr>
            <w:tcW w:w="850" w:type="dxa"/>
            <w:noWrap/>
            <w:vAlign w:val="center"/>
          </w:tcPr>
          <w:p w:rsidR="009C1DC5" w:rsidRPr="00542893" w:rsidRDefault="009C1DC5" w:rsidP="00524327">
            <w:pPr>
              <w:widowControl/>
              <w:adjustRightInd w:val="0"/>
              <w:snapToGrid w:val="0"/>
              <w:jc w:val="center"/>
              <w:rPr>
                <w:rFonts w:asciiTheme="minorEastAsia" w:hAnsiTheme="minorEastAsia" w:cs="宋体"/>
                <w:b/>
                <w:color w:val="000000"/>
                <w:kern w:val="0"/>
                <w:sz w:val="28"/>
                <w:szCs w:val="28"/>
              </w:rPr>
            </w:pPr>
            <w:r w:rsidRPr="00542893">
              <w:rPr>
                <w:rFonts w:asciiTheme="minorEastAsia" w:hAnsiTheme="minorEastAsia" w:cs="宋体" w:hint="eastAsia"/>
                <w:b/>
                <w:color w:val="000000"/>
                <w:kern w:val="0"/>
                <w:sz w:val="28"/>
                <w:szCs w:val="28"/>
              </w:rPr>
              <w:t>最小单笔</w:t>
            </w:r>
          </w:p>
        </w:tc>
        <w:tc>
          <w:tcPr>
            <w:tcW w:w="851" w:type="dxa"/>
            <w:vAlign w:val="center"/>
          </w:tcPr>
          <w:p w:rsidR="009C1DC5" w:rsidRPr="00542893" w:rsidRDefault="009C1DC5" w:rsidP="00524327">
            <w:pPr>
              <w:widowControl/>
              <w:adjustRightInd w:val="0"/>
              <w:snapToGrid w:val="0"/>
              <w:jc w:val="center"/>
              <w:rPr>
                <w:rFonts w:asciiTheme="minorEastAsia" w:hAnsiTheme="minorEastAsia" w:cs="宋体"/>
                <w:b/>
                <w:color w:val="000000"/>
                <w:kern w:val="0"/>
                <w:sz w:val="28"/>
                <w:szCs w:val="28"/>
              </w:rPr>
            </w:pPr>
            <w:r w:rsidRPr="00542893">
              <w:rPr>
                <w:rFonts w:asciiTheme="minorEastAsia" w:hAnsiTheme="minorEastAsia" w:cs="宋体" w:hint="eastAsia"/>
                <w:b/>
                <w:color w:val="000000"/>
                <w:kern w:val="0"/>
                <w:sz w:val="28"/>
                <w:szCs w:val="28"/>
              </w:rPr>
              <w:t>方向</w:t>
            </w:r>
          </w:p>
        </w:tc>
        <w:tc>
          <w:tcPr>
            <w:tcW w:w="850" w:type="dxa"/>
            <w:vAlign w:val="center"/>
          </w:tcPr>
          <w:p w:rsidR="009C1DC5" w:rsidRPr="00542893" w:rsidRDefault="009C1DC5" w:rsidP="00524327">
            <w:pPr>
              <w:widowControl/>
              <w:adjustRightInd w:val="0"/>
              <w:snapToGrid w:val="0"/>
              <w:jc w:val="center"/>
              <w:rPr>
                <w:rFonts w:asciiTheme="minorEastAsia" w:hAnsiTheme="minorEastAsia" w:cs="宋体"/>
                <w:b/>
                <w:color w:val="000000"/>
                <w:kern w:val="0"/>
                <w:sz w:val="28"/>
                <w:szCs w:val="28"/>
              </w:rPr>
            </w:pPr>
            <w:r w:rsidRPr="00542893">
              <w:rPr>
                <w:rFonts w:asciiTheme="minorEastAsia" w:hAnsiTheme="minorEastAsia" w:cs="宋体" w:hint="eastAsia"/>
                <w:b/>
                <w:color w:val="000000"/>
                <w:kern w:val="0"/>
                <w:sz w:val="28"/>
                <w:szCs w:val="28"/>
              </w:rPr>
              <w:t>部门</w:t>
            </w:r>
          </w:p>
        </w:tc>
        <w:tc>
          <w:tcPr>
            <w:tcW w:w="851" w:type="dxa"/>
            <w:vAlign w:val="center"/>
          </w:tcPr>
          <w:p w:rsidR="009C1DC5" w:rsidRPr="00542893" w:rsidRDefault="009C1DC5" w:rsidP="00524327">
            <w:pPr>
              <w:widowControl/>
              <w:adjustRightInd w:val="0"/>
              <w:snapToGrid w:val="0"/>
              <w:jc w:val="center"/>
              <w:rPr>
                <w:rFonts w:asciiTheme="minorEastAsia" w:hAnsiTheme="minorEastAsia" w:cs="宋体"/>
                <w:b/>
                <w:color w:val="000000"/>
                <w:kern w:val="0"/>
                <w:sz w:val="28"/>
                <w:szCs w:val="28"/>
              </w:rPr>
            </w:pPr>
            <w:r w:rsidRPr="00542893">
              <w:rPr>
                <w:rFonts w:asciiTheme="minorEastAsia" w:hAnsiTheme="minorEastAsia" w:cs="宋体" w:hint="eastAsia"/>
                <w:b/>
                <w:color w:val="000000"/>
                <w:kern w:val="0"/>
                <w:sz w:val="28"/>
                <w:szCs w:val="28"/>
              </w:rPr>
              <w:t>金额</w:t>
            </w:r>
          </w:p>
        </w:tc>
        <w:tc>
          <w:tcPr>
            <w:tcW w:w="425" w:type="dxa"/>
            <w:vAlign w:val="center"/>
          </w:tcPr>
          <w:p w:rsidR="009C1DC5" w:rsidRPr="00542893" w:rsidRDefault="009C1DC5" w:rsidP="00524327">
            <w:pPr>
              <w:widowControl/>
              <w:adjustRightInd w:val="0"/>
              <w:snapToGrid w:val="0"/>
              <w:jc w:val="center"/>
              <w:rPr>
                <w:rFonts w:asciiTheme="minorEastAsia" w:hAnsiTheme="minorEastAsia" w:cs="宋体"/>
                <w:b/>
                <w:color w:val="000000"/>
                <w:kern w:val="0"/>
                <w:sz w:val="28"/>
                <w:szCs w:val="28"/>
              </w:rPr>
            </w:pPr>
            <w:r w:rsidRPr="00542893">
              <w:rPr>
                <w:rFonts w:asciiTheme="minorEastAsia" w:hAnsiTheme="minorEastAsia" w:cs="宋体" w:hint="eastAsia"/>
                <w:b/>
                <w:color w:val="000000"/>
                <w:kern w:val="0"/>
                <w:sz w:val="28"/>
                <w:szCs w:val="28"/>
              </w:rPr>
              <w:t>笔数</w:t>
            </w:r>
          </w:p>
        </w:tc>
        <w:tc>
          <w:tcPr>
            <w:tcW w:w="851" w:type="dxa"/>
            <w:vAlign w:val="center"/>
          </w:tcPr>
          <w:p w:rsidR="009C1DC5" w:rsidRPr="00542893" w:rsidRDefault="009C1DC5" w:rsidP="00524327">
            <w:pPr>
              <w:widowControl/>
              <w:adjustRightInd w:val="0"/>
              <w:snapToGrid w:val="0"/>
              <w:jc w:val="center"/>
              <w:rPr>
                <w:rFonts w:asciiTheme="minorEastAsia" w:hAnsiTheme="minorEastAsia" w:cs="宋体"/>
                <w:b/>
                <w:color w:val="000000"/>
                <w:kern w:val="0"/>
                <w:sz w:val="28"/>
                <w:szCs w:val="28"/>
              </w:rPr>
            </w:pPr>
            <w:r w:rsidRPr="00542893">
              <w:rPr>
                <w:rFonts w:asciiTheme="minorEastAsia" w:hAnsiTheme="minorEastAsia" w:cs="宋体" w:hint="eastAsia"/>
                <w:b/>
                <w:color w:val="000000"/>
                <w:kern w:val="0"/>
                <w:sz w:val="28"/>
                <w:szCs w:val="28"/>
              </w:rPr>
              <w:t>最大单笔</w:t>
            </w:r>
          </w:p>
        </w:tc>
        <w:tc>
          <w:tcPr>
            <w:tcW w:w="850" w:type="dxa"/>
            <w:vAlign w:val="center"/>
          </w:tcPr>
          <w:p w:rsidR="009C1DC5" w:rsidRPr="00542893" w:rsidRDefault="009C1DC5" w:rsidP="00524327">
            <w:pPr>
              <w:widowControl/>
              <w:adjustRightInd w:val="0"/>
              <w:snapToGrid w:val="0"/>
              <w:jc w:val="center"/>
              <w:rPr>
                <w:rFonts w:asciiTheme="minorEastAsia" w:hAnsiTheme="minorEastAsia" w:cs="宋体"/>
                <w:b/>
                <w:color w:val="000000"/>
                <w:kern w:val="0"/>
                <w:sz w:val="28"/>
                <w:szCs w:val="28"/>
              </w:rPr>
            </w:pPr>
            <w:r w:rsidRPr="00542893">
              <w:rPr>
                <w:rFonts w:asciiTheme="minorEastAsia" w:hAnsiTheme="minorEastAsia" w:cs="宋体" w:hint="eastAsia"/>
                <w:b/>
                <w:color w:val="000000"/>
                <w:kern w:val="0"/>
                <w:sz w:val="28"/>
                <w:szCs w:val="28"/>
              </w:rPr>
              <w:t>最小单笔</w:t>
            </w:r>
          </w:p>
        </w:tc>
      </w:tr>
      <w:tr w:rsidR="00542893" w:rsidRPr="00E13056" w:rsidTr="00BA4191">
        <w:trPr>
          <w:trHeight w:val="270"/>
          <w:jc w:val="center"/>
        </w:trPr>
        <w:tc>
          <w:tcPr>
            <w:tcW w:w="1673"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roofErr w:type="gramStart"/>
            <w:r w:rsidRPr="00542893">
              <w:rPr>
                <w:rFonts w:asciiTheme="minorEastAsia" w:hAnsiTheme="minorEastAsia" w:cs="Times New Roman" w:hint="eastAsia"/>
                <w:sz w:val="28"/>
                <w:szCs w:val="28"/>
              </w:rPr>
              <w:t>创金合信鼎泰</w:t>
            </w:r>
            <w:proofErr w:type="gramEnd"/>
            <w:r w:rsidRPr="00542893">
              <w:rPr>
                <w:rFonts w:asciiTheme="minorEastAsia" w:hAnsiTheme="minorEastAsia" w:cs="Times New Roman" w:hint="eastAsia"/>
                <w:sz w:val="28"/>
                <w:szCs w:val="28"/>
              </w:rPr>
              <w:t>65号集合资产管理计划</w:t>
            </w: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906"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98"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正回购</w:t>
            </w: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理财业务</w:t>
            </w: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0.30</w:t>
            </w:r>
          </w:p>
        </w:tc>
        <w:tc>
          <w:tcPr>
            <w:tcW w:w="425"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1</w:t>
            </w: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0.30</w:t>
            </w: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0.30</w:t>
            </w:r>
          </w:p>
        </w:tc>
      </w:tr>
      <w:tr w:rsidR="00542893" w:rsidRPr="00E13056" w:rsidTr="00BA4191">
        <w:trPr>
          <w:trHeight w:val="270"/>
          <w:jc w:val="center"/>
        </w:trPr>
        <w:tc>
          <w:tcPr>
            <w:tcW w:w="1673"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第一创业证券</w:t>
            </w: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逆回购</w:t>
            </w: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同业线上</w:t>
            </w:r>
          </w:p>
        </w:tc>
        <w:tc>
          <w:tcPr>
            <w:tcW w:w="906"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3.92</w:t>
            </w:r>
          </w:p>
        </w:tc>
        <w:tc>
          <w:tcPr>
            <w:tcW w:w="498"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2</w:t>
            </w: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1.96</w:t>
            </w: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1.96</w:t>
            </w: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25"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r>
      <w:tr w:rsidR="00542893" w:rsidRPr="00E13056" w:rsidTr="00BA4191">
        <w:trPr>
          <w:trHeight w:val="270"/>
          <w:jc w:val="center"/>
        </w:trPr>
        <w:tc>
          <w:tcPr>
            <w:tcW w:w="1673"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集友银行福州</w:t>
            </w: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逆回购</w:t>
            </w: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同业线上</w:t>
            </w:r>
          </w:p>
        </w:tc>
        <w:tc>
          <w:tcPr>
            <w:tcW w:w="906"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2.00</w:t>
            </w:r>
          </w:p>
        </w:tc>
        <w:tc>
          <w:tcPr>
            <w:tcW w:w="498"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1</w:t>
            </w: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2.00</w:t>
            </w: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2.00</w:t>
            </w: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25"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r>
      <w:tr w:rsidR="00542893" w:rsidRPr="00E13056" w:rsidTr="00BA4191">
        <w:trPr>
          <w:trHeight w:val="270"/>
          <w:jc w:val="center"/>
        </w:trPr>
        <w:tc>
          <w:tcPr>
            <w:tcW w:w="1673"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绵阳市商业银行</w:t>
            </w: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逆回购</w:t>
            </w: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理财业务</w:t>
            </w:r>
          </w:p>
        </w:tc>
        <w:tc>
          <w:tcPr>
            <w:tcW w:w="906"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0.63</w:t>
            </w:r>
          </w:p>
        </w:tc>
        <w:tc>
          <w:tcPr>
            <w:tcW w:w="498"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2</w:t>
            </w: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0.31</w:t>
            </w: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0.31</w:t>
            </w: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正回购</w:t>
            </w: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理财业务</w:t>
            </w: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0.46</w:t>
            </w:r>
          </w:p>
        </w:tc>
        <w:tc>
          <w:tcPr>
            <w:tcW w:w="425"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1</w:t>
            </w: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0.46</w:t>
            </w: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0.46</w:t>
            </w:r>
          </w:p>
        </w:tc>
      </w:tr>
      <w:tr w:rsidR="00542893" w:rsidRPr="00E13056" w:rsidTr="00BA4191">
        <w:trPr>
          <w:trHeight w:val="270"/>
          <w:jc w:val="center"/>
        </w:trPr>
        <w:tc>
          <w:tcPr>
            <w:tcW w:w="1673"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roofErr w:type="gramStart"/>
            <w:r w:rsidRPr="00542893">
              <w:rPr>
                <w:rFonts w:asciiTheme="minorEastAsia" w:hAnsiTheme="minorEastAsia" w:cs="Times New Roman" w:hint="eastAsia"/>
                <w:sz w:val="28"/>
                <w:szCs w:val="28"/>
              </w:rPr>
              <w:t>瓯</w:t>
            </w:r>
            <w:proofErr w:type="gramEnd"/>
            <w:r w:rsidRPr="00542893">
              <w:rPr>
                <w:rFonts w:asciiTheme="minorEastAsia" w:hAnsiTheme="minorEastAsia" w:cs="Times New Roman" w:hint="eastAsia"/>
                <w:sz w:val="28"/>
                <w:szCs w:val="28"/>
              </w:rPr>
              <w:t>海农商行</w:t>
            </w: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逆回购</w:t>
            </w: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同业线上</w:t>
            </w:r>
          </w:p>
        </w:tc>
        <w:tc>
          <w:tcPr>
            <w:tcW w:w="906"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1.90</w:t>
            </w:r>
          </w:p>
        </w:tc>
        <w:tc>
          <w:tcPr>
            <w:tcW w:w="498"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1</w:t>
            </w: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1.90</w:t>
            </w: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1.90</w:t>
            </w: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25"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r>
      <w:tr w:rsidR="00542893" w:rsidRPr="00E13056" w:rsidTr="00BA4191">
        <w:trPr>
          <w:trHeight w:val="270"/>
          <w:jc w:val="center"/>
        </w:trPr>
        <w:tc>
          <w:tcPr>
            <w:tcW w:w="1673"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融通</w:t>
            </w:r>
            <w:proofErr w:type="gramStart"/>
            <w:r w:rsidRPr="00542893">
              <w:rPr>
                <w:rFonts w:asciiTheme="minorEastAsia" w:hAnsiTheme="minorEastAsia" w:cs="Times New Roman" w:hint="eastAsia"/>
                <w:sz w:val="28"/>
                <w:szCs w:val="28"/>
              </w:rPr>
              <w:t>易支付</w:t>
            </w:r>
            <w:proofErr w:type="gramEnd"/>
            <w:r w:rsidRPr="00542893">
              <w:rPr>
                <w:rFonts w:asciiTheme="minorEastAsia" w:hAnsiTheme="minorEastAsia" w:cs="Times New Roman" w:hint="eastAsia"/>
                <w:sz w:val="28"/>
                <w:szCs w:val="28"/>
              </w:rPr>
              <w:t>货币市场证券投资基金</w:t>
            </w: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906"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98"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正回购</w:t>
            </w: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理财业务</w:t>
            </w: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0.69</w:t>
            </w:r>
          </w:p>
        </w:tc>
        <w:tc>
          <w:tcPr>
            <w:tcW w:w="425"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2</w:t>
            </w: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0.50</w:t>
            </w: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0.19</w:t>
            </w:r>
          </w:p>
        </w:tc>
      </w:tr>
      <w:tr w:rsidR="00542893" w:rsidRPr="00E13056" w:rsidTr="00BA4191">
        <w:trPr>
          <w:trHeight w:val="270"/>
          <w:jc w:val="center"/>
        </w:trPr>
        <w:tc>
          <w:tcPr>
            <w:tcW w:w="1673"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瑞丰银行</w:t>
            </w: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906"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98"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正回购</w:t>
            </w: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同业线上</w:t>
            </w: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3.00</w:t>
            </w:r>
          </w:p>
        </w:tc>
        <w:tc>
          <w:tcPr>
            <w:tcW w:w="425"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2</w:t>
            </w: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2.00</w:t>
            </w: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1.00</w:t>
            </w:r>
          </w:p>
        </w:tc>
      </w:tr>
      <w:tr w:rsidR="00542893" w:rsidRPr="00E13056" w:rsidTr="00BA4191">
        <w:trPr>
          <w:trHeight w:val="270"/>
          <w:jc w:val="center"/>
        </w:trPr>
        <w:tc>
          <w:tcPr>
            <w:tcW w:w="1673"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山西榆次农商行</w:t>
            </w: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906"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98"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正回购</w:t>
            </w: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同业线上</w:t>
            </w: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1.00</w:t>
            </w:r>
          </w:p>
        </w:tc>
        <w:tc>
          <w:tcPr>
            <w:tcW w:w="425"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1</w:t>
            </w: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1.00</w:t>
            </w: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1.00</w:t>
            </w:r>
          </w:p>
        </w:tc>
      </w:tr>
      <w:tr w:rsidR="00542893" w:rsidRPr="00E13056" w:rsidTr="00BA4191">
        <w:trPr>
          <w:trHeight w:val="270"/>
          <w:jc w:val="center"/>
        </w:trPr>
        <w:tc>
          <w:tcPr>
            <w:tcW w:w="1673"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lastRenderedPageBreak/>
              <w:t>山西证券股份有限公</w:t>
            </w: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现券买入</w:t>
            </w: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理财业务</w:t>
            </w:r>
          </w:p>
        </w:tc>
        <w:tc>
          <w:tcPr>
            <w:tcW w:w="906"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0.10</w:t>
            </w:r>
          </w:p>
        </w:tc>
        <w:tc>
          <w:tcPr>
            <w:tcW w:w="498"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1</w:t>
            </w: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0.10</w:t>
            </w: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0.10</w:t>
            </w: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25"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r>
      <w:tr w:rsidR="00542893" w:rsidRPr="00E13056" w:rsidTr="00BA4191">
        <w:trPr>
          <w:trHeight w:val="270"/>
          <w:jc w:val="center"/>
        </w:trPr>
        <w:tc>
          <w:tcPr>
            <w:tcW w:w="1673"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上海证券</w:t>
            </w: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逆回购</w:t>
            </w: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同业线上</w:t>
            </w:r>
          </w:p>
        </w:tc>
        <w:tc>
          <w:tcPr>
            <w:tcW w:w="906"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2.00</w:t>
            </w:r>
          </w:p>
        </w:tc>
        <w:tc>
          <w:tcPr>
            <w:tcW w:w="498"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1</w:t>
            </w: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2.00</w:t>
            </w: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2.00</w:t>
            </w: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25"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r>
      <w:tr w:rsidR="00542893" w:rsidRPr="00E13056" w:rsidTr="00BA4191">
        <w:trPr>
          <w:trHeight w:val="270"/>
          <w:jc w:val="center"/>
        </w:trPr>
        <w:tc>
          <w:tcPr>
            <w:tcW w:w="1673"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萧山农商银行</w:t>
            </w: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逆回购</w:t>
            </w: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同业线上</w:t>
            </w:r>
          </w:p>
        </w:tc>
        <w:tc>
          <w:tcPr>
            <w:tcW w:w="906"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2.95</w:t>
            </w:r>
          </w:p>
        </w:tc>
        <w:tc>
          <w:tcPr>
            <w:tcW w:w="498"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1</w:t>
            </w: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2.95</w:t>
            </w: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2.95</w:t>
            </w: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25"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r>
      <w:tr w:rsidR="00542893" w:rsidRPr="00E13056" w:rsidTr="00BA4191">
        <w:trPr>
          <w:trHeight w:val="270"/>
          <w:jc w:val="center"/>
        </w:trPr>
        <w:tc>
          <w:tcPr>
            <w:tcW w:w="1673"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银河证券</w:t>
            </w: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逆回购</w:t>
            </w: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同业线上</w:t>
            </w:r>
          </w:p>
        </w:tc>
        <w:tc>
          <w:tcPr>
            <w:tcW w:w="906"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19.98</w:t>
            </w:r>
          </w:p>
        </w:tc>
        <w:tc>
          <w:tcPr>
            <w:tcW w:w="498"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4</w:t>
            </w: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5.00</w:t>
            </w: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4.99</w:t>
            </w: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25"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r>
      <w:tr w:rsidR="00542893" w:rsidRPr="00E13056" w:rsidTr="00BA4191">
        <w:trPr>
          <w:trHeight w:val="270"/>
          <w:jc w:val="center"/>
        </w:trPr>
        <w:tc>
          <w:tcPr>
            <w:tcW w:w="11157" w:type="dxa"/>
            <w:gridSpan w:val="13"/>
            <w:tcBorders>
              <w:left w:val="nil"/>
              <w:bottom w:val="nil"/>
              <w:right w:val="nil"/>
            </w:tcBorders>
            <w:noWrap/>
            <w:vAlign w:val="center"/>
          </w:tcPr>
          <w:p w:rsidR="00542893" w:rsidRPr="00542893" w:rsidRDefault="00542893" w:rsidP="00524327">
            <w:pPr>
              <w:widowControl/>
              <w:rPr>
                <w:rFonts w:ascii="宋体" w:eastAsia="宋体" w:hAnsi="宋体" w:cs="宋体"/>
                <w:color w:val="000000"/>
                <w:kern w:val="0"/>
                <w:sz w:val="22"/>
              </w:rPr>
            </w:pPr>
            <w:r w:rsidRPr="00542893">
              <w:rPr>
                <w:rFonts w:ascii="仿宋" w:eastAsia="仿宋" w:hAnsi="仿宋" w:cs="宋体" w:hint="eastAsia"/>
                <w:color w:val="000000"/>
                <w:kern w:val="0"/>
                <w:sz w:val="24"/>
                <w:szCs w:val="24"/>
              </w:rPr>
              <w:t>数据来源：COMSTAR系统、资金业务管理系统、理财资产管理系统、兆</w:t>
            </w:r>
            <w:proofErr w:type="gramStart"/>
            <w:r w:rsidRPr="00542893">
              <w:rPr>
                <w:rFonts w:ascii="仿宋" w:eastAsia="仿宋" w:hAnsi="仿宋" w:cs="宋体" w:hint="eastAsia"/>
                <w:color w:val="000000"/>
                <w:kern w:val="0"/>
                <w:sz w:val="24"/>
                <w:szCs w:val="24"/>
              </w:rPr>
              <w:t>尹</w:t>
            </w:r>
            <w:proofErr w:type="gramEnd"/>
            <w:r w:rsidRPr="00542893">
              <w:rPr>
                <w:rFonts w:ascii="仿宋" w:eastAsia="仿宋" w:hAnsi="仿宋" w:cs="宋体" w:hint="eastAsia"/>
                <w:color w:val="000000"/>
                <w:kern w:val="0"/>
                <w:sz w:val="24"/>
                <w:szCs w:val="24"/>
              </w:rPr>
              <w:t>系统</w:t>
            </w:r>
          </w:p>
        </w:tc>
      </w:tr>
      <w:tr w:rsidR="00542893" w:rsidRPr="00E13056" w:rsidTr="00BA4191">
        <w:trPr>
          <w:trHeight w:val="270"/>
          <w:jc w:val="center"/>
        </w:trPr>
        <w:tc>
          <w:tcPr>
            <w:tcW w:w="11157" w:type="dxa"/>
            <w:gridSpan w:val="13"/>
            <w:tcBorders>
              <w:top w:val="nil"/>
              <w:left w:val="nil"/>
              <w:bottom w:val="nil"/>
              <w:right w:val="nil"/>
            </w:tcBorders>
            <w:noWrap/>
            <w:vAlign w:val="center"/>
          </w:tcPr>
          <w:p w:rsidR="00542893" w:rsidRPr="00542893" w:rsidRDefault="00542893" w:rsidP="00DD4F94">
            <w:pPr>
              <w:widowControl/>
              <w:rPr>
                <w:rFonts w:ascii="仿宋" w:eastAsia="仿宋" w:hAnsi="仿宋" w:cs="宋体"/>
                <w:color w:val="000000"/>
                <w:kern w:val="0"/>
                <w:sz w:val="24"/>
                <w:szCs w:val="24"/>
              </w:rPr>
            </w:pPr>
            <w:r w:rsidRPr="00542893">
              <w:rPr>
                <w:rFonts w:ascii="仿宋" w:eastAsia="仿宋" w:hAnsi="仿宋" w:cs="宋体" w:hint="eastAsia"/>
                <w:color w:val="000000"/>
                <w:kern w:val="0"/>
                <w:sz w:val="24"/>
                <w:szCs w:val="24"/>
              </w:rPr>
              <w:t>备注：针对主体评级AAA以下、注册资本100亿元以下的交易对手分析</w:t>
            </w:r>
          </w:p>
        </w:tc>
      </w:tr>
    </w:tbl>
    <w:p w:rsidR="002E58C4" w:rsidRPr="005F475E" w:rsidRDefault="00EE2B2D" w:rsidP="00031324">
      <w:pPr>
        <w:spacing w:line="520" w:lineRule="exact"/>
        <w:ind w:firstLineChars="200" w:firstLine="643"/>
        <w:rPr>
          <w:rFonts w:ascii="仿宋_GB2312" w:eastAsia="仿宋_GB2312" w:hAnsi="Calibri" w:cs="Times New Roman"/>
          <w:b/>
          <w:sz w:val="32"/>
          <w:szCs w:val="32"/>
        </w:rPr>
      </w:pPr>
      <w:r w:rsidRPr="005F475E">
        <w:rPr>
          <w:rFonts w:ascii="仿宋_GB2312" w:eastAsia="仿宋_GB2312" w:hAnsi="Calibri" w:cs="Times New Roman" w:hint="eastAsia"/>
          <w:b/>
          <w:sz w:val="32"/>
          <w:szCs w:val="32"/>
        </w:rPr>
        <w:t>（五）</w:t>
      </w:r>
      <w:r w:rsidR="002E58C4" w:rsidRPr="005F475E">
        <w:rPr>
          <w:rFonts w:ascii="仿宋_GB2312" w:eastAsia="仿宋_GB2312" w:hAnsi="Calibri" w:cs="Times New Roman" w:hint="eastAsia"/>
          <w:b/>
          <w:sz w:val="32"/>
          <w:szCs w:val="32"/>
        </w:rPr>
        <w:t>预警债券名单</w:t>
      </w:r>
    </w:p>
    <w:p w:rsidR="002E58C4" w:rsidRPr="005F475E" w:rsidRDefault="002E58C4" w:rsidP="002E58C4">
      <w:pPr>
        <w:wordWrap w:val="0"/>
        <w:ind w:firstLineChars="200" w:firstLine="480"/>
        <w:jc w:val="right"/>
        <w:rPr>
          <w:rFonts w:ascii="仿宋_GB2312" w:eastAsia="仿宋_GB2312" w:hAnsi="Calibri" w:cs="Times New Roman"/>
          <w:b/>
          <w:sz w:val="32"/>
          <w:szCs w:val="32"/>
        </w:rPr>
      </w:pPr>
      <w:r w:rsidRPr="005F475E">
        <w:rPr>
          <w:rFonts w:ascii="仿宋_GB2312" w:eastAsia="仿宋_GB2312" w:hAnsi="Calibri" w:cs="Times New Roman" w:hint="eastAsia"/>
          <w:sz w:val="24"/>
          <w:szCs w:val="32"/>
        </w:rPr>
        <w:t>单位：亿元</w:t>
      </w:r>
    </w:p>
    <w:tbl>
      <w:tblPr>
        <w:tblStyle w:val="a3"/>
        <w:tblW w:w="9357" w:type="dxa"/>
        <w:tblInd w:w="-318" w:type="dxa"/>
        <w:tblLayout w:type="fixed"/>
        <w:tblLook w:val="04A0" w:firstRow="1" w:lastRow="0" w:firstColumn="1" w:lastColumn="0" w:noHBand="0" w:noVBand="1"/>
      </w:tblPr>
      <w:tblGrid>
        <w:gridCol w:w="2553"/>
        <w:gridCol w:w="4536"/>
        <w:gridCol w:w="850"/>
        <w:gridCol w:w="1418"/>
      </w:tblGrid>
      <w:tr w:rsidR="002E58C4" w:rsidRPr="005F475E" w:rsidTr="0059208E">
        <w:tc>
          <w:tcPr>
            <w:tcW w:w="2553" w:type="dxa"/>
            <w:vAlign w:val="center"/>
          </w:tcPr>
          <w:p w:rsidR="002E58C4" w:rsidRPr="005F475E" w:rsidRDefault="002E58C4" w:rsidP="0059208E">
            <w:pPr>
              <w:adjustRightInd w:val="0"/>
              <w:snapToGrid w:val="0"/>
              <w:jc w:val="center"/>
              <w:rPr>
                <w:rFonts w:asciiTheme="minorEastAsia" w:hAnsiTheme="minorEastAsia" w:cs="Times New Roman"/>
                <w:b/>
                <w:sz w:val="28"/>
                <w:szCs w:val="28"/>
              </w:rPr>
            </w:pPr>
            <w:r w:rsidRPr="005F475E">
              <w:rPr>
                <w:rFonts w:asciiTheme="minorEastAsia" w:hAnsiTheme="minorEastAsia" w:cs="Times New Roman"/>
                <w:b/>
                <w:sz w:val="28"/>
                <w:szCs w:val="28"/>
              </w:rPr>
              <w:t>债券名称</w:t>
            </w:r>
          </w:p>
        </w:tc>
        <w:tc>
          <w:tcPr>
            <w:tcW w:w="4536" w:type="dxa"/>
            <w:vAlign w:val="center"/>
          </w:tcPr>
          <w:p w:rsidR="002E58C4" w:rsidRPr="005F475E" w:rsidRDefault="002E58C4" w:rsidP="0059208E">
            <w:pPr>
              <w:adjustRightInd w:val="0"/>
              <w:snapToGrid w:val="0"/>
              <w:jc w:val="center"/>
              <w:rPr>
                <w:rFonts w:asciiTheme="minorEastAsia" w:hAnsiTheme="minorEastAsia" w:cs="Times New Roman"/>
                <w:b/>
                <w:sz w:val="28"/>
                <w:szCs w:val="28"/>
              </w:rPr>
            </w:pPr>
            <w:r w:rsidRPr="005F475E">
              <w:rPr>
                <w:rFonts w:asciiTheme="minorEastAsia" w:hAnsiTheme="minorEastAsia" w:cs="Times New Roman"/>
                <w:b/>
                <w:sz w:val="28"/>
                <w:szCs w:val="28"/>
              </w:rPr>
              <w:t>发行主体</w:t>
            </w:r>
          </w:p>
        </w:tc>
        <w:tc>
          <w:tcPr>
            <w:tcW w:w="850" w:type="dxa"/>
            <w:vAlign w:val="center"/>
          </w:tcPr>
          <w:p w:rsidR="002E58C4" w:rsidRPr="005F475E" w:rsidRDefault="002E58C4" w:rsidP="0059208E">
            <w:pPr>
              <w:adjustRightInd w:val="0"/>
              <w:snapToGrid w:val="0"/>
              <w:jc w:val="center"/>
              <w:rPr>
                <w:rFonts w:asciiTheme="minorEastAsia" w:hAnsiTheme="minorEastAsia" w:cs="Times New Roman"/>
                <w:b/>
                <w:sz w:val="28"/>
                <w:szCs w:val="28"/>
              </w:rPr>
            </w:pPr>
            <w:r w:rsidRPr="005F475E">
              <w:rPr>
                <w:rFonts w:asciiTheme="minorEastAsia" w:hAnsiTheme="minorEastAsia" w:cs="Times New Roman"/>
                <w:b/>
                <w:sz w:val="28"/>
                <w:szCs w:val="28"/>
              </w:rPr>
              <w:t>余额</w:t>
            </w:r>
          </w:p>
        </w:tc>
        <w:tc>
          <w:tcPr>
            <w:tcW w:w="1418" w:type="dxa"/>
            <w:vAlign w:val="center"/>
          </w:tcPr>
          <w:p w:rsidR="002E58C4" w:rsidRPr="005F475E" w:rsidRDefault="002E58C4" w:rsidP="0059208E">
            <w:pPr>
              <w:adjustRightInd w:val="0"/>
              <w:snapToGrid w:val="0"/>
              <w:jc w:val="center"/>
              <w:rPr>
                <w:rFonts w:asciiTheme="minorEastAsia" w:hAnsiTheme="minorEastAsia" w:cs="Times New Roman"/>
                <w:b/>
                <w:sz w:val="28"/>
                <w:szCs w:val="28"/>
              </w:rPr>
            </w:pPr>
            <w:r w:rsidRPr="005F475E">
              <w:rPr>
                <w:rFonts w:asciiTheme="minorEastAsia" w:hAnsiTheme="minorEastAsia" w:cs="Times New Roman"/>
                <w:b/>
                <w:sz w:val="28"/>
                <w:szCs w:val="28"/>
              </w:rPr>
              <w:t>分类</w:t>
            </w:r>
          </w:p>
        </w:tc>
      </w:tr>
      <w:tr w:rsidR="002E58C4" w:rsidRPr="005F475E" w:rsidTr="0059208E">
        <w:tc>
          <w:tcPr>
            <w:tcW w:w="2553"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16</w:t>
            </w:r>
            <w:proofErr w:type="gramStart"/>
            <w:r w:rsidRPr="005F475E">
              <w:rPr>
                <w:rFonts w:asciiTheme="minorEastAsia" w:hAnsiTheme="minorEastAsia" w:cs="Times New Roman" w:hint="eastAsia"/>
                <w:sz w:val="28"/>
                <w:szCs w:val="28"/>
              </w:rPr>
              <w:t>青国投</w:t>
            </w:r>
            <w:proofErr w:type="gramEnd"/>
            <w:r w:rsidRPr="005F475E">
              <w:rPr>
                <w:rFonts w:asciiTheme="minorEastAsia" w:hAnsiTheme="minorEastAsia" w:cs="Times New Roman" w:hint="eastAsia"/>
                <w:sz w:val="28"/>
                <w:szCs w:val="28"/>
              </w:rPr>
              <w:t>MTN001</w:t>
            </w:r>
          </w:p>
        </w:tc>
        <w:tc>
          <w:tcPr>
            <w:tcW w:w="4536"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青海省国有资产投资管理有限公司</w:t>
            </w:r>
          </w:p>
        </w:tc>
        <w:tc>
          <w:tcPr>
            <w:tcW w:w="850"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0.50</w:t>
            </w:r>
          </w:p>
        </w:tc>
        <w:tc>
          <w:tcPr>
            <w:tcW w:w="1418"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sz w:val="28"/>
                <w:szCs w:val="28"/>
              </w:rPr>
              <w:t>永续预警</w:t>
            </w:r>
          </w:p>
        </w:tc>
      </w:tr>
      <w:tr w:rsidR="002E58C4" w:rsidRPr="005F475E" w:rsidTr="0059208E">
        <w:tc>
          <w:tcPr>
            <w:tcW w:w="2553"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17</w:t>
            </w:r>
            <w:proofErr w:type="gramStart"/>
            <w:r w:rsidRPr="005F475E">
              <w:rPr>
                <w:rFonts w:asciiTheme="minorEastAsia" w:hAnsiTheme="minorEastAsia" w:cs="Times New Roman" w:hint="eastAsia"/>
                <w:sz w:val="28"/>
                <w:szCs w:val="28"/>
              </w:rPr>
              <w:t>开元专项</w:t>
            </w:r>
            <w:proofErr w:type="gramEnd"/>
            <w:r w:rsidRPr="005F475E">
              <w:rPr>
                <w:rFonts w:asciiTheme="minorEastAsia" w:hAnsiTheme="minorEastAsia" w:cs="Times New Roman" w:hint="eastAsia"/>
                <w:sz w:val="28"/>
                <w:szCs w:val="28"/>
              </w:rPr>
              <w:t>债01</w:t>
            </w:r>
          </w:p>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16道桥01</w:t>
            </w:r>
          </w:p>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16</w:t>
            </w:r>
            <w:proofErr w:type="gramStart"/>
            <w:r w:rsidRPr="005F475E">
              <w:rPr>
                <w:rFonts w:asciiTheme="minorEastAsia" w:hAnsiTheme="minorEastAsia" w:cs="Times New Roman" w:hint="eastAsia"/>
                <w:sz w:val="28"/>
                <w:szCs w:val="28"/>
              </w:rPr>
              <w:t>遵</w:t>
            </w:r>
            <w:proofErr w:type="gramEnd"/>
            <w:r w:rsidRPr="005F475E">
              <w:rPr>
                <w:rFonts w:asciiTheme="minorEastAsia" w:hAnsiTheme="minorEastAsia" w:cs="Times New Roman" w:hint="eastAsia"/>
                <w:sz w:val="28"/>
                <w:szCs w:val="28"/>
              </w:rPr>
              <w:t>桥01</w:t>
            </w:r>
          </w:p>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15遵义道桥债</w:t>
            </w:r>
          </w:p>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17红果专项债01</w:t>
            </w:r>
          </w:p>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18红果专项债</w:t>
            </w:r>
          </w:p>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16</w:t>
            </w:r>
            <w:proofErr w:type="gramStart"/>
            <w:r w:rsidRPr="005F475E">
              <w:rPr>
                <w:rFonts w:asciiTheme="minorEastAsia" w:hAnsiTheme="minorEastAsia" w:cs="Times New Roman" w:hint="eastAsia"/>
                <w:sz w:val="28"/>
                <w:szCs w:val="28"/>
              </w:rPr>
              <w:t>遵</w:t>
            </w:r>
            <w:proofErr w:type="gramEnd"/>
            <w:r w:rsidRPr="005F475E">
              <w:rPr>
                <w:rFonts w:asciiTheme="minorEastAsia" w:hAnsiTheme="minorEastAsia" w:cs="Times New Roman" w:hint="eastAsia"/>
                <w:sz w:val="28"/>
                <w:szCs w:val="28"/>
              </w:rPr>
              <w:t>停车债</w:t>
            </w:r>
          </w:p>
          <w:p w:rsidR="00766C40" w:rsidRPr="005F475E" w:rsidRDefault="00766C40"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17遵义</w:t>
            </w:r>
            <w:proofErr w:type="gramStart"/>
            <w:r w:rsidRPr="005F475E">
              <w:rPr>
                <w:rFonts w:asciiTheme="minorEastAsia" w:hAnsiTheme="minorEastAsia" w:cs="Times New Roman" w:hint="eastAsia"/>
                <w:sz w:val="28"/>
                <w:szCs w:val="28"/>
              </w:rPr>
              <w:t>播投债</w:t>
            </w:r>
            <w:proofErr w:type="gramEnd"/>
            <w:r w:rsidRPr="005F475E">
              <w:rPr>
                <w:rFonts w:asciiTheme="minorEastAsia" w:hAnsiTheme="minorEastAsia" w:cs="Times New Roman" w:hint="eastAsia"/>
                <w:sz w:val="28"/>
                <w:szCs w:val="28"/>
              </w:rPr>
              <w:t>02</w:t>
            </w:r>
          </w:p>
        </w:tc>
        <w:tc>
          <w:tcPr>
            <w:tcW w:w="4536" w:type="dxa"/>
            <w:tcBorders>
              <w:bottom w:val="single" w:sz="4" w:space="0" w:color="auto"/>
            </w:tcBorders>
            <w:vAlign w:val="center"/>
          </w:tcPr>
          <w:p w:rsidR="002E58C4" w:rsidRPr="005F475E" w:rsidRDefault="002E58C4" w:rsidP="0059208E">
            <w:pPr>
              <w:adjustRightInd w:val="0"/>
              <w:snapToGrid w:val="0"/>
              <w:jc w:val="left"/>
              <w:rPr>
                <w:rFonts w:asciiTheme="minorEastAsia" w:hAnsiTheme="minorEastAsia" w:cs="Times New Roman"/>
                <w:sz w:val="28"/>
                <w:szCs w:val="28"/>
              </w:rPr>
            </w:pPr>
            <w:r w:rsidRPr="005F475E">
              <w:rPr>
                <w:rFonts w:asciiTheme="minorEastAsia" w:hAnsiTheme="minorEastAsia" w:cs="Times New Roman" w:hint="eastAsia"/>
                <w:sz w:val="28"/>
                <w:szCs w:val="28"/>
              </w:rPr>
              <w:t>贵州凯里开元城市投资开发有限责任公司；遵义道桥建设（集团）有限公司；贵州省红果经济技术开发区开发有限责任公司；遵义市新区开发投资有限责任公司</w:t>
            </w:r>
            <w:r w:rsidR="00766C40" w:rsidRPr="005F475E">
              <w:rPr>
                <w:rFonts w:asciiTheme="minorEastAsia" w:hAnsiTheme="minorEastAsia" w:cs="Times New Roman" w:hint="eastAsia"/>
                <w:sz w:val="28"/>
                <w:szCs w:val="28"/>
              </w:rPr>
              <w:t>；遵义市播州区城市建设投资经营(集团)有限公司</w:t>
            </w:r>
          </w:p>
        </w:tc>
        <w:tc>
          <w:tcPr>
            <w:tcW w:w="850" w:type="dxa"/>
            <w:vAlign w:val="center"/>
          </w:tcPr>
          <w:p w:rsidR="002E58C4" w:rsidRPr="005F475E" w:rsidRDefault="00766C40"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5</w:t>
            </w:r>
            <w:r w:rsidR="002E58C4" w:rsidRPr="005F475E">
              <w:rPr>
                <w:rFonts w:asciiTheme="minorEastAsia" w:hAnsiTheme="minorEastAsia" w:cs="Times New Roman" w:hint="eastAsia"/>
                <w:sz w:val="28"/>
                <w:szCs w:val="28"/>
              </w:rPr>
              <w:t>.75</w:t>
            </w:r>
          </w:p>
        </w:tc>
        <w:tc>
          <w:tcPr>
            <w:tcW w:w="1418" w:type="dxa"/>
            <w:tcBorders>
              <w:bottom w:val="single" w:sz="4" w:space="0" w:color="auto"/>
            </w:tcBorders>
            <w:vAlign w:val="center"/>
          </w:tcPr>
          <w:p w:rsidR="002E58C4" w:rsidRPr="005F475E" w:rsidRDefault="002F61FA" w:rsidP="002F61FA">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sz w:val="28"/>
                <w:szCs w:val="28"/>
              </w:rPr>
              <w:t>区域</w:t>
            </w:r>
            <w:r w:rsidR="002E58C4" w:rsidRPr="005F475E">
              <w:rPr>
                <w:rFonts w:asciiTheme="minorEastAsia" w:hAnsiTheme="minorEastAsia" w:cs="Times New Roman"/>
                <w:sz w:val="28"/>
                <w:szCs w:val="28"/>
              </w:rPr>
              <w:t>风险</w:t>
            </w:r>
          </w:p>
        </w:tc>
      </w:tr>
      <w:tr w:rsidR="005D3352" w:rsidRPr="005F475E" w:rsidTr="0059208E">
        <w:tc>
          <w:tcPr>
            <w:tcW w:w="2553" w:type="dxa"/>
            <w:vAlign w:val="center"/>
          </w:tcPr>
          <w:p w:rsidR="005D3352" w:rsidRPr="005F475E" w:rsidRDefault="005D3352"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15营口沿海债</w:t>
            </w:r>
          </w:p>
        </w:tc>
        <w:tc>
          <w:tcPr>
            <w:tcW w:w="4536" w:type="dxa"/>
            <w:tcBorders>
              <w:bottom w:val="single" w:sz="4" w:space="0" w:color="auto"/>
            </w:tcBorders>
            <w:vAlign w:val="center"/>
          </w:tcPr>
          <w:p w:rsidR="005D3352" w:rsidRPr="005F475E" w:rsidRDefault="005D3352" w:rsidP="0059208E">
            <w:pPr>
              <w:adjustRightInd w:val="0"/>
              <w:snapToGrid w:val="0"/>
              <w:jc w:val="left"/>
              <w:rPr>
                <w:rFonts w:asciiTheme="minorEastAsia" w:hAnsiTheme="minorEastAsia" w:cs="Times New Roman"/>
                <w:sz w:val="28"/>
                <w:szCs w:val="28"/>
              </w:rPr>
            </w:pPr>
            <w:r w:rsidRPr="005F475E">
              <w:rPr>
                <w:rFonts w:asciiTheme="minorEastAsia" w:hAnsiTheme="minorEastAsia" w:cs="Times New Roman" w:hint="eastAsia"/>
                <w:sz w:val="28"/>
                <w:szCs w:val="28"/>
              </w:rPr>
              <w:t>营口沿海开发建设集团有限公司</w:t>
            </w:r>
          </w:p>
        </w:tc>
        <w:tc>
          <w:tcPr>
            <w:tcW w:w="850" w:type="dxa"/>
            <w:vAlign w:val="center"/>
          </w:tcPr>
          <w:p w:rsidR="005D3352" w:rsidRPr="005F475E" w:rsidRDefault="005D3352"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w:t>
            </w:r>
            <w:r w:rsidR="00083425" w:rsidRPr="005F475E">
              <w:rPr>
                <w:rFonts w:asciiTheme="minorEastAsia" w:hAnsiTheme="minorEastAsia" w:cs="Times New Roman" w:hint="eastAsia"/>
                <w:sz w:val="28"/>
                <w:szCs w:val="28"/>
              </w:rPr>
              <w:t>0</w:t>
            </w:r>
            <w:r w:rsidRPr="005F475E">
              <w:rPr>
                <w:rFonts w:asciiTheme="minorEastAsia" w:hAnsiTheme="minorEastAsia" w:cs="Times New Roman" w:hint="eastAsia"/>
                <w:sz w:val="28"/>
                <w:szCs w:val="28"/>
              </w:rPr>
              <w:t>0</w:t>
            </w:r>
          </w:p>
        </w:tc>
        <w:tc>
          <w:tcPr>
            <w:tcW w:w="1418" w:type="dxa"/>
            <w:tcBorders>
              <w:bottom w:val="single" w:sz="4" w:space="0" w:color="auto"/>
            </w:tcBorders>
            <w:vAlign w:val="center"/>
          </w:tcPr>
          <w:p w:rsidR="005D3352" w:rsidRPr="005F475E" w:rsidRDefault="005D3352"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评级观察</w:t>
            </w:r>
          </w:p>
        </w:tc>
      </w:tr>
      <w:tr w:rsidR="00083425" w:rsidRPr="005F475E" w:rsidTr="0059208E">
        <w:tc>
          <w:tcPr>
            <w:tcW w:w="2553" w:type="dxa"/>
            <w:vAlign w:val="center"/>
          </w:tcPr>
          <w:p w:rsidR="00083425" w:rsidRPr="005F475E" w:rsidRDefault="00083425"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19</w:t>
            </w:r>
            <w:proofErr w:type="gramStart"/>
            <w:r w:rsidRPr="005F475E">
              <w:rPr>
                <w:rFonts w:asciiTheme="minorEastAsia" w:hAnsiTheme="minorEastAsia" w:cs="Times New Roman" w:hint="eastAsia"/>
                <w:sz w:val="28"/>
                <w:szCs w:val="28"/>
              </w:rPr>
              <w:t>迈科</w:t>
            </w:r>
            <w:proofErr w:type="gramEnd"/>
            <w:r w:rsidRPr="005F475E">
              <w:rPr>
                <w:rFonts w:asciiTheme="minorEastAsia" w:hAnsiTheme="minorEastAsia" w:cs="Times New Roman" w:hint="eastAsia"/>
                <w:sz w:val="28"/>
                <w:szCs w:val="28"/>
              </w:rPr>
              <w:t>A</w:t>
            </w:r>
          </w:p>
        </w:tc>
        <w:tc>
          <w:tcPr>
            <w:tcW w:w="4536" w:type="dxa"/>
            <w:tcBorders>
              <w:bottom w:val="single" w:sz="4" w:space="0" w:color="auto"/>
            </w:tcBorders>
            <w:vAlign w:val="center"/>
          </w:tcPr>
          <w:p w:rsidR="00083425" w:rsidRPr="005F475E" w:rsidRDefault="00083425" w:rsidP="0059208E">
            <w:pPr>
              <w:adjustRightInd w:val="0"/>
              <w:snapToGrid w:val="0"/>
              <w:jc w:val="left"/>
              <w:rPr>
                <w:rFonts w:asciiTheme="minorEastAsia" w:hAnsiTheme="minorEastAsia" w:cs="Times New Roman"/>
                <w:sz w:val="28"/>
                <w:szCs w:val="28"/>
              </w:rPr>
            </w:pPr>
            <w:r w:rsidRPr="005F475E">
              <w:rPr>
                <w:rFonts w:asciiTheme="minorEastAsia" w:hAnsiTheme="minorEastAsia" w:cs="Times New Roman" w:hint="eastAsia"/>
                <w:sz w:val="28"/>
                <w:szCs w:val="28"/>
              </w:rPr>
              <w:t>西安迈科金属国际集团有限公司</w:t>
            </w:r>
          </w:p>
        </w:tc>
        <w:tc>
          <w:tcPr>
            <w:tcW w:w="850" w:type="dxa"/>
            <w:vAlign w:val="center"/>
          </w:tcPr>
          <w:p w:rsidR="00083425" w:rsidRPr="005F475E" w:rsidRDefault="00083425"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1.49</w:t>
            </w:r>
          </w:p>
        </w:tc>
        <w:tc>
          <w:tcPr>
            <w:tcW w:w="1418" w:type="dxa"/>
            <w:tcBorders>
              <w:bottom w:val="single" w:sz="4" w:space="0" w:color="auto"/>
            </w:tcBorders>
            <w:vAlign w:val="center"/>
          </w:tcPr>
          <w:p w:rsidR="00083425" w:rsidRPr="005F475E" w:rsidRDefault="00C0233D" w:rsidP="002F61FA">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弱资质</w:t>
            </w:r>
          </w:p>
        </w:tc>
      </w:tr>
      <w:tr w:rsidR="002E58C4" w:rsidRPr="005F475E" w:rsidTr="0059208E">
        <w:tc>
          <w:tcPr>
            <w:tcW w:w="2553" w:type="dxa"/>
            <w:tcBorders>
              <w:right w:val="nil"/>
            </w:tcBorders>
            <w:vAlign w:val="center"/>
          </w:tcPr>
          <w:p w:rsidR="002E58C4" w:rsidRPr="005F475E" w:rsidRDefault="002E58C4" w:rsidP="0059208E">
            <w:pPr>
              <w:adjustRightInd w:val="0"/>
              <w:snapToGrid w:val="0"/>
              <w:jc w:val="center"/>
              <w:rPr>
                <w:rFonts w:asciiTheme="minorEastAsia" w:hAnsiTheme="minorEastAsia" w:cs="Times New Roman"/>
                <w:b/>
                <w:sz w:val="28"/>
                <w:szCs w:val="28"/>
              </w:rPr>
            </w:pPr>
            <w:r w:rsidRPr="005F475E">
              <w:rPr>
                <w:rFonts w:asciiTheme="minorEastAsia" w:hAnsiTheme="minorEastAsia" w:cs="Times New Roman" w:hint="eastAsia"/>
                <w:b/>
                <w:sz w:val="28"/>
                <w:szCs w:val="28"/>
              </w:rPr>
              <w:t>合计</w:t>
            </w:r>
          </w:p>
        </w:tc>
        <w:tc>
          <w:tcPr>
            <w:tcW w:w="4536" w:type="dxa"/>
            <w:tcBorders>
              <w:left w:val="nil"/>
              <w:right w:val="nil"/>
            </w:tcBorders>
            <w:vAlign w:val="center"/>
          </w:tcPr>
          <w:p w:rsidR="002E58C4" w:rsidRPr="005F475E" w:rsidRDefault="002E58C4" w:rsidP="0059208E">
            <w:pPr>
              <w:adjustRightInd w:val="0"/>
              <w:snapToGrid w:val="0"/>
              <w:jc w:val="left"/>
              <w:rPr>
                <w:rFonts w:asciiTheme="minorEastAsia" w:hAnsiTheme="minorEastAsia" w:cs="Times New Roman"/>
                <w:b/>
                <w:sz w:val="28"/>
                <w:szCs w:val="28"/>
              </w:rPr>
            </w:pPr>
          </w:p>
        </w:tc>
        <w:tc>
          <w:tcPr>
            <w:tcW w:w="850" w:type="dxa"/>
            <w:tcBorders>
              <w:left w:val="nil"/>
              <w:right w:val="nil"/>
            </w:tcBorders>
            <w:vAlign w:val="center"/>
          </w:tcPr>
          <w:p w:rsidR="002E58C4" w:rsidRPr="005F475E" w:rsidRDefault="00B36D44" w:rsidP="0059208E">
            <w:pPr>
              <w:adjustRightInd w:val="0"/>
              <w:snapToGrid w:val="0"/>
              <w:jc w:val="center"/>
              <w:rPr>
                <w:rFonts w:asciiTheme="minorEastAsia" w:hAnsiTheme="minorEastAsia" w:cs="Times New Roman"/>
                <w:b/>
                <w:sz w:val="28"/>
                <w:szCs w:val="28"/>
              </w:rPr>
            </w:pPr>
            <w:r w:rsidRPr="005F475E">
              <w:rPr>
                <w:rFonts w:asciiTheme="minorEastAsia" w:hAnsiTheme="minorEastAsia" w:cs="Times New Roman" w:hint="eastAsia"/>
                <w:b/>
                <w:sz w:val="28"/>
                <w:szCs w:val="28"/>
              </w:rPr>
              <w:t>8.74</w:t>
            </w:r>
          </w:p>
        </w:tc>
        <w:tc>
          <w:tcPr>
            <w:tcW w:w="1418" w:type="dxa"/>
            <w:tcBorders>
              <w:left w:val="nil"/>
            </w:tcBorders>
            <w:vAlign w:val="center"/>
          </w:tcPr>
          <w:p w:rsidR="002E58C4" w:rsidRPr="005F475E" w:rsidRDefault="002E58C4" w:rsidP="0059208E">
            <w:pPr>
              <w:adjustRightInd w:val="0"/>
              <w:snapToGrid w:val="0"/>
              <w:jc w:val="center"/>
              <w:rPr>
                <w:rFonts w:asciiTheme="minorEastAsia" w:hAnsiTheme="minorEastAsia" w:cs="Times New Roman"/>
                <w:b/>
                <w:sz w:val="28"/>
                <w:szCs w:val="28"/>
              </w:rPr>
            </w:pPr>
          </w:p>
        </w:tc>
      </w:tr>
    </w:tbl>
    <w:p w:rsidR="002E58C4" w:rsidRPr="005F475E" w:rsidRDefault="00EE2B2D" w:rsidP="002E58C4">
      <w:pPr>
        <w:spacing w:line="560" w:lineRule="exact"/>
        <w:ind w:firstLineChars="200" w:firstLine="643"/>
        <w:rPr>
          <w:rFonts w:ascii="仿宋_GB2312" w:eastAsia="仿宋_GB2312" w:hAnsi="Calibri" w:cs="Times New Roman"/>
          <w:b/>
          <w:sz w:val="32"/>
          <w:szCs w:val="32"/>
        </w:rPr>
      </w:pPr>
      <w:r w:rsidRPr="005F475E">
        <w:rPr>
          <w:rFonts w:ascii="仿宋_GB2312" w:eastAsia="仿宋_GB2312" w:hAnsi="Calibri" w:cs="Times New Roman" w:hint="eastAsia"/>
          <w:b/>
          <w:sz w:val="32"/>
          <w:szCs w:val="32"/>
        </w:rPr>
        <w:t>（六</w:t>
      </w:r>
      <w:r w:rsidR="002E58C4" w:rsidRPr="005F475E">
        <w:rPr>
          <w:rFonts w:ascii="仿宋_GB2312" w:eastAsia="仿宋_GB2312" w:hAnsi="Calibri" w:cs="Times New Roman" w:hint="eastAsia"/>
          <w:b/>
          <w:sz w:val="32"/>
          <w:szCs w:val="32"/>
        </w:rPr>
        <w:t>）违约/欠息债券</w:t>
      </w:r>
    </w:p>
    <w:p w:rsidR="002E58C4" w:rsidRPr="005F475E" w:rsidRDefault="002E58C4" w:rsidP="002E58C4">
      <w:pPr>
        <w:wordWrap w:val="0"/>
        <w:ind w:firstLineChars="200" w:firstLine="480"/>
        <w:jc w:val="right"/>
        <w:rPr>
          <w:rFonts w:ascii="仿宋_GB2312" w:eastAsia="仿宋_GB2312" w:hAnsi="Calibri" w:cs="Times New Roman"/>
          <w:b/>
          <w:sz w:val="32"/>
          <w:szCs w:val="32"/>
        </w:rPr>
      </w:pPr>
      <w:r w:rsidRPr="005F475E">
        <w:rPr>
          <w:rFonts w:ascii="仿宋_GB2312" w:eastAsia="仿宋_GB2312" w:hAnsi="Calibri" w:cs="Times New Roman" w:hint="eastAsia"/>
          <w:sz w:val="24"/>
          <w:szCs w:val="32"/>
        </w:rPr>
        <w:t>单位：亿元</w:t>
      </w:r>
    </w:p>
    <w:tbl>
      <w:tblPr>
        <w:tblStyle w:val="a3"/>
        <w:tblW w:w="8931" w:type="dxa"/>
        <w:jc w:val="center"/>
        <w:tblInd w:w="-459" w:type="dxa"/>
        <w:tblLayout w:type="fixed"/>
        <w:tblLook w:val="04A0" w:firstRow="1" w:lastRow="0" w:firstColumn="1" w:lastColumn="0" w:noHBand="0" w:noVBand="1"/>
      </w:tblPr>
      <w:tblGrid>
        <w:gridCol w:w="3002"/>
        <w:gridCol w:w="4228"/>
        <w:gridCol w:w="850"/>
        <w:gridCol w:w="851"/>
      </w:tblGrid>
      <w:tr w:rsidR="002E58C4" w:rsidRPr="005F475E" w:rsidTr="0059208E">
        <w:trPr>
          <w:jc w:val="center"/>
        </w:trPr>
        <w:tc>
          <w:tcPr>
            <w:tcW w:w="3002" w:type="dxa"/>
            <w:vAlign w:val="center"/>
          </w:tcPr>
          <w:p w:rsidR="002E58C4" w:rsidRPr="005F475E" w:rsidRDefault="002E58C4" w:rsidP="0059208E">
            <w:pPr>
              <w:adjustRightInd w:val="0"/>
              <w:snapToGrid w:val="0"/>
              <w:jc w:val="center"/>
              <w:rPr>
                <w:rFonts w:asciiTheme="minorEastAsia" w:hAnsiTheme="minorEastAsia" w:cs="Times New Roman"/>
                <w:b/>
                <w:sz w:val="28"/>
                <w:szCs w:val="28"/>
              </w:rPr>
            </w:pPr>
            <w:r w:rsidRPr="005F475E">
              <w:rPr>
                <w:rFonts w:asciiTheme="minorEastAsia" w:hAnsiTheme="minorEastAsia" w:cs="Times New Roman"/>
                <w:b/>
                <w:sz w:val="28"/>
                <w:szCs w:val="28"/>
              </w:rPr>
              <w:t>债券名称</w:t>
            </w:r>
          </w:p>
        </w:tc>
        <w:tc>
          <w:tcPr>
            <w:tcW w:w="4228" w:type="dxa"/>
            <w:vAlign w:val="center"/>
          </w:tcPr>
          <w:p w:rsidR="002E58C4" w:rsidRPr="005F475E" w:rsidRDefault="002E58C4" w:rsidP="0059208E">
            <w:pPr>
              <w:adjustRightInd w:val="0"/>
              <w:snapToGrid w:val="0"/>
              <w:jc w:val="center"/>
              <w:rPr>
                <w:rFonts w:asciiTheme="minorEastAsia" w:hAnsiTheme="minorEastAsia" w:cs="Times New Roman"/>
                <w:b/>
                <w:sz w:val="28"/>
                <w:szCs w:val="28"/>
              </w:rPr>
            </w:pPr>
            <w:r w:rsidRPr="005F475E">
              <w:rPr>
                <w:rFonts w:asciiTheme="minorEastAsia" w:hAnsiTheme="minorEastAsia" w:cs="Times New Roman"/>
                <w:b/>
                <w:sz w:val="28"/>
                <w:szCs w:val="28"/>
              </w:rPr>
              <w:t>发行主体</w:t>
            </w:r>
          </w:p>
        </w:tc>
        <w:tc>
          <w:tcPr>
            <w:tcW w:w="850" w:type="dxa"/>
            <w:vAlign w:val="center"/>
          </w:tcPr>
          <w:p w:rsidR="002E58C4" w:rsidRPr="005F475E" w:rsidRDefault="002E58C4" w:rsidP="0059208E">
            <w:pPr>
              <w:adjustRightInd w:val="0"/>
              <w:snapToGrid w:val="0"/>
              <w:jc w:val="center"/>
              <w:rPr>
                <w:rFonts w:asciiTheme="minorEastAsia" w:hAnsiTheme="minorEastAsia" w:cs="Times New Roman"/>
                <w:b/>
                <w:sz w:val="28"/>
                <w:szCs w:val="28"/>
              </w:rPr>
            </w:pPr>
            <w:r w:rsidRPr="005F475E">
              <w:rPr>
                <w:rFonts w:asciiTheme="minorEastAsia" w:hAnsiTheme="minorEastAsia" w:cs="Times New Roman"/>
                <w:b/>
                <w:sz w:val="28"/>
                <w:szCs w:val="28"/>
              </w:rPr>
              <w:t>余额</w:t>
            </w:r>
          </w:p>
        </w:tc>
        <w:tc>
          <w:tcPr>
            <w:tcW w:w="851" w:type="dxa"/>
            <w:vAlign w:val="center"/>
          </w:tcPr>
          <w:p w:rsidR="002E58C4" w:rsidRPr="005F475E" w:rsidRDefault="002E58C4" w:rsidP="0059208E">
            <w:pPr>
              <w:adjustRightInd w:val="0"/>
              <w:snapToGrid w:val="0"/>
              <w:jc w:val="center"/>
              <w:rPr>
                <w:rFonts w:asciiTheme="minorEastAsia" w:hAnsiTheme="minorEastAsia" w:cs="Times New Roman"/>
                <w:b/>
                <w:sz w:val="28"/>
                <w:szCs w:val="28"/>
              </w:rPr>
            </w:pPr>
            <w:r w:rsidRPr="005F475E">
              <w:rPr>
                <w:rFonts w:asciiTheme="minorEastAsia" w:hAnsiTheme="minorEastAsia" w:cs="Times New Roman"/>
                <w:b/>
                <w:sz w:val="28"/>
                <w:szCs w:val="28"/>
              </w:rPr>
              <w:t>分类</w:t>
            </w:r>
          </w:p>
        </w:tc>
      </w:tr>
      <w:tr w:rsidR="002E58C4" w:rsidRPr="005F475E" w:rsidTr="0059208E">
        <w:trPr>
          <w:jc w:val="center"/>
        </w:trPr>
        <w:tc>
          <w:tcPr>
            <w:tcW w:w="3002"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18永泰集团SCP001</w:t>
            </w:r>
          </w:p>
        </w:tc>
        <w:tc>
          <w:tcPr>
            <w:tcW w:w="4228"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永泰集团有限公司</w:t>
            </w:r>
          </w:p>
        </w:tc>
        <w:tc>
          <w:tcPr>
            <w:tcW w:w="850"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1.00</w:t>
            </w:r>
          </w:p>
        </w:tc>
        <w:tc>
          <w:tcPr>
            <w:tcW w:w="851"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sz w:val="28"/>
                <w:szCs w:val="28"/>
              </w:rPr>
              <w:t>违约</w:t>
            </w:r>
          </w:p>
        </w:tc>
      </w:tr>
      <w:tr w:rsidR="002E58C4" w:rsidRPr="005F475E" w:rsidTr="0059208E">
        <w:trPr>
          <w:jc w:val="center"/>
        </w:trPr>
        <w:tc>
          <w:tcPr>
            <w:tcW w:w="3002"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17华阳04</w:t>
            </w:r>
          </w:p>
        </w:tc>
        <w:tc>
          <w:tcPr>
            <w:tcW w:w="4228"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中国</w:t>
            </w:r>
            <w:proofErr w:type="gramStart"/>
            <w:r w:rsidRPr="005F475E">
              <w:rPr>
                <w:rFonts w:asciiTheme="minorEastAsia" w:hAnsiTheme="minorEastAsia" w:cs="Times New Roman" w:hint="eastAsia"/>
                <w:sz w:val="28"/>
                <w:szCs w:val="28"/>
              </w:rPr>
              <w:t>华阳经贸</w:t>
            </w:r>
            <w:proofErr w:type="gramEnd"/>
            <w:r w:rsidRPr="005F475E">
              <w:rPr>
                <w:rFonts w:asciiTheme="minorEastAsia" w:hAnsiTheme="minorEastAsia" w:cs="Times New Roman" w:hint="eastAsia"/>
                <w:sz w:val="28"/>
                <w:szCs w:val="28"/>
              </w:rPr>
              <w:t>集团有限公司</w:t>
            </w:r>
          </w:p>
        </w:tc>
        <w:tc>
          <w:tcPr>
            <w:tcW w:w="850"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0.40</w:t>
            </w:r>
          </w:p>
        </w:tc>
        <w:tc>
          <w:tcPr>
            <w:tcW w:w="851"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sz w:val="28"/>
                <w:szCs w:val="28"/>
              </w:rPr>
              <w:t>违约</w:t>
            </w:r>
          </w:p>
        </w:tc>
      </w:tr>
      <w:tr w:rsidR="002E58C4" w:rsidRPr="005F475E" w:rsidTr="0059208E">
        <w:trPr>
          <w:jc w:val="center"/>
        </w:trPr>
        <w:tc>
          <w:tcPr>
            <w:tcW w:w="3002"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16美兰01、16美兰02</w:t>
            </w:r>
          </w:p>
        </w:tc>
        <w:tc>
          <w:tcPr>
            <w:tcW w:w="4228"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海口美兰国际机场有限责任公司</w:t>
            </w:r>
          </w:p>
        </w:tc>
        <w:tc>
          <w:tcPr>
            <w:tcW w:w="850"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0.80</w:t>
            </w:r>
          </w:p>
        </w:tc>
        <w:tc>
          <w:tcPr>
            <w:tcW w:w="851"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sz w:val="28"/>
                <w:szCs w:val="28"/>
              </w:rPr>
              <w:t>违约</w:t>
            </w:r>
          </w:p>
        </w:tc>
      </w:tr>
      <w:tr w:rsidR="00811505" w:rsidRPr="005F475E" w:rsidTr="0059208E">
        <w:trPr>
          <w:jc w:val="center"/>
        </w:trPr>
        <w:tc>
          <w:tcPr>
            <w:tcW w:w="3002" w:type="dxa"/>
            <w:vAlign w:val="center"/>
          </w:tcPr>
          <w:p w:rsidR="00811505" w:rsidRPr="005F475E" w:rsidRDefault="00811505"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海航203</w:t>
            </w:r>
          </w:p>
        </w:tc>
        <w:tc>
          <w:tcPr>
            <w:tcW w:w="4228" w:type="dxa"/>
            <w:vAlign w:val="center"/>
          </w:tcPr>
          <w:p w:rsidR="00811505" w:rsidRPr="005F475E" w:rsidRDefault="00811505"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海南航空控股股份有限公司</w:t>
            </w:r>
          </w:p>
        </w:tc>
        <w:tc>
          <w:tcPr>
            <w:tcW w:w="850" w:type="dxa"/>
            <w:vAlign w:val="center"/>
          </w:tcPr>
          <w:p w:rsidR="00811505" w:rsidRPr="005F475E" w:rsidRDefault="00811505"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0.49</w:t>
            </w:r>
          </w:p>
        </w:tc>
        <w:tc>
          <w:tcPr>
            <w:tcW w:w="851" w:type="dxa"/>
            <w:vAlign w:val="center"/>
          </w:tcPr>
          <w:p w:rsidR="00811505" w:rsidRPr="005F475E" w:rsidRDefault="00811505"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sz w:val="28"/>
                <w:szCs w:val="28"/>
              </w:rPr>
              <w:t>违约</w:t>
            </w:r>
          </w:p>
        </w:tc>
      </w:tr>
      <w:tr w:rsidR="002E58C4" w:rsidRPr="005F475E" w:rsidTr="0059208E">
        <w:trPr>
          <w:jc w:val="center"/>
        </w:trPr>
        <w:tc>
          <w:tcPr>
            <w:tcW w:w="3002"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15中信国安MTN001</w:t>
            </w:r>
          </w:p>
        </w:tc>
        <w:tc>
          <w:tcPr>
            <w:tcW w:w="4228"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中信国安集团股份有限公司</w:t>
            </w:r>
          </w:p>
        </w:tc>
        <w:tc>
          <w:tcPr>
            <w:tcW w:w="850"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0.30</w:t>
            </w:r>
          </w:p>
        </w:tc>
        <w:tc>
          <w:tcPr>
            <w:tcW w:w="851"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sz w:val="28"/>
                <w:szCs w:val="28"/>
              </w:rPr>
              <w:t>违约</w:t>
            </w:r>
          </w:p>
        </w:tc>
      </w:tr>
      <w:tr w:rsidR="002E58C4" w:rsidRPr="005F475E" w:rsidTr="0059208E">
        <w:trPr>
          <w:jc w:val="center"/>
        </w:trPr>
        <w:tc>
          <w:tcPr>
            <w:tcW w:w="3002"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15包商银行二级</w:t>
            </w:r>
          </w:p>
        </w:tc>
        <w:tc>
          <w:tcPr>
            <w:tcW w:w="4228" w:type="dxa"/>
            <w:tcBorders>
              <w:bottom w:val="single" w:sz="4" w:space="0" w:color="auto"/>
            </w:tcBorders>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包商银行股份有限公司</w:t>
            </w:r>
          </w:p>
        </w:tc>
        <w:tc>
          <w:tcPr>
            <w:tcW w:w="850"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1.00</w:t>
            </w:r>
          </w:p>
        </w:tc>
        <w:tc>
          <w:tcPr>
            <w:tcW w:w="851" w:type="dxa"/>
            <w:tcBorders>
              <w:bottom w:val="single" w:sz="4" w:space="0" w:color="auto"/>
            </w:tcBorders>
            <w:vAlign w:val="center"/>
          </w:tcPr>
          <w:p w:rsidR="002E58C4" w:rsidRPr="005F475E" w:rsidRDefault="00AF4612" w:rsidP="0059208E">
            <w:pPr>
              <w:adjustRightInd w:val="0"/>
              <w:snapToGrid w:val="0"/>
              <w:jc w:val="center"/>
              <w:rPr>
                <w:rFonts w:asciiTheme="minorEastAsia" w:hAnsiTheme="minorEastAsia" w:cs="Times New Roman"/>
                <w:sz w:val="28"/>
                <w:szCs w:val="28"/>
              </w:rPr>
            </w:pPr>
            <w:proofErr w:type="gramStart"/>
            <w:r w:rsidRPr="005F475E">
              <w:rPr>
                <w:rFonts w:asciiTheme="minorEastAsia" w:hAnsiTheme="minorEastAsia" w:cs="Times New Roman" w:hint="eastAsia"/>
                <w:sz w:val="28"/>
                <w:szCs w:val="28"/>
              </w:rPr>
              <w:t>减记</w:t>
            </w:r>
            <w:proofErr w:type="gramEnd"/>
          </w:p>
        </w:tc>
      </w:tr>
      <w:tr w:rsidR="002E58C4" w:rsidRPr="005F475E" w:rsidTr="0059208E">
        <w:trPr>
          <w:jc w:val="center"/>
        </w:trPr>
        <w:tc>
          <w:tcPr>
            <w:tcW w:w="3002" w:type="dxa"/>
            <w:tcBorders>
              <w:right w:val="nil"/>
            </w:tcBorders>
            <w:vAlign w:val="center"/>
          </w:tcPr>
          <w:p w:rsidR="002E58C4" w:rsidRPr="005F475E" w:rsidRDefault="002E58C4" w:rsidP="0059208E">
            <w:pPr>
              <w:adjustRightInd w:val="0"/>
              <w:snapToGrid w:val="0"/>
              <w:jc w:val="center"/>
              <w:rPr>
                <w:rFonts w:asciiTheme="minorEastAsia" w:hAnsiTheme="minorEastAsia" w:cs="Times New Roman"/>
                <w:b/>
                <w:sz w:val="28"/>
                <w:szCs w:val="28"/>
              </w:rPr>
            </w:pPr>
            <w:r w:rsidRPr="005F475E">
              <w:rPr>
                <w:rFonts w:asciiTheme="minorEastAsia" w:hAnsiTheme="minorEastAsia" w:cs="Times New Roman" w:hint="eastAsia"/>
                <w:b/>
                <w:sz w:val="28"/>
                <w:szCs w:val="28"/>
              </w:rPr>
              <w:t>合计</w:t>
            </w:r>
          </w:p>
        </w:tc>
        <w:tc>
          <w:tcPr>
            <w:tcW w:w="4228" w:type="dxa"/>
            <w:tcBorders>
              <w:left w:val="nil"/>
              <w:right w:val="nil"/>
            </w:tcBorders>
            <w:vAlign w:val="center"/>
          </w:tcPr>
          <w:p w:rsidR="002E58C4" w:rsidRPr="005F475E" w:rsidRDefault="002E58C4" w:rsidP="0059208E">
            <w:pPr>
              <w:adjustRightInd w:val="0"/>
              <w:snapToGrid w:val="0"/>
              <w:jc w:val="center"/>
              <w:rPr>
                <w:rFonts w:asciiTheme="minorEastAsia" w:hAnsiTheme="minorEastAsia" w:cs="Times New Roman"/>
                <w:b/>
                <w:sz w:val="28"/>
                <w:szCs w:val="28"/>
              </w:rPr>
            </w:pPr>
          </w:p>
        </w:tc>
        <w:tc>
          <w:tcPr>
            <w:tcW w:w="850" w:type="dxa"/>
            <w:tcBorders>
              <w:left w:val="nil"/>
              <w:right w:val="nil"/>
            </w:tcBorders>
            <w:vAlign w:val="center"/>
          </w:tcPr>
          <w:p w:rsidR="002E58C4" w:rsidRPr="005F475E" w:rsidRDefault="00811505" w:rsidP="0059208E">
            <w:pPr>
              <w:adjustRightInd w:val="0"/>
              <w:snapToGrid w:val="0"/>
              <w:jc w:val="center"/>
              <w:rPr>
                <w:rFonts w:asciiTheme="minorEastAsia" w:hAnsiTheme="minorEastAsia" w:cs="Times New Roman"/>
                <w:b/>
                <w:sz w:val="28"/>
                <w:szCs w:val="28"/>
              </w:rPr>
            </w:pPr>
            <w:r w:rsidRPr="005F475E">
              <w:rPr>
                <w:rFonts w:asciiTheme="minorEastAsia" w:hAnsiTheme="minorEastAsia" w:cs="Times New Roman" w:hint="eastAsia"/>
                <w:b/>
                <w:sz w:val="28"/>
                <w:szCs w:val="28"/>
              </w:rPr>
              <w:t>3.99</w:t>
            </w:r>
          </w:p>
        </w:tc>
        <w:tc>
          <w:tcPr>
            <w:tcW w:w="851" w:type="dxa"/>
            <w:tcBorders>
              <w:left w:val="nil"/>
            </w:tcBorders>
            <w:vAlign w:val="center"/>
          </w:tcPr>
          <w:p w:rsidR="002E58C4" w:rsidRPr="005F475E" w:rsidRDefault="002E58C4" w:rsidP="0059208E">
            <w:pPr>
              <w:adjustRightInd w:val="0"/>
              <w:snapToGrid w:val="0"/>
              <w:jc w:val="center"/>
              <w:rPr>
                <w:rFonts w:asciiTheme="minorEastAsia" w:hAnsiTheme="minorEastAsia" w:cs="Times New Roman"/>
                <w:b/>
                <w:sz w:val="28"/>
                <w:szCs w:val="28"/>
              </w:rPr>
            </w:pPr>
          </w:p>
        </w:tc>
      </w:tr>
    </w:tbl>
    <w:p w:rsidR="004411DA" w:rsidRPr="007672DA" w:rsidRDefault="004B5445" w:rsidP="007753CC">
      <w:pPr>
        <w:spacing w:line="560" w:lineRule="exact"/>
        <w:ind w:firstLineChars="200" w:firstLine="643"/>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三、</w:t>
      </w:r>
      <w:r w:rsidR="004411DA" w:rsidRPr="007672DA">
        <w:rPr>
          <w:rFonts w:ascii="仿宋_GB2312" w:eastAsia="仿宋_GB2312" w:hAnsi="Calibri" w:cs="Times New Roman" w:hint="eastAsia"/>
          <w:b/>
          <w:sz w:val="32"/>
          <w:szCs w:val="32"/>
        </w:rPr>
        <w:t>风险监测</w:t>
      </w:r>
    </w:p>
    <w:p w:rsidR="009E2131" w:rsidRPr="007672DA" w:rsidRDefault="009E2131" w:rsidP="009E2131">
      <w:pPr>
        <w:spacing w:line="560" w:lineRule="exact"/>
        <w:ind w:firstLineChars="200" w:firstLine="643"/>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lastRenderedPageBreak/>
        <w:t>（一）监测指标</w:t>
      </w:r>
    </w:p>
    <w:p w:rsidR="009E2131" w:rsidRPr="007672DA" w:rsidRDefault="009E2131" w:rsidP="009E2131">
      <w:pPr>
        <w:spacing w:line="560" w:lineRule="exact"/>
        <w:ind w:firstLineChars="200" w:firstLine="643"/>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1.</w:t>
      </w:r>
      <w:r w:rsidR="00E6221A" w:rsidRPr="007672DA">
        <w:rPr>
          <w:rFonts w:ascii="仿宋_GB2312" w:eastAsia="仿宋_GB2312" w:hAnsi="Calibri" w:cs="Times New Roman" w:hint="eastAsia"/>
          <w:b/>
          <w:sz w:val="32"/>
          <w:szCs w:val="32"/>
        </w:rPr>
        <w:t>非金融企业债券</w:t>
      </w:r>
      <w:r w:rsidRPr="007672DA">
        <w:rPr>
          <w:rFonts w:ascii="仿宋_GB2312" w:eastAsia="仿宋_GB2312" w:hAnsi="Calibri" w:cs="Times New Roman" w:hint="eastAsia"/>
          <w:b/>
          <w:sz w:val="32"/>
          <w:szCs w:val="32"/>
        </w:rPr>
        <w:t>主体集中度</w:t>
      </w:r>
    </w:p>
    <w:p w:rsidR="009E2131" w:rsidRPr="007672DA" w:rsidRDefault="009E2131" w:rsidP="009E2131">
      <w:pPr>
        <w:spacing w:line="560" w:lineRule="exact"/>
        <w:ind w:firstLineChars="200" w:firstLine="643"/>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（1）同业业务中心</w:t>
      </w:r>
    </w:p>
    <w:tbl>
      <w:tblPr>
        <w:tblStyle w:val="a3"/>
        <w:tblW w:w="8472" w:type="dxa"/>
        <w:jc w:val="center"/>
        <w:tblLayout w:type="fixed"/>
        <w:tblLook w:val="04A0" w:firstRow="1" w:lastRow="0" w:firstColumn="1" w:lastColumn="0" w:noHBand="0" w:noVBand="1"/>
      </w:tblPr>
      <w:tblGrid>
        <w:gridCol w:w="2660"/>
        <w:gridCol w:w="1417"/>
        <w:gridCol w:w="1418"/>
        <w:gridCol w:w="1701"/>
        <w:gridCol w:w="1276"/>
      </w:tblGrid>
      <w:tr w:rsidR="00BC6F6D" w:rsidRPr="007672DA" w:rsidTr="009822EF">
        <w:trPr>
          <w:trHeight w:val="270"/>
          <w:jc w:val="center"/>
        </w:trPr>
        <w:tc>
          <w:tcPr>
            <w:tcW w:w="4077" w:type="dxa"/>
            <w:gridSpan w:val="2"/>
            <w:tcBorders>
              <w:top w:val="nil"/>
              <w:left w:val="nil"/>
              <w:right w:val="nil"/>
            </w:tcBorders>
            <w:noWrap/>
            <w:hideMark/>
          </w:tcPr>
          <w:p w:rsidR="00BC6F6D" w:rsidRPr="007672DA" w:rsidRDefault="00BC6F6D" w:rsidP="00E97610">
            <w:pPr>
              <w:widowControl/>
              <w:jc w:val="left"/>
              <w:rPr>
                <w:rFonts w:ascii="仿宋" w:eastAsia="仿宋" w:hAnsi="仿宋" w:cs="宋体"/>
                <w:color w:val="000000"/>
                <w:kern w:val="0"/>
                <w:sz w:val="24"/>
                <w:szCs w:val="24"/>
              </w:rPr>
            </w:pPr>
            <w:r w:rsidRPr="007672DA">
              <w:rPr>
                <w:rFonts w:ascii="仿宋" w:eastAsia="仿宋" w:hAnsi="仿宋" w:cs="宋体" w:hint="eastAsia"/>
                <w:color w:val="000000"/>
                <w:kern w:val="0"/>
                <w:sz w:val="24"/>
                <w:szCs w:val="24"/>
              </w:rPr>
              <w:t>部门:同业业务中心</w:t>
            </w:r>
          </w:p>
        </w:tc>
        <w:tc>
          <w:tcPr>
            <w:tcW w:w="1418" w:type="dxa"/>
            <w:tcBorders>
              <w:top w:val="nil"/>
              <w:left w:val="nil"/>
              <w:right w:val="nil"/>
            </w:tcBorders>
            <w:noWrap/>
            <w:hideMark/>
          </w:tcPr>
          <w:p w:rsidR="00BC6F6D" w:rsidRPr="007672DA" w:rsidRDefault="00BC6F6D" w:rsidP="00E97610">
            <w:pPr>
              <w:widowControl/>
              <w:jc w:val="left"/>
              <w:rPr>
                <w:rFonts w:ascii="仿宋" w:eastAsia="仿宋" w:hAnsi="仿宋" w:cs="宋体"/>
                <w:color w:val="000000"/>
                <w:kern w:val="0"/>
                <w:sz w:val="24"/>
                <w:szCs w:val="24"/>
              </w:rPr>
            </w:pPr>
          </w:p>
        </w:tc>
        <w:tc>
          <w:tcPr>
            <w:tcW w:w="2977" w:type="dxa"/>
            <w:gridSpan w:val="2"/>
            <w:tcBorders>
              <w:top w:val="nil"/>
              <w:left w:val="nil"/>
              <w:right w:val="nil"/>
            </w:tcBorders>
            <w:noWrap/>
            <w:vAlign w:val="center"/>
            <w:hideMark/>
          </w:tcPr>
          <w:p w:rsidR="00BC6F6D" w:rsidRPr="007672DA" w:rsidRDefault="00BC6F6D" w:rsidP="00BC6F6D">
            <w:pPr>
              <w:widowControl/>
              <w:jc w:val="right"/>
              <w:rPr>
                <w:rFonts w:ascii="仿宋" w:eastAsia="仿宋" w:hAnsi="仿宋" w:cs="宋体"/>
                <w:color w:val="000000"/>
                <w:kern w:val="0"/>
                <w:sz w:val="24"/>
                <w:szCs w:val="24"/>
              </w:rPr>
            </w:pPr>
            <w:r w:rsidRPr="007672DA">
              <w:rPr>
                <w:rFonts w:ascii="仿宋" w:eastAsia="仿宋" w:hAnsi="仿宋" w:cs="宋体" w:hint="eastAsia"/>
                <w:color w:val="000000"/>
                <w:kern w:val="0"/>
                <w:sz w:val="24"/>
                <w:szCs w:val="24"/>
              </w:rPr>
              <w:t>单位：万元、笔</w:t>
            </w:r>
          </w:p>
        </w:tc>
      </w:tr>
      <w:tr w:rsidR="00BC6F6D" w:rsidRPr="007672DA" w:rsidTr="009822EF">
        <w:trPr>
          <w:trHeight w:val="270"/>
          <w:jc w:val="center"/>
        </w:trPr>
        <w:tc>
          <w:tcPr>
            <w:tcW w:w="2660" w:type="dxa"/>
            <w:noWrap/>
            <w:hideMark/>
          </w:tcPr>
          <w:p w:rsidR="00BC6F6D" w:rsidRPr="007672DA" w:rsidRDefault="00BC6F6D" w:rsidP="00E97610">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主体持仓金额区间</w:t>
            </w:r>
          </w:p>
        </w:tc>
        <w:tc>
          <w:tcPr>
            <w:tcW w:w="1417" w:type="dxa"/>
            <w:noWrap/>
            <w:hideMark/>
          </w:tcPr>
          <w:p w:rsidR="00BC6F6D" w:rsidRPr="007672DA" w:rsidRDefault="00BC6F6D" w:rsidP="00E97610">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主体数量</w:t>
            </w:r>
          </w:p>
        </w:tc>
        <w:tc>
          <w:tcPr>
            <w:tcW w:w="1418" w:type="dxa"/>
            <w:noWrap/>
            <w:hideMark/>
          </w:tcPr>
          <w:p w:rsidR="00BC6F6D" w:rsidRPr="007672DA" w:rsidRDefault="00BC6F6D" w:rsidP="00BC6F6D">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业务笔数</w:t>
            </w:r>
          </w:p>
        </w:tc>
        <w:tc>
          <w:tcPr>
            <w:tcW w:w="1701" w:type="dxa"/>
            <w:noWrap/>
            <w:hideMark/>
          </w:tcPr>
          <w:p w:rsidR="00BC6F6D" w:rsidRPr="007672DA" w:rsidRDefault="00BC6F6D" w:rsidP="00E97610">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业务余额</w:t>
            </w:r>
          </w:p>
        </w:tc>
        <w:tc>
          <w:tcPr>
            <w:tcW w:w="1276" w:type="dxa"/>
          </w:tcPr>
          <w:p w:rsidR="00BC6F6D" w:rsidRPr="007672DA" w:rsidRDefault="00BC6F6D" w:rsidP="00E97610">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占比</w:t>
            </w:r>
          </w:p>
        </w:tc>
      </w:tr>
      <w:tr w:rsidR="005F475E" w:rsidRPr="007672DA" w:rsidTr="001B5773">
        <w:trPr>
          <w:trHeight w:val="270"/>
          <w:jc w:val="center"/>
        </w:trPr>
        <w:tc>
          <w:tcPr>
            <w:tcW w:w="2660" w:type="dxa"/>
            <w:noWrap/>
            <w:hideMark/>
          </w:tcPr>
          <w:p w:rsidR="005F475E" w:rsidRPr="007672DA" w:rsidRDefault="005F475E" w:rsidP="00532F96">
            <w:pPr>
              <w:widowControl/>
              <w:adjustRightInd w:val="0"/>
              <w:snapToGrid w:val="0"/>
              <w:jc w:val="center"/>
              <w:rPr>
                <w:rFonts w:ascii="宋体" w:eastAsia="宋体" w:hAnsi="宋体" w:cs="宋体"/>
                <w:color w:val="000000"/>
                <w:kern w:val="0"/>
                <w:sz w:val="28"/>
                <w:szCs w:val="28"/>
              </w:rPr>
            </w:pPr>
            <w:r w:rsidRPr="007672DA">
              <w:rPr>
                <w:rFonts w:ascii="宋体" w:eastAsia="宋体" w:hAnsi="宋体" w:cs="宋体" w:hint="eastAsia"/>
                <w:color w:val="000000"/>
                <w:kern w:val="0"/>
                <w:sz w:val="28"/>
                <w:szCs w:val="28"/>
              </w:rPr>
              <w:t>低于5</w:t>
            </w:r>
            <w:proofErr w:type="gramStart"/>
            <w:r w:rsidRPr="007672DA">
              <w:rPr>
                <w:rFonts w:ascii="宋体" w:eastAsia="宋体" w:hAnsi="宋体" w:cs="宋体" w:hint="eastAsia"/>
                <w:color w:val="000000"/>
                <w:kern w:val="0"/>
                <w:sz w:val="28"/>
                <w:szCs w:val="28"/>
              </w:rPr>
              <w:t>千万</w:t>
            </w:r>
            <w:proofErr w:type="gramEnd"/>
            <w:r w:rsidRPr="007672DA">
              <w:rPr>
                <w:rFonts w:ascii="宋体" w:eastAsia="宋体" w:hAnsi="宋体" w:cs="宋体" w:hint="eastAsia"/>
                <w:color w:val="000000"/>
                <w:kern w:val="0"/>
                <w:sz w:val="28"/>
                <w:szCs w:val="28"/>
              </w:rPr>
              <w:t>（含）</w:t>
            </w:r>
          </w:p>
        </w:tc>
        <w:tc>
          <w:tcPr>
            <w:tcW w:w="1417" w:type="dxa"/>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71</w:t>
            </w:r>
          </w:p>
        </w:tc>
        <w:tc>
          <w:tcPr>
            <w:tcW w:w="1418" w:type="dxa"/>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72</w:t>
            </w:r>
          </w:p>
        </w:tc>
        <w:tc>
          <w:tcPr>
            <w:tcW w:w="1701" w:type="dxa"/>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255,927.04</w:t>
            </w:r>
          </w:p>
        </w:tc>
        <w:tc>
          <w:tcPr>
            <w:tcW w:w="1276" w:type="dxa"/>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30.36%</w:t>
            </w:r>
          </w:p>
        </w:tc>
      </w:tr>
      <w:tr w:rsidR="005F475E" w:rsidRPr="007672DA" w:rsidTr="001B5773">
        <w:trPr>
          <w:trHeight w:val="270"/>
          <w:jc w:val="center"/>
        </w:trPr>
        <w:tc>
          <w:tcPr>
            <w:tcW w:w="2660" w:type="dxa"/>
            <w:noWrap/>
            <w:hideMark/>
          </w:tcPr>
          <w:p w:rsidR="005F475E" w:rsidRPr="007672DA" w:rsidRDefault="005F475E" w:rsidP="00532F96">
            <w:pPr>
              <w:widowControl/>
              <w:adjustRightInd w:val="0"/>
              <w:snapToGrid w:val="0"/>
              <w:jc w:val="center"/>
              <w:rPr>
                <w:rFonts w:ascii="宋体" w:eastAsia="宋体" w:hAnsi="宋体" w:cs="宋体"/>
                <w:color w:val="000000"/>
                <w:kern w:val="0"/>
                <w:sz w:val="28"/>
                <w:szCs w:val="28"/>
              </w:rPr>
            </w:pPr>
            <w:r w:rsidRPr="007672DA">
              <w:rPr>
                <w:rFonts w:ascii="宋体" w:eastAsia="宋体" w:hAnsi="宋体" w:cs="宋体" w:hint="eastAsia"/>
                <w:color w:val="000000"/>
                <w:kern w:val="0"/>
                <w:sz w:val="28"/>
                <w:szCs w:val="28"/>
              </w:rPr>
              <w:t>5</w:t>
            </w:r>
            <w:proofErr w:type="gramStart"/>
            <w:r w:rsidRPr="007672DA">
              <w:rPr>
                <w:rFonts w:ascii="宋体" w:eastAsia="宋体" w:hAnsi="宋体" w:cs="宋体" w:hint="eastAsia"/>
                <w:color w:val="000000"/>
                <w:kern w:val="0"/>
                <w:sz w:val="28"/>
                <w:szCs w:val="28"/>
              </w:rPr>
              <w:t>千万</w:t>
            </w:r>
            <w:proofErr w:type="gramEnd"/>
            <w:r w:rsidRPr="007672DA">
              <w:rPr>
                <w:rFonts w:ascii="宋体" w:eastAsia="宋体" w:hAnsi="宋体" w:cs="宋体" w:hint="eastAsia"/>
                <w:color w:val="000000"/>
                <w:kern w:val="0"/>
                <w:sz w:val="28"/>
                <w:szCs w:val="28"/>
              </w:rPr>
              <w:t>至1亿（含）</w:t>
            </w:r>
          </w:p>
        </w:tc>
        <w:tc>
          <w:tcPr>
            <w:tcW w:w="1417" w:type="dxa"/>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49</w:t>
            </w:r>
          </w:p>
        </w:tc>
        <w:tc>
          <w:tcPr>
            <w:tcW w:w="1418" w:type="dxa"/>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57</w:t>
            </w:r>
          </w:p>
        </w:tc>
        <w:tc>
          <w:tcPr>
            <w:tcW w:w="1701" w:type="dxa"/>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353,340.13</w:t>
            </w:r>
          </w:p>
        </w:tc>
        <w:tc>
          <w:tcPr>
            <w:tcW w:w="1276" w:type="dxa"/>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41.91%</w:t>
            </w:r>
          </w:p>
        </w:tc>
      </w:tr>
      <w:tr w:rsidR="005F475E" w:rsidRPr="007672DA" w:rsidTr="001B5773">
        <w:trPr>
          <w:trHeight w:val="270"/>
          <w:jc w:val="center"/>
        </w:trPr>
        <w:tc>
          <w:tcPr>
            <w:tcW w:w="2660" w:type="dxa"/>
            <w:noWrap/>
            <w:hideMark/>
          </w:tcPr>
          <w:p w:rsidR="005F475E" w:rsidRPr="007672DA" w:rsidRDefault="005F475E" w:rsidP="00E97610">
            <w:pPr>
              <w:widowControl/>
              <w:adjustRightInd w:val="0"/>
              <w:snapToGrid w:val="0"/>
              <w:jc w:val="center"/>
              <w:rPr>
                <w:rFonts w:ascii="宋体" w:eastAsia="宋体" w:hAnsi="宋体" w:cs="宋体"/>
                <w:color w:val="000000"/>
                <w:kern w:val="0"/>
                <w:sz w:val="28"/>
                <w:szCs w:val="28"/>
              </w:rPr>
            </w:pPr>
            <w:r w:rsidRPr="007672DA">
              <w:rPr>
                <w:rFonts w:ascii="宋体" w:eastAsia="宋体" w:hAnsi="宋体" w:cs="宋体" w:hint="eastAsia"/>
                <w:color w:val="000000"/>
                <w:kern w:val="0"/>
                <w:sz w:val="28"/>
                <w:szCs w:val="28"/>
              </w:rPr>
              <w:t>1亿至2亿（含）</w:t>
            </w:r>
          </w:p>
        </w:tc>
        <w:tc>
          <w:tcPr>
            <w:tcW w:w="1417" w:type="dxa"/>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17</w:t>
            </w:r>
          </w:p>
        </w:tc>
        <w:tc>
          <w:tcPr>
            <w:tcW w:w="1418" w:type="dxa"/>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27</w:t>
            </w:r>
          </w:p>
        </w:tc>
        <w:tc>
          <w:tcPr>
            <w:tcW w:w="1701" w:type="dxa"/>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233,789.36</w:t>
            </w:r>
          </w:p>
        </w:tc>
        <w:tc>
          <w:tcPr>
            <w:tcW w:w="1276" w:type="dxa"/>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27.73%</w:t>
            </w:r>
          </w:p>
        </w:tc>
      </w:tr>
      <w:tr w:rsidR="005F475E" w:rsidRPr="007672DA" w:rsidTr="001B5773">
        <w:trPr>
          <w:trHeight w:val="270"/>
          <w:jc w:val="center"/>
        </w:trPr>
        <w:tc>
          <w:tcPr>
            <w:tcW w:w="2660" w:type="dxa"/>
            <w:noWrap/>
            <w:hideMark/>
          </w:tcPr>
          <w:p w:rsidR="005F475E" w:rsidRPr="007672DA" w:rsidRDefault="005F475E" w:rsidP="00E97610">
            <w:pPr>
              <w:widowControl/>
              <w:adjustRightInd w:val="0"/>
              <w:snapToGrid w:val="0"/>
              <w:jc w:val="center"/>
              <w:rPr>
                <w:rFonts w:ascii="宋体" w:eastAsia="宋体" w:hAnsi="宋体" w:cs="宋体"/>
                <w:color w:val="000000"/>
                <w:kern w:val="0"/>
                <w:sz w:val="28"/>
                <w:szCs w:val="28"/>
              </w:rPr>
            </w:pPr>
            <w:r w:rsidRPr="007672DA">
              <w:rPr>
                <w:rFonts w:ascii="宋体" w:eastAsia="宋体" w:hAnsi="宋体" w:cs="宋体" w:hint="eastAsia"/>
                <w:color w:val="000000"/>
                <w:kern w:val="0"/>
                <w:sz w:val="28"/>
                <w:szCs w:val="28"/>
              </w:rPr>
              <w:t>超过2亿</w:t>
            </w:r>
          </w:p>
        </w:tc>
        <w:tc>
          <w:tcPr>
            <w:tcW w:w="1417" w:type="dxa"/>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0</w:t>
            </w:r>
          </w:p>
        </w:tc>
        <w:tc>
          <w:tcPr>
            <w:tcW w:w="1418" w:type="dxa"/>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0</w:t>
            </w:r>
          </w:p>
        </w:tc>
        <w:tc>
          <w:tcPr>
            <w:tcW w:w="1701" w:type="dxa"/>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0.00</w:t>
            </w:r>
          </w:p>
        </w:tc>
        <w:tc>
          <w:tcPr>
            <w:tcW w:w="1276" w:type="dxa"/>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0.00%</w:t>
            </w:r>
          </w:p>
        </w:tc>
      </w:tr>
      <w:tr w:rsidR="005F475E" w:rsidRPr="007672DA" w:rsidTr="001B5773">
        <w:trPr>
          <w:trHeight w:val="270"/>
          <w:jc w:val="center"/>
        </w:trPr>
        <w:tc>
          <w:tcPr>
            <w:tcW w:w="2660" w:type="dxa"/>
            <w:tcBorders>
              <w:bottom w:val="single" w:sz="4" w:space="0" w:color="auto"/>
            </w:tcBorders>
            <w:noWrap/>
            <w:hideMark/>
          </w:tcPr>
          <w:p w:rsidR="005F475E" w:rsidRPr="007672DA" w:rsidRDefault="005F475E" w:rsidP="00E97610">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合计</w:t>
            </w:r>
          </w:p>
        </w:tc>
        <w:tc>
          <w:tcPr>
            <w:tcW w:w="1417" w:type="dxa"/>
            <w:tcBorders>
              <w:bottom w:val="single" w:sz="4" w:space="0" w:color="auto"/>
            </w:tcBorders>
            <w:noWrap/>
            <w:vAlign w:val="center"/>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137</w:t>
            </w:r>
          </w:p>
        </w:tc>
        <w:tc>
          <w:tcPr>
            <w:tcW w:w="1418" w:type="dxa"/>
            <w:tcBorders>
              <w:bottom w:val="single" w:sz="4" w:space="0" w:color="auto"/>
            </w:tcBorders>
            <w:noWrap/>
            <w:vAlign w:val="center"/>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156</w:t>
            </w:r>
          </w:p>
        </w:tc>
        <w:tc>
          <w:tcPr>
            <w:tcW w:w="1701" w:type="dxa"/>
            <w:tcBorders>
              <w:bottom w:val="single" w:sz="4" w:space="0" w:color="auto"/>
            </w:tcBorders>
            <w:noWrap/>
            <w:vAlign w:val="center"/>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843,056.53</w:t>
            </w:r>
          </w:p>
        </w:tc>
        <w:tc>
          <w:tcPr>
            <w:tcW w:w="1276" w:type="dxa"/>
            <w:tcBorders>
              <w:bottom w:val="single" w:sz="4" w:space="0" w:color="auto"/>
            </w:tcBorders>
            <w:vAlign w:val="center"/>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100.00%</w:t>
            </w:r>
          </w:p>
        </w:tc>
      </w:tr>
      <w:tr w:rsidR="00360535" w:rsidRPr="007672DA" w:rsidTr="00360535">
        <w:trPr>
          <w:trHeight w:val="270"/>
          <w:jc w:val="center"/>
        </w:trPr>
        <w:tc>
          <w:tcPr>
            <w:tcW w:w="8472" w:type="dxa"/>
            <w:gridSpan w:val="5"/>
            <w:tcBorders>
              <w:left w:val="nil"/>
              <w:bottom w:val="nil"/>
              <w:right w:val="nil"/>
            </w:tcBorders>
            <w:noWrap/>
            <w:vAlign w:val="center"/>
            <w:hideMark/>
          </w:tcPr>
          <w:p w:rsidR="00360535" w:rsidRPr="007672DA" w:rsidRDefault="00360535" w:rsidP="00360535">
            <w:pPr>
              <w:widowControl/>
              <w:rPr>
                <w:rFonts w:ascii="仿宋" w:eastAsia="仿宋" w:hAnsi="仿宋" w:cs="宋体"/>
                <w:color w:val="000000"/>
                <w:kern w:val="0"/>
                <w:sz w:val="24"/>
                <w:szCs w:val="28"/>
              </w:rPr>
            </w:pPr>
            <w:r w:rsidRPr="007672DA">
              <w:rPr>
                <w:rFonts w:ascii="仿宋" w:eastAsia="仿宋" w:hAnsi="仿宋" w:cs="宋体" w:hint="eastAsia"/>
                <w:color w:val="000000"/>
                <w:kern w:val="0"/>
                <w:sz w:val="24"/>
                <w:szCs w:val="28"/>
              </w:rPr>
              <w:t>数据来源：COMSTAR系统</w:t>
            </w:r>
            <w:r w:rsidR="0022695A" w:rsidRPr="007672DA">
              <w:rPr>
                <w:rFonts w:ascii="仿宋" w:eastAsia="仿宋" w:hAnsi="仿宋" w:cs="宋体" w:hint="eastAsia"/>
                <w:color w:val="000000"/>
                <w:kern w:val="0"/>
                <w:sz w:val="24"/>
                <w:szCs w:val="28"/>
              </w:rPr>
              <w:t>、</w:t>
            </w:r>
            <w:r w:rsidR="0022695A" w:rsidRPr="007672DA">
              <w:rPr>
                <w:rFonts w:ascii="仿宋" w:eastAsia="仿宋" w:hAnsi="仿宋" w:cs="宋体" w:hint="eastAsia"/>
                <w:color w:val="000000"/>
                <w:kern w:val="0"/>
                <w:sz w:val="24"/>
                <w:szCs w:val="24"/>
              </w:rPr>
              <w:t>资金业务管理系统，尚未</w:t>
            </w:r>
            <w:proofErr w:type="gramStart"/>
            <w:r w:rsidR="0022695A" w:rsidRPr="007672DA">
              <w:rPr>
                <w:rFonts w:ascii="仿宋" w:eastAsia="仿宋" w:hAnsi="仿宋" w:cs="宋体" w:hint="eastAsia"/>
                <w:color w:val="000000"/>
                <w:kern w:val="0"/>
                <w:sz w:val="24"/>
                <w:szCs w:val="24"/>
              </w:rPr>
              <w:t>涵盖省联社</w:t>
            </w:r>
            <w:proofErr w:type="gramEnd"/>
            <w:r w:rsidR="0022695A" w:rsidRPr="007672DA">
              <w:rPr>
                <w:rFonts w:ascii="仿宋" w:eastAsia="仿宋" w:hAnsi="仿宋" w:cs="宋体" w:hint="eastAsia"/>
                <w:color w:val="000000"/>
                <w:kern w:val="0"/>
                <w:sz w:val="24"/>
                <w:szCs w:val="24"/>
              </w:rPr>
              <w:t>资金统一平台</w:t>
            </w:r>
          </w:p>
          <w:p w:rsidR="00360535" w:rsidRPr="007672DA" w:rsidRDefault="00360535" w:rsidP="00360535">
            <w:pPr>
              <w:widowControl/>
              <w:rPr>
                <w:rFonts w:ascii="仿宋" w:eastAsia="仿宋" w:hAnsi="仿宋" w:cs="宋体"/>
                <w:color w:val="000000"/>
                <w:kern w:val="0"/>
                <w:sz w:val="24"/>
                <w:szCs w:val="28"/>
              </w:rPr>
            </w:pPr>
            <w:r w:rsidRPr="007672DA">
              <w:rPr>
                <w:rFonts w:ascii="仿宋" w:eastAsia="仿宋" w:hAnsi="仿宋" w:cs="宋体" w:hint="eastAsia"/>
                <w:color w:val="000000"/>
                <w:kern w:val="0"/>
                <w:sz w:val="24"/>
                <w:szCs w:val="28"/>
              </w:rPr>
              <w:t>备注：覆盖同业线下、同业线上，以及</w:t>
            </w:r>
            <w:proofErr w:type="gramStart"/>
            <w:r w:rsidRPr="007672DA">
              <w:rPr>
                <w:rFonts w:ascii="仿宋" w:eastAsia="仿宋" w:hAnsi="仿宋" w:cs="宋体" w:hint="eastAsia"/>
                <w:color w:val="000000"/>
                <w:kern w:val="0"/>
                <w:sz w:val="24"/>
                <w:szCs w:val="28"/>
              </w:rPr>
              <w:t>债基项</w:t>
            </w:r>
            <w:proofErr w:type="gramEnd"/>
            <w:r w:rsidRPr="007672DA">
              <w:rPr>
                <w:rFonts w:ascii="仿宋" w:eastAsia="仿宋" w:hAnsi="仿宋" w:cs="宋体" w:hint="eastAsia"/>
                <w:color w:val="000000"/>
                <w:kern w:val="0"/>
                <w:sz w:val="24"/>
                <w:szCs w:val="28"/>
              </w:rPr>
              <w:t>下非金融企业债券投资</w:t>
            </w:r>
          </w:p>
        </w:tc>
      </w:tr>
    </w:tbl>
    <w:p w:rsidR="00964915" w:rsidRPr="007672DA" w:rsidRDefault="00964915" w:rsidP="00C41E9D">
      <w:pPr>
        <w:spacing w:line="560" w:lineRule="exact"/>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其中，前十大发行主体明细：</w:t>
      </w:r>
    </w:p>
    <w:tbl>
      <w:tblPr>
        <w:tblStyle w:val="a3"/>
        <w:tblW w:w="5249" w:type="pct"/>
        <w:jc w:val="center"/>
        <w:tblInd w:w="-1026" w:type="dxa"/>
        <w:tblLayout w:type="fixed"/>
        <w:tblLook w:val="04A0" w:firstRow="1" w:lastRow="0" w:firstColumn="1" w:lastColumn="0" w:noHBand="0" w:noVBand="1"/>
      </w:tblPr>
      <w:tblGrid>
        <w:gridCol w:w="6197"/>
        <w:gridCol w:w="1786"/>
        <w:gridCol w:w="963"/>
      </w:tblGrid>
      <w:tr w:rsidR="00964915" w:rsidRPr="007672DA" w:rsidTr="0016337A">
        <w:trPr>
          <w:trHeight w:val="270"/>
          <w:jc w:val="center"/>
        </w:trPr>
        <w:tc>
          <w:tcPr>
            <w:tcW w:w="3464" w:type="pct"/>
            <w:tcBorders>
              <w:top w:val="nil"/>
              <w:left w:val="nil"/>
              <w:right w:val="nil"/>
            </w:tcBorders>
            <w:noWrap/>
            <w:vAlign w:val="center"/>
          </w:tcPr>
          <w:p w:rsidR="00964915" w:rsidRPr="007672DA" w:rsidRDefault="00964915" w:rsidP="00964915">
            <w:pPr>
              <w:widowControl/>
              <w:adjustRightInd w:val="0"/>
              <w:snapToGrid w:val="0"/>
              <w:rPr>
                <w:rFonts w:ascii="宋体" w:eastAsia="宋体" w:hAnsi="宋体" w:cs="宋体"/>
                <w:b/>
                <w:color w:val="000000"/>
                <w:kern w:val="0"/>
                <w:sz w:val="28"/>
                <w:szCs w:val="28"/>
              </w:rPr>
            </w:pPr>
            <w:r w:rsidRPr="007672DA">
              <w:rPr>
                <w:rFonts w:ascii="仿宋" w:eastAsia="仿宋" w:hAnsi="仿宋" w:cs="宋体" w:hint="eastAsia"/>
                <w:color w:val="000000"/>
                <w:kern w:val="0"/>
                <w:sz w:val="24"/>
                <w:szCs w:val="24"/>
              </w:rPr>
              <w:t>部门:同业业务中心</w:t>
            </w:r>
          </w:p>
        </w:tc>
        <w:tc>
          <w:tcPr>
            <w:tcW w:w="1536" w:type="pct"/>
            <w:gridSpan w:val="2"/>
            <w:tcBorders>
              <w:top w:val="nil"/>
              <w:left w:val="nil"/>
              <w:right w:val="nil"/>
            </w:tcBorders>
            <w:noWrap/>
            <w:vAlign w:val="center"/>
          </w:tcPr>
          <w:p w:rsidR="00964915" w:rsidRPr="007672DA" w:rsidRDefault="00964915" w:rsidP="00964915">
            <w:pPr>
              <w:widowControl/>
              <w:adjustRightInd w:val="0"/>
              <w:snapToGrid w:val="0"/>
              <w:jc w:val="right"/>
              <w:rPr>
                <w:rFonts w:ascii="宋体" w:eastAsia="宋体" w:hAnsi="宋体" w:cs="宋体"/>
                <w:b/>
                <w:color w:val="000000"/>
                <w:kern w:val="0"/>
                <w:sz w:val="28"/>
                <w:szCs w:val="28"/>
              </w:rPr>
            </w:pPr>
            <w:r w:rsidRPr="007672DA">
              <w:rPr>
                <w:rFonts w:ascii="仿宋" w:eastAsia="仿宋" w:hAnsi="仿宋" w:cs="宋体" w:hint="eastAsia"/>
                <w:color w:val="000000"/>
                <w:kern w:val="0"/>
                <w:sz w:val="24"/>
                <w:szCs w:val="24"/>
              </w:rPr>
              <w:t>单位：万元、笔</w:t>
            </w:r>
          </w:p>
        </w:tc>
      </w:tr>
      <w:tr w:rsidR="00C41E9D" w:rsidRPr="007672DA" w:rsidTr="0016337A">
        <w:trPr>
          <w:trHeight w:val="270"/>
          <w:jc w:val="center"/>
        </w:trPr>
        <w:tc>
          <w:tcPr>
            <w:tcW w:w="3464" w:type="pct"/>
            <w:noWrap/>
            <w:hideMark/>
          </w:tcPr>
          <w:p w:rsidR="00964915" w:rsidRPr="007672DA" w:rsidRDefault="00964915" w:rsidP="00964915">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发行主体</w:t>
            </w:r>
          </w:p>
        </w:tc>
        <w:tc>
          <w:tcPr>
            <w:tcW w:w="998" w:type="pct"/>
            <w:noWrap/>
            <w:hideMark/>
          </w:tcPr>
          <w:p w:rsidR="00964915" w:rsidRPr="007672DA" w:rsidRDefault="00964915" w:rsidP="00964915">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业务余额</w:t>
            </w:r>
          </w:p>
        </w:tc>
        <w:tc>
          <w:tcPr>
            <w:tcW w:w="538" w:type="pct"/>
            <w:noWrap/>
            <w:hideMark/>
          </w:tcPr>
          <w:p w:rsidR="00964915" w:rsidRPr="007672DA" w:rsidRDefault="00964915" w:rsidP="00964915">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笔数</w:t>
            </w:r>
          </w:p>
        </w:tc>
      </w:tr>
      <w:tr w:rsidR="005F475E" w:rsidRPr="007672DA" w:rsidTr="0016337A">
        <w:trPr>
          <w:trHeight w:val="270"/>
          <w:jc w:val="center"/>
        </w:trPr>
        <w:tc>
          <w:tcPr>
            <w:tcW w:w="3464"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盐城市城市建设投资集团有限公司</w:t>
            </w:r>
          </w:p>
        </w:tc>
        <w:tc>
          <w:tcPr>
            <w:tcW w:w="99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20,000.00</w:t>
            </w:r>
          </w:p>
        </w:tc>
        <w:tc>
          <w:tcPr>
            <w:tcW w:w="53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w:t>
            </w:r>
          </w:p>
        </w:tc>
      </w:tr>
      <w:tr w:rsidR="005F475E" w:rsidRPr="007672DA" w:rsidTr="0016337A">
        <w:trPr>
          <w:trHeight w:val="270"/>
          <w:jc w:val="center"/>
        </w:trPr>
        <w:tc>
          <w:tcPr>
            <w:tcW w:w="3464"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成都高新投资集团有限公司（美元债）</w:t>
            </w:r>
          </w:p>
        </w:tc>
        <w:tc>
          <w:tcPr>
            <w:tcW w:w="99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19,903.23</w:t>
            </w:r>
          </w:p>
        </w:tc>
        <w:tc>
          <w:tcPr>
            <w:tcW w:w="53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w:t>
            </w:r>
          </w:p>
        </w:tc>
      </w:tr>
      <w:tr w:rsidR="005F475E" w:rsidRPr="007672DA" w:rsidTr="0016337A">
        <w:trPr>
          <w:trHeight w:val="270"/>
          <w:jc w:val="center"/>
        </w:trPr>
        <w:tc>
          <w:tcPr>
            <w:tcW w:w="3464"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泸州市工业投资集团有限公司</w:t>
            </w:r>
          </w:p>
        </w:tc>
        <w:tc>
          <w:tcPr>
            <w:tcW w:w="99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15,963.46</w:t>
            </w:r>
          </w:p>
        </w:tc>
        <w:tc>
          <w:tcPr>
            <w:tcW w:w="53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w:t>
            </w:r>
          </w:p>
        </w:tc>
      </w:tr>
      <w:tr w:rsidR="005F475E" w:rsidRPr="007672DA" w:rsidTr="0016337A">
        <w:trPr>
          <w:trHeight w:val="270"/>
          <w:jc w:val="center"/>
        </w:trPr>
        <w:tc>
          <w:tcPr>
            <w:tcW w:w="3464"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常州市城市建设(集团)有限公司</w:t>
            </w:r>
          </w:p>
        </w:tc>
        <w:tc>
          <w:tcPr>
            <w:tcW w:w="99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15,126.35</w:t>
            </w:r>
          </w:p>
        </w:tc>
        <w:tc>
          <w:tcPr>
            <w:tcW w:w="53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w:t>
            </w:r>
          </w:p>
        </w:tc>
      </w:tr>
      <w:tr w:rsidR="005F475E" w:rsidRPr="007672DA" w:rsidTr="0016337A">
        <w:trPr>
          <w:trHeight w:val="270"/>
          <w:jc w:val="center"/>
        </w:trPr>
        <w:tc>
          <w:tcPr>
            <w:tcW w:w="3464"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北京未来科学城发展集团有限公司</w:t>
            </w:r>
          </w:p>
        </w:tc>
        <w:tc>
          <w:tcPr>
            <w:tcW w:w="99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15,118.43</w:t>
            </w:r>
          </w:p>
        </w:tc>
        <w:tc>
          <w:tcPr>
            <w:tcW w:w="53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w:t>
            </w:r>
          </w:p>
        </w:tc>
      </w:tr>
      <w:tr w:rsidR="005F475E" w:rsidRPr="007672DA" w:rsidTr="0016337A">
        <w:trPr>
          <w:trHeight w:val="270"/>
          <w:jc w:val="center"/>
        </w:trPr>
        <w:tc>
          <w:tcPr>
            <w:tcW w:w="3464"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杭州市运河综合保护开发建设集团有限责任公司</w:t>
            </w:r>
          </w:p>
        </w:tc>
        <w:tc>
          <w:tcPr>
            <w:tcW w:w="99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15,100.41</w:t>
            </w:r>
          </w:p>
        </w:tc>
        <w:tc>
          <w:tcPr>
            <w:tcW w:w="53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w:t>
            </w:r>
          </w:p>
        </w:tc>
      </w:tr>
      <w:tr w:rsidR="005F475E" w:rsidRPr="007672DA" w:rsidTr="0016337A">
        <w:trPr>
          <w:trHeight w:val="270"/>
          <w:jc w:val="center"/>
        </w:trPr>
        <w:tc>
          <w:tcPr>
            <w:tcW w:w="3464"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广州地铁集团有限公司</w:t>
            </w:r>
          </w:p>
        </w:tc>
        <w:tc>
          <w:tcPr>
            <w:tcW w:w="99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15,087.73</w:t>
            </w:r>
          </w:p>
        </w:tc>
        <w:tc>
          <w:tcPr>
            <w:tcW w:w="53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w:t>
            </w:r>
          </w:p>
        </w:tc>
      </w:tr>
      <w:tr w:rsidR="005F475E" w:rsidRPr="007672DA" w:rsidTr="0016337A">
        <w:trPr>
          <w:trHeight w:val="270"/>
          <w:jc w:val="center"/>
        </w:trPr>
        <w:tc>
          <w:tcPr>
            <w:tcW w:w="3464"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盐城市交通控股集团有限公司</w:t>
            </w:r>
          </w:p>
        </w:tc>
        <w:tc>
          <w:tcPr>
            <w:tcW w:w="99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15,000.00</w:t>
            </w:r>
          </w:p>
        </w:tc>
        <w:tc>
          <w:tcPr>
            <w:tcW w:w="53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w:t>
            </w:r>
          </w:p>
        </w:tc>
      </w:tr>
      <w:tr w:rsidR="005F475E" w:rsidRPr="007672DA" w:rsidTr="0016337A">
        <w:trPr>
          <w:trHeight w:val="270"/>
          <w:jc w:val="center"/>
        </w:trPr>
        <w:tc>
          <w:tcPr>
            <w:tcW w:w="3464"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郴州市</w:t>
            </w:r>
            <w:proofErr w:type="gramStart"/>
            <w:r w:rsidRPr="007672DA">
              <w:rPr>
                <w:rFonts w:asciiTheme="minorEastAsia" w:hAnsiTheme="minorEastAsia" w:cs="Times New Roman" w:hint="eastAsia"/>
                <w:sz w:val="28"/>
                <w:szCs w:val="28"/>
              </w:rPr>
              <w:t>文旅产业</w:t>
            </w:r>
            <w:proofErr w:type="gramEnd"/>
            <w:r w:rsidRPr="007672DA">
              <w:rPr>
                <w:rFonts w:asciiTheme="minorEastAsia" w:hAnsiTheme="minorEastAsia" w:cs="Times New Roman" w:hint="eastAsia"/>
                <w:sz w:val="28"/>
                <w:szCs w:val="28"/>
              </w:rPr>
              <w:t>有限公司</w:t>
            </w:r>
          </w:p>
        </w:tc>
        <w:tc>
          <w:tcPr>
            <w:tcW w:w="99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13,929.84</w:t>
            </w:r>
          </w:p>
        </w:tc>
        <w:tc>
          <w:tcPr>
            <w:tcW w:w="53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w:t>
            </w:r>
          </w:p>
        </w:tc>
      </w:tr>
      <w:tr w:rsidR="005F475E" w:rsidRPr="007672DA" w:rsidTr="0016337A">
        <w:trPr>
          <w:trHeight w:val="270"/>
          <w:jc w:val="center"/>
        </w:trPr>
        <w:tc>
          <w:tcPr>
            <w:tcW w:w="3464" w:type="pct"/>
            <w:tcBorders>
              <w:bottom w:val="single" w:sz="4" w:space="0" w:color="auto"/>
            </w:tcBorders>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宁乡市城市建设投资集团有限公司</w:t>
            </w:r>
          </w:p>
        </w:tc>
        <w:tc>
          <w:tcPr>
            <w:tcW w:w="998" w:type="pct"/>
            <w:tcBorders>
              <w:bottom w:val="single" w:sz="4" w:space="0" w:color="auto"/>
            </w:tcBorders>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13,215.60</w:t>
            </w:r>
          </w:p>
        </w:tc>
        <w:tc>
          <w:tcPr>
            <w:tcW w:w="538" w:type="pct"/>
            <w:tcBorders>
              <w:bottom w:val="single" w:sz="4" w:space="0" w:color="auto"/>
            </w:tcBorders>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w:t>
            </w:r>
          </w:p>
        </w:tc>
      </w:tr>
      <w:tr w:rsidR="00964915" w:rsidRPr="007672DA" w:rsidTr="0016337A">
        <w:trPr>
          <w:trHeight w:val="270"/>
          <w:jc w:val="center"/>
        </w:trPr>
        <w:tc>
          <w:tcPr>
            <w:tcW w:w="5000" w:type="pct"/>
            <w:gridSpan w:val="3"/>
            <w:tcBorders>
              <w:left w:val="nil"/>
              <w:bottom w:val="nil"/>
              <w:right w:val="nil"/>
            </w:tcBorders>
            <w:noWrap/>
            <w:vAlign w:val="center"/>
          </w:tcPr>
          <w:p w:rsidR="00964915" w:rsidRPr="007672DA" w:rsidRDefault="00964915" w:rsidP="0022695A">
            <w:pPr>
              <w:widowControl/>
              <w:adjustRightInd w:val="0"/>
              <w:snapToGrid w:val="0"/>
              <w:jc w:val="left"/>
              <w:rPr>
                <w:rFonts w:ascii="宋体" w:eastAsia="宋体" w:hAnsi="宋体" w:cs="宋体"/>
                <w:color w:val="000000"/>
                <w:kern w:val="0"/>
                <w:sz w:val="28"/>
                <w:szCs w:val="28"/>
              </w:rPr>
            </w:pPr>
            <w:r w:rsidRPr="007672DA">
              <w:rPr>
                <w:rFonts w:ascii="仿宋" w:eastAsia="仿宋" w:hAnsi="仿宋" w:cs="宋体" w:hint="eastAsia"/>
                <w:color w:val="000000"/>
                <w:kern w:val="0"/>
                <w:sz w:val="24"/>
                <w:szCs w:val="28"/>
              </w:rPr>
              <w:t>数据来源：COMSTAR系统</w:t>
            </w:r>
            <w:r w:rsidR="0022695A" w:rsidRPr="007672DA">
              <w:rPr>
                <w:rFonts w:ascii="仿宋" w:eastAsia="仿宋" w:hAnsi="仿宋" w:cs="宋体" w:hint="eastAsia"/>
                <w:color w:val="000000"/>
                <w:kern w:val="0"/>
                <w:sz w:val="24"/>
                <w:szCs w:val="28"/>
              </w:rPr>
              <w:t>、</w:t>
            </w:r>
            <w:r w:rsidR="0022695A" w:rsidRPr="007672DA">
              <w:rPr>
                <w:rFonts w:ascii="仿宋" w:eastAsia="仿宋" w:hAnsi="仿宋" w:cs="宋体" w:hint="eastAsia"/>
                <w:color w:val="000000"/>
                <w:kern w:val="0"/>
                <w:sz w:val="24"/>
                <w:szCs w:val="24"/>
              </w:rPr>
              <w:t>资金业务管理系统，尚未</w:t>
            </w:r>
            <w:proofErr w:type="gramStart"/>
            <w:r w:rsidR="0022695A" w:rsidRPr="007672DA">
              <w:rPr>
                <w:rFonts w:ascii="仿宋" w:eastAsia="仿宋" w:hAnsi="仿宋" w:cs="宋体" w:hint="eastAsia"/>
                <w:color w:val="000000"/>
                <w:kern w:val="0"/>
                <w:sz w:val="24"/>
                <w:szCs w:val="24"/>
              </w:rPr>
              <w:t>涵盖省联社</w:t>
            </w:r>
            <w:proofErr w:type="gramEnd"/>
            <w:r w:rsidR="0022695A" w:rsidRPr="007672DA">
              <w:rPr>
                <w:rFonts w:ascii="仿宋" w:eastAsia="仿宋" w:hAnsi="仿宋" w:cs="宋体" w:hint="eastAsia"/>
                <w:color w:val="000000"/>
                <w:kern w:val="0"/>
                <w:sz w:val="24"/>
                <w:szCs w:val="24"/>
              </w:rPr>
              <w:t>资金统一平台数据</w:t>
            </w:r>
          </w:p>
        </w:tc>
      </w:tr>
      <w:tr w:rsidR="00964915" w:rsidRPr="007672DA" w:rsidTr="0016337A">
        <w:trPr>
          <w:trHeight w:val="270"/>
          <w:jc w:val="center"/>
        </w:trPr>
        <w:tc>
          <w:tcPr>
            <w:tcW w:w="5000" w:type="pct"/>
            <w:gridSpan w:val="3"/>
            <w:tcBorders>
              <w:top w:val="nil"/>
              <w:left w:val="nil"/>
              <w:bottom w:val="nil"/>
              <w:right w:val="nil"/>
            </w:tcBorders>
            <w:noWrap/>
            <w:vAlign w:val="center"/>
          </w:tcPr>
          <w:p w:rsidR="00964915" w:rsidRPr="007672DA" w:rsidRDefault="00964915" w:rsidP="00964915">
            <w:pPr>
              <w:widowControl/>
              <w:adjustRightInd w:val="0"/>
              <w:snapToGrid w:val="0"/>
              <w:jc w:val="left"/>
              <w:rPr>
                <w:rFonts w:ascii="仿宋" w:eastAsia="仿宋" w:hAnsi="仿宋" w:cs="宋体"/>
                <w:color w:val="000000"/>
                <w:kern w:val="0"/>
                <w:sz w:val="24"/>
                <w:szCs w:val="28"/>
              </w:rPr>
            </w:pPr>
            <w:r w:rsidRPr="007672DA">
              <w:rPr>
                <w:rFonts w:ascii="仿宋" w:eastAsia="仿宋" w:hAnsi="仿宋" w:cs="宋体" w:hint="eastAsia"/>
                <w:color w:val="000000"/>
                <w:kern w:val="0"/>
                <w:sz w:val="24"/>
                <w:szCs w:val="28"/>
              </w:rPr>
              <w:t>备注：覆盖同业线下、同业线上，以及</w:t>
            </w:r>
            <w:proofErr w:type="gramStart"/>
            <w:r w:rsidRPr="007672DA">
              <w:rPr>
                <w:rFonts w:ascii="仿宋" w:eastAsia="仿宋" w:hAnsi="仿宋" w:cs="宋体" w:hint="eastAsia"/>
                <w:color w:val="000000"/>
                <w:kern w:val="0"/>
                <w:sz w:val="24"/>
                <w:szCs w:val="28"/>
              </w:rPr>
              <w:t>债基项</w:t>
            </w:r>
            <w:proofErr w:type="gramEnd"/>
            <w:r w:rsidRPr="007672DA">
              <w:rPr>
                <w:rFonts w:ascii="仿宋" w:eastAsia="仿宋" w:hAnsi="仿宋" w:cs="宋体" w:hint="eastAsia"/>
                <w:color w:val="000000"/>
                <w:kern w:val="0"/>
                <w:sz w:val="24"/>
                <w:szCs w:val="28"/>
              </w:rPr>
              <w:t>下非金融企业债券投资</w:t>
            </w:r>
          </w:p>
        </w:tc>
      </w:tr>
    </w:tbl>
    <w:p w:rsidR="00457C9F" w:rsidRPr="007672DA" w:rsidRDefault="00457C9F" w:rsidP="00457C9F">
      <w:pPr>
        <w:spacing w:line="560" w:lineRule="exact"/>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省内各地市非金融债券投资情况：</w:t>
      </w:r>
    </w:p>
    <w:tbl>
      <w:tblPr>
        <w:tblStyle w:val="a3"/>
        <w:tblW w:w="5000" w:type="pct"/>
        <w:jc w:val="center"/>
        <w:tblLook w:val="04A0" w:firstRow="1" w:lastRow="0" w:firstColumn="1" w:lastColumn="0" w:noHBand="0" w:noVBand="1"/>
      </w:tblPr>
      <w:tblGrid>
        <w:gridCol w:w="3733"/>
        <w:gridCol w:w="3218"/>
        <w:gridCol w:w="1571"/>
      </w:tblGrid>
      <w:tr w:rsidR="00457C9F" w:rsidRPr="007672DA" w:rsidTr="00457C9F">
        <w:trPr>
          <w:trHeight w:val="270"/>
          <w:jc w:val="center"/>
        </w:trPr>
        <w:tc>
          <w:tcPr>
            <w:tcW w:w="2190" w:type="pct"/>
            <w:tcBorders>
              <w:top w:val="nil"/>
              <w:left w:val="nil"/>
              <w:right w:val="nil"/>
            </w:tcBorders>
            <w:noWrap/>
            <w:vAlign w:val="center"/>
          </w:tcPr>
          <w:p w:rsidR="00457C9F" w:rsidRPr="007672DA" w:rsidRDefault="00457C9F" w:rsidP="00773832">
            <w:pPr>
              <w:widowControl/>
              <w:adjustRightInd w:val="0"/>
              <w:snapToGrid w:val="0"/>
              <w:rPr>
                <w:rFonts w:ascii="宋体" w:eastAsia="宋体" w:hAnsi="宋体" w:cs="宋体"/>
                <w:b/>
                <w:color w:val="000000"/>
                <w:kern w:val="0"/>
                <w:sz w:val="28"/>
                <w:szCs w:val="28"/>
              </w:rPr>
            </w:pPr>
            <w:r w:rsidRPr="007672DA">
              <w:rPr>
                <w:rFonts w:ascii="仿宋" w:eastAsia="仿宋" w:hAnsi="仿宋" w:cs="宋体" w:hint="eastAsia"/>
                <w:color w:val="000000"/>
                <w:kern w:val="0"/>
                <w:sz w:val="24"/>
                <w:szCs w:val="24"/>
              </w:rPr>
              <w:t>部门:同业业务中心</w:t>
            </w:r>
          </w:p>
        </w:tc>
        <w:tc>
          <w:tcPr>
            <w:tcW w:w="2810" w:type="pct"/>
            <w:gridSpan w:val="2"/>
            <w:tcBorders>
              <w:top w:val="nil"/>
              <w:left w:val="nil"/>
              <w:right w:val="nil"/>
            </w:tcBorders>
            <w:noWrap/>
            <w:vAlign w:val="center"/>
          </w:tcPr>
          <w:p w:rsidR="00457C9F" w:rsidRPr="007672DA" w:rsidRDefault="00457C9F" w:rsidP="00457C9F">
            <w:pPr>
              <w:widowControl/>
              <w:adjustRightInd w:val="0"/>
              <w:snapToGrid w:val="0"/>
              <w:jc w:val="right"/>
              <w:rPr>
                <w:rFonts w:ascii="宋体" w:eastAsia="宋体" w:hAnsi="宋体" w:cs="宋体"/>
                <w:b/>
                <w:color w:val="000000"/>
                <w:kern w:val="0"/>
                <w:sz w:val="28"/>
                <w:szCs w:val="28"/>
              </w:rPr>
            </w:pPr>
            <w:r w:rsidRPr="007672DA">
              <w:rPr>
                <w:rFonts w:ascii="仿宋" w:eastAsia="仿宋" w:hAnsi="仿宋" w:cs="宋体" w:hint="eastAsia"/>
                <w:color w:val="000000"/>
                <w:kern w:val="0"/>
                <w:sz w:val="24"/>
                <w:szCs w:val="24"/>
              </w:rPr>
              <w:t>单位：万元、%</w:t>
            </w:r>
          </w:p>
        </w:tc>
      </w:tr>
      <w:tr w:rsidR="00457C9F" w:rsidRPr="007672DA" w:rsidTr="00457C9F">
        <w:trPr>
          <w:trHeight w:val="270"/>
          <w:jc w:val="center"/>
        </w:trPr>
        <w:tc>
          <w:tcPr>
            <w:tcW w:w="2190" w:type="pct"/>
            <w:noWrap/>
            <w:hideMark/>
          </w:tcPr>
          <w:p w:rsidR="00457C9F" w:rsidRPr="007672DA" w:rsidRDefault="00457C9F" w:rsidP="00773832">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城市</w:t>
            </w:r>
          </w:p>
        </w:tc>
        <w:tc>
          <w:tcPr>
            <w:tcW w:w="1888" w:type="pct"/>
            <w:noWrap/>
            <w:hideMark/>
          </w:tcPr>
          <w:p w:rsidR="00457C9F" w:rsidRPr="007672DA" w:rsidRDefault="00457C9F" w:rsidP="00773832">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业务余额</w:t>
            </w:r>
          </w:p>
        </w:tc>
        <w:tc>
          <w:tcPr>
            <w:tcW w:w="922" w:type="pct"/>
            <w:noWrap/>
            <w:hideMark/>
          </w:tcPr>
          <w:p w:rsidR="00457C9F" w:rsidRPr="007672DA" w:rsidRDefault="00457C9F" w:rsidP="00773832">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占比</w:t>
            </w:r>
          </w:p>
        </w:tc>
      </w:tr>
      <w:tr w:rsidR="005F475E" w:rsidRPr="007672DA" w:rsidTr="00CA3CF5">
        <w:trPr>
          <w:trHeight w:val="270"/>
          <w:jc w:val="center"/>
        </w:trPr>
        <w:tc>
          <w:tcPr>
            <w:tcW w:w="2190"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漳州市</w:t>
            </w:r>
          </w:p>
        </w:tc>
        <w:tc>
          <w:tcPr>
            <w:tcW w:w="188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5,000.00</w:t>
            </w:r>
          </w:p>
        </w:tc>
        <w:tc>
          <w:tcPr>
            <w:tcW w:w="922"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19.29%</w:t>
            </w:r>
          </w:p>
        </w:tc>
      </w:tr>
      <w:tr w:rsidR="005F475E" w:rsidRPr="007672DA" w:rsidTr="00CA3CF5">
        <w:trPr>
          <w:trHeight w:val="270"/>
          <w:jc w:val="center"/>
        </w:trPr>
        <w:tc>
          <w:tcPr>
            <w:tcW w:w="2190"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永安市</w:t>
            </w:r>
          </w:p>
        </w:tc>
        <w:tc>
          <w:tcPr>
            <w:tcW w:w="188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10,000.00</w:t>
            </w:r>
          </w:p>
        </w:tc>
        <w:tc>
          <w:tcPr>
            <w:tcW w:w="922"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38.59%</w:t>
            </w:r>
          </w:p>
        </w:tc>
      </w:tr>
      <w:tr w:rsidR="005F475E" w:rsidRPr="007672DA" w:rsidTr="00CA3CF5">
        <w:trPr>
          <w:trHeight w:val="270"/>
          <w:jc w:val="center"/>
        </w:trPr>
        <w:tc>
          <w:tcPr>
            <w:tcW w:w="2190"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厦门市</w:t>
            </w:r>
          </w:p>
        </w:tc>
        <w:tc>
          <w:tcPr>
            <w:tcW w:w="188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1,963.71</w:t>
            </w:r>
          </w:p>
        </w:tc>
        <w:tc>
          <w:tcPr>
            <w:tcW w:w="922"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7.58%</w:t>
            </w:r>
          </w:p>
        </w:tc>
      </w:tr>
      <w:tr w:rsidR="005F475E" w:rsidRPr="007672DA" w:rsidTr="00CA3CF5">
        <w:trPr>
          <w:trHeight w:val="270"/>
          <w:jc w:val="center"/>
        </w:trPr>
        <w:tc>
          <w:tcPr>
            <w:tcW w:w="2190"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福州市</w:t>
            </w:r>
          </w:p>
        </w:tc>
        <w:tc>
          <w:tcPr>
            <w:tcW w:w="1888"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3,991.66</w:t>
            </w:r>
          </w:p>
        </w:tc>
        <w:tc>
          <w:tcPr>
            <w:tcW w:w="922"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15.40%</w:t>
            </w:r>
          </w:p>
        </w:tc>
      </w:tr>
      <w:tr w:rsidR="005F475E" w:rsidRPr="007672DA" w:rsidTr="00CA3CF5">
        <w:trPr>
          <w:trHeight w:val="270"/>
          <w:jc w:val="center"/>
        </w:trPr>
        <w:tc>
          <w:tcPr>
            <w:tcW w:w="2190"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晋江市</w:t>
            </w:r>
          </w:p>
        </w:tc>
        <w:tc>
          <w:tcPr>
            <w:tcW w:w="1888"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4,960.61</w:t>
            </w:r>
          </w:p>
        </w:tc>
        <w:tc>
          <w:tcPr>
            <w:tcW w:w="922"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19.14%</w:t>
            </w:r>
          </w:p>
        </w:tc>
      </w:tr>
      <w:tr w:rsidR="005F475E" w:rsidRPr="007672DA" w:rsidTr="00CA3CF5">
        <w:trPr>
          <w:trHeight w:val="270"/>
          <w:jc w:val="center"/>
        </w:trPr>
        <w:tc>
          <w:tcPr>
            <w:tcW w:w="2190" w:type="pct"/>
            <w:tcBorders>
              <w:bottom w:val="single" w:sz="4" w:space="0" w:color="auto"/>
            </w:tcBorders>
            <w:noWrap/>
            <w:vAlign w:val="center"/>
            <w:hideMark/>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lastRenderedPageBreak/>
              <w:t>合计</w:t>
            </w:r>
          </w:p>
        </w:tc>
        <w:tc>
          <w:tcPr>
            <w:tcW w:w="1888" w:type="pct"/>
            <w:tcBorders>
              <w:bottom w:val="single" w:sz="4" w:space="0" w:color="auto"/>
            </w:tcBorders>
            <w:noWrap/>
            <w:vAlign w:val="center"/>
            <w:hideMark/>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25,915.98</w:t>
            </w:r>
          </w:p>
        </w:tc>
        <w:tc>
          <w:tcPr>
            <w:tcW w:w="922" w:type="pct"/>
            <w:tcBorders>
              <w:bottom w:val="single" w:sz="4" w:space="0" w:color="auto"/>
            </w:tcBorders>
            <w:noWrap/>
            <w:vAlign w:val="center"/>
            <w:hideMark/>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100.00%</w:t>
            </w:r>
          </w:p>
        </w:tc>
      </w:tr>
      <w:tr w:rsidR="00457C9F" w:rsidRPr="007672DA" w:rsidTr="00457C9F">
        <w:trPr>
          <w:trHeight w:val="270"/>
          <w:jc w:val="center"/>
        </w:trPr>
        <w:tc>
          <w:tcPr>
            <w:tcW w:w="5000" w:type="pct"/>
            <w:gridSpan w:val="3"/>
            <w:tcBorders>
              <w:left w:val="nil"/>
              <w:bottom w:val="nil"/>
              <w:right w:val="nil"/>
            </w:tcBorders>
            <w:noWrap/>
            <w:vAlign w:val="center"/>
          </w:tcPr>
          <w:p w:rsidR="00457C9F" w:rsidRPr="007672DA" w:rsidRDefault="00457C9F" w:rsidP="0022695A">
            <w:pPr>
              <w:widowControl/>
              <w:adjustRightInd w:val="0"/>
              <w:snapToGrid w:val="0"/>
              <w:jc w:val="left"/>
              <w:rPr>
                <w:rFonts w:ascii="宋体" w:eastAsia="宋体" w:hAnsi="宋体" w:cs="宋体"/>
                <w:color w:val="000000"/>
                <w:kern w:val="0"/>
                <w:sz w:val="28"/>
                <w:szCs w:val="28"/>
              </w:rPr>
            </w:pPr>
            <w:r w:rsidRPr="007672DA">
              <w:rPr>
                <w:rFonts w:ascii="仿宋" w:eastAsia="仿宋" w:hAnsi="仿宋" w:cs="宋体" w:hint="eastAsia"/>
                <w:color w:val="000000"/>
                <w:kern w:val="0"/>
                <w:sz w:val="24"/>
                <w:szCs w:val="28"/>
              </w:rPr>
              <w:t>数据来源：COMSTAR系统</w:t>
            </w:r>
            <w:r w:rsidR="0022695A" w:rsidRPr="007672DA">
              <w:rPr>
                <w:rFonts w:ascii="仿宋" w:eastAsia="仿宋" w:hAnsi="仿宋" w:cs="宋体" w:hint="eastAsia"/>
                <w:color w:val="000000"/>
                <w:kern w:val="0"/>
                <w:sz w:val="24"/>
                <w:szCs w:val="28"/>
              </w:rPr>
              <w:t>、</w:t>
            </w:r>
            <w:r w:rsidR="0022695A" w:rsidRPr="007672DA">
              <w:rPr>
                <w:rFonts w:ascii="仿宋" w:eastAsia="仿宋" w:hAnsi="仿宋" w:cs="宋体" w:hint="eastAsia"/>
                <w:color w:val="000000"/>
                <w:kern w:val="0"/>
                <w:sz w:val="24"/>
                <w:szCs w:val="24"/>
              </w:rPr>
              <w:t>资金业务管理系统，尚未</w:t>
            </w:r>
            <w:proofErr w:type="gramStart"/>
            <w:r w:rsidR="0022695A" w:rsidRPr="007672DA">
              <w:rPr>
                <w:rFonts w:ascii="仿宋" w:eastAsia="仿宋" w:hAnsi="仿宋" w:cs="宋体" w:hint="eastAsia"/>
                <w:color w:val="000000"/>
                <w:kern w:val="0"/>
                <w:sz w:val="24"/>
                <w:szCs w:val="24"/>
              </w:rPr>
              <w:t>涵盖省联社</w:t>
            </w:r>
            <w:proofErr w:type="gramEnd"/>
            <w:r w:rsidR="0022695A" w:rsidRPr="007672DA">
              <w:rPr>
                <w:rFonts w:ascii="仿宋" w:eastAsia="仿宋" w:hAnsi="仿宋" w:cs="宋体" w:hint="eastAsia"/>
                <w:color w:val="000000"/>
                <w:kern w:val="0"/>
                <w:sz w:val="24"/>
                <w:szCs w:val="24"/>
              </w:rPr>
              <w:t>资金统一平台</w:t>
            </w:r>
          </w:p>
        </w:tc>
      </w:tr>
      <w:tr w:rsidR="00457C9F" w:rsidRPr="007672DA" w:rsidTr="00457C9F">
        <w:trPr>
          <w:trHeight w:val="270"/>
          <w:jc w:val="center"/>
        </w:trPr>
        <w:tc>
          <w:tcPr>
            <w:tcW w:w="5000" w:type="pct"/>
            <w:gridSpan w:val="3"/>
            <w:tcBorders>
              <w:top w:val="nil"/>
              <w:left w:val="nil"/>
              <w:bottom w:val="nil"/>
              <w:right w:val="nil"/>
            </w:tcBorders>
            <w:noWrap/>
            <w:vAlign w:val="center"/>
          </w:tcPr>
          <w:p w:rsidR="00457C9F" w:rsidRPr="007672DA" w:rsidRDefault="00457C9F" w:rsidP="00773832">
            <w:pPr>
              <w:widowControl/>
              <w:adjustRightInd w:val="0"/>
              <w:snapToGrid w:val="0"/>
              <w:jc w:val="left"/>
              <w:rPr>
                <w:rFonts w:ascii="仿宋" w:eastAsia="仿宋" w:hAnsi="仿宋" w:cs="宋体"/>
                <w:color w:val="000000"/>
                <w:kern w:val="0"/>
                <w:sz w:val="24"/>
                <w:szCs w:val="28"/>
              </w:rPr>
            </w:pPr>
            <w:r w:rsidRPr="007672DA">
              <w:rPr>
                <w:rFonts w:ascii="仿宋" w:eastAsia="仿宋" w:hAnsi="仿宋" w:cs="宋体" w:hint="eastAsia"/>
                <w:color w:val="000000"/>
                <w:kern w:val="0"/>
                <w:sz w:val="24"/>
                <w:szCs w:val="28"/>
              </w:rPr>
              <w:t>备注：覆盖同业线下、同业线上，以及</w:t>
            </w:r>
            <w:proofErr w:type="gramStart"/>
            <w:r w:rsidRPr="007672DA">
              <w:rPr>
                <w:rFonts w:ascii="仿宋" w:eastAsia="仿宋" w:hAnsi="仿宋" w:cs="宋体" w:hint="eastAsia"/>
                <w:color w:val="000000"/>
                <w:kern w:val="0"/>
                <w:sz w:val="24"/>
                <w:szCs w:val="28"/>
              </w:rPr>
              <w:t>债基项</w:t>
            </w:r>
            <w:proofErr w:type="gramEnd"/>
            <w:r w:rsidRPr="007672DA">
              <w:rPr>
                <w:rFonts w:ascii="仿宋" w:eastAsia="仿宋" w:hAnsi="仿宋" w:cs="宋体" w:hint="eastAsia"/>
                <w:color w:val="000000"/>
                <w:kern w:val="0"/>
                <w:sz w:val="24"/>
                <w:szCs w:val="28"/>
              </w:rPr>
              <w:t>下非金融企业债券投资</w:t>
            </w:r>
          </w:p>
        </w:tc>
      </w:tr>
    </w:tbl>
    <w:p w:rsidR="009E2131" w:rsidRPr="007672DA" w:rsidRDefault="009E2131" w:rsidP="009E2131">
      <w:pPr>
        <w:spacing w:line="560" w:lineRule="exact"/>
        <w:ind w:firstLineChars="200" w:firstLine="643"/>
        <w:rPr>
          <w:rFonts w:ascii="仿宋_GB2312" w:eastAsia="仿宋_GB2312" w:hAnsi="Calibri" w:cs="Times New Roman"/>
          <w:b/>
          <w:sz w:val="32"/>
          <w:szCs w:val="32"/>
        </w:rPr>
      </w:pPr>
      <w:r w:rsidRPr="007672DA">
        <w:rPr>
          <w:rFonts w:ascii="仿宋_GB2312" w:eastAsia="仿宋_GB2312" w:hAnsi="Calibri" w:cs="Times New Roman"/>
          <w:b/>
          <w:sz w:val="32"/>
          <w:szCs w:val="32"/>
        </w:rPr>
        <w:t>（</w:t>
      </w:r>
      <w:r w:rsidRPr="007672DA">
        <w:rPr>
          <w:rFonts w:ascii="仿宋_GB2312" w:eastAsia="仿宋_GB2312" w:hAnsi="Calibri" w:cs="Times New Roman" w:hint="eastAsia"/>
          <w:b/>
          <w:sz w:val="32"/>
          <w:szCs w:val="32"/>
        </w:rPr>
        <w:t>2</w:t>
      </w:r>
      <w:r w:rsidRPr="007672DA">
        <w:rPr>
          <w:rFonts w:ascii="仿宋_GB2312" w:eastAsia="仿宋_GB2312" w:hAnsi="Calibri" w:cs="Times New Roman"/>
          <w:b/>
          <w:sz w:val="32"/>
          <w:szCs w:val="32"/>
        </w:rPr>
        <w:t>）理财事业部</w:t>
      </w:r>
    </w:p>
    <w:tbl>
      <w:tblPr>
        <w:tblStyle w:val="a3"/>
        <w:tblW w:w="8440" w:type="dxa"/>
        <w:jc w:val="center"/>
        <w:tblInd w:w="142" w:type="dxa"/>
        <w:tblLayout w:type="fixed"/>
        <w:tblLook w:val="04A0" w:firstRow="1" w:lastRow="0" w:firstColumn="1" w:lastColumn="0" w:noHBand="0" w:noVBand="1"/>
      </w:tblPr>
      <w:tblGrid>
        <w:gridCol w:w="2518"/>
        <w:gridCol w:w="1410"/>
        <w:gridCol w:w="1421"/>
        <w:gridCol w:w="1701"/>
        <w:gridCol w:w="1390"/>
      </w:tblGrid>
      <w:tr w:rsidR="00BC6F6D" w:rsidRPr="007672DA" w:rsidTr="009822EF">
        <w:trPr>
          <w:trHeight w:val="270"/>
          <w:jc w:val="center"/>
        </w:trPr>
        <w:tc>
          <w:tcPr>
            <w:tcW w:w="2518" w:type="dxa"/>
            <w:tcBorders>
              <w:top w:val="nil"/>
              <w:left w:val="nil"/>
              <w:right w:val="nil"/>
            </w:tcBorders>
            <w:noWrap/>
            <w:hideMark/>
          </w:tcPr>
          <w:p w:rsidR="00BC6F6D" w:rsidRPr="007672DA" w:rsidRDefault="00BC6F6D" w:rsidP="00E97610">
            <w:pPr>
              <w:widowControl/>
              <w:jc w:val="left"/>
              <w:rPr>
                <w:rFonts w:ascii="仿宋" w:eastAsia="仿宋" w:hAnsi="仿宋" w:cs="宋体"/>
                <w:color w:val="000000"/>
                <w:kern w:val="0"/>
                <w:sz w:val="24"/>
                <w:szCs w:val="28"/>
              </w:rPr>
            </w:pPr>
            <w:r w:rsidRPr="007672DA">
              <w:rPr>
                <w:rFonts w:ascii="仿宋" w:eastAsia="仿宋" w:hAnsi="仿宋" w:cs="宋体" w:hint="eastAsia"/>
                <w:color w:val="000000"/>
                <w:kern w:val="0"/>
                <w:sz w:val="24"/>
                <w:szCs w:val="28"/>
              </w:rPr>
              <w:t>部门:理财事业部</w:t>
            </w:r>
          </w:p>
        </w:tc>
        <w:tc>
          <w:tcPr>
            <w:tcW w:w="1410" w:type="dxa"/>
            <w:tcBorders>
              <w:top w:val="nil"/>
              <w:left w:val="nil"/>
              <w:right w:val="nil"/>
            </w:tcBorders>
            <w:noWrap/>
            <w:hideMark/>
          </w:tcPr>
          <w:p w:rsidR="00BC6F6D" w:rsidRPr="007672DA" w:rsidRDefault="00BC6F6D" w:rsidP="00E97610">
            <w:pPr>
              <w:widowControl/>
              <w:jc w:val="left"/>
              <w:rPr>
                <w:rFonts w:ascii="仿宋" w:eastAsia="仿宋" w:hAnsi="仿宋" w:cs="宋体"/>
                <w:color w:val="000000"/>
                <w:kern w:val="0"/>
                <w:sz w:val="24"/>
                <w:szCs w:val="28"/>
              </w:rPr>
            </w:pPr>
          </w:p>
        </w:tc>
        <w:tc>
          <w:tcPr>
            <w:tcW w:w="1421" w:type="dxa"/>
            <w:tcBorders>
              <w:top w:val="nil"/>
              <w:left w:val="nil"/>
              <w:right w:val="nil"/>
            </w:tcBorders>
            <w:noWrap/>
            <w:hideMark/>
          </w:tcPr>
          <w:p w:rsidR="00BC6F6D" w:rsidRPr="007672DA" w:rsidRDefault="00BC6F6D" w:rsidP="00E97610">
            <w:pPr>
              <w:widowControl/>
              <w:jc w:val="left"/>
              <w:rPr>
                <w:rFonts w:ascii="仿宋" w:eastAsia="仿宋" w:hAnsi="仿宋" w:cs="宋体"/>
                <w:color w:val="000000"/>
                <w:kern w:val="0"/>
                <w:sz w:val="24"/>
                <w:szCs w:val="28"/>
              </w:rPr>
            </w:pPr>
          </w:p>
        </w:tc>
        <w:tc>
          <w:tcPr>
            <w:tcW w:w="3091" w:type="dxa"/>
            <w:gridSpan w:val="2"/>
            <w:tcBorders>
              <w:top w:val="nil"/>
              <w:left w:val="nil"/>
              <w:right w:val="nil"/>
            </w:tcBorders>
            <w:noWrap/>
            <w:vAlign w:val="center"/>
            <w:hideMark/>
          </w:tcPr>
          <w:p w:rsidR="00BC6F6D" w:rsidRPr="007672DA" w:rsidRDefault="00BC6F6D" w:rsidP="00BC6F6D">
            <w:pPr>
              <w:widowControl/>
              <w:jc w:val="right"/>
              <w:rPr>
                <w:rFonts w:ascii="仿宋" w:eastAsia="仿宋" w:hAnsi="仿宋" w:cs="宋体"/>
                <w:color w:val="000000"/>
                <w:kern w:val="0"/>
                <w:sz w:val="24"/>
                <w:szCs w:val="28"/>
              </w:rPr>
            </w:pPr>
            <w:r w:rsidRPr="007672DA">
              <w:rPr>
                <w:rFonts w:ascii="仿宋" w:eastAsia="仿宋" w:hAnsi="仿宋" w:cs="宋体" w:hint="eastAsia"/>
                <w:color w:val="000000"/>
                <w:kern w:val="0"/>
                <w:sz w:val="24"/>
                <w:szCs w:val="28"/>
              </w:rPr>
              <w:t>单位：万元、笔</w:t>
            </w:r>
          </w:p>
        </w:tc>
      </w:tr>
      <w:tr w:rsidR="00BC6F6D" w:rsidRPr="007672DA" w:rsidTr="009822EF">
        <w:trPr>
          <w:trHeight w:val="270"/>
          <w:jc w:val="center"/>
        </w:trPr>
        <w:tc>
          <w:tcPr>
            <w:tcW w:w="2518" w:type="dxa"/>
            <w:noWrap/>
            <w:hideMark/>
          </w:tcPr>
          <w:p w:rsidR="00BC6F6D" w:rsidRPr="007672DA" w:rsidRDefault="00BC6F6D" w:rsidP="00E97610">
            <w:pPr>
              <w:widowControl/>
              <w:adjustRightInd w:val="0"/>
              <w:snapToGrid w:val="0"/>
              <w:jc w:val="center"/>
              <w:rPr>
                <w:rFonts w:asciiTheme="minorEastAsia" w:hAnsiTheme="minorEastAsia" w:cs="宋体"/>
                <w:b/>
                <w:color w:val="000000"/>
                <w:kern w:val="0"/>
                <w:sz w:val="28"/>
                <w:szCs w:val="28"/>
              </w:rPr>
            </w:pPr>
            <w:r w:rsidRPr="007672DA">
              <w:rPr>
                <w:rFonts w:asciiTheme="minorEastAsia" w:hAnsiTheme="minorEastAsia" w:cs="宋体" w:hint="eastAsia"/>
                <w:b/>
                <w:color w:val="000000"/>
                <w:kern w:val="0"/>
                <w:sz w:val="28"/>
                <w:szCs w:val="28"/>
              </w:rPr>
              <w:t>区间</w:t>
            </w:r>
          </w:p>
        </w:tc>
        <w:tc>
          <w:tcPr>
            <w:tcW w:w="1410" w:type="dxa"/>
            <w:noWrap/>
            <w:hideMark/>
          </w:tcPr>
          <w:p w:rsidR="00BC6F6D" w:rsidRPr="007672DA" w:rsidRDefault="00BC6F6D" w:rsidP="00E97610">
            <w:pPr>
              <w:widowControl/>
              <w:adjustRightInd w:val="0"/>
              <w:snapToGrid w:val="0"/>
              <w:jc w:val="center"/>
              <w:rPr>
                <w:rFonts w:asciiTheme="minorEastAsia" w:hAnsiTheme="minorEastAsia" w:cs="宋体"/>
                <w:b/>
                <w:color w:val="000000"/>
                <w:kern w:val="0"/>
                <w:sz w:val="28"/>
                <w:szCs w:val="28"/>
              </w:rPr>
            </w:pPr>
            <w:r w:rsidRPr="007672DA">
              <w:rPr>
                <w:rFonts w:asciiTheme="minorEastAsia" w:hAnsiTheme="minorEastAsia" w:cs="宋体" w:hint="eastAsia"/>
                <w:b/>
                <w:color w:val="000000"/>
                <w:kern w:val="0"/>
                <w:sz w:val="28"/>
                <w:szCs w:val="28"/>
              </w:rPr>
              <w:t>主体数量</w:t>
            </w:r>
          </w:p>
        </w:tc>
        <w:tc>
          <w:tcPr>
            <w:tcW w:w="1421" w:type="dxa"/>
            <w:noWrap/>
            <w:hideMark/>
          </w:tcPr>
          <w:p w:rsidR="00BC6F6D" w:rsidRPr="007672DA" w:rsidRDefault="00BC6F6D" w:rsidP="00BC6F6D">
            <w:pPr>
              <w:widowControl/>
              <w:adjustRightInd w:val="0"/>
              <w:snapToGrid w:val="0"/>
              <w:jc w:val="center"/>
              <w:rPr>
                <w:rFonts w:asciiTheme="minorEastAsia" w:hAnsiTheme="minorEastAsia" w:cs="宋体"/>
                <w:b/>
                <w:color w:val="000000"/>
                <w:kern w:val="0"/>
                <w:sz w:val="28"/>
                <w:szCs w:val="28"/>
              </w:rPr>
            </w:pPr>
            <w:r w:rsidRPr="007672DA">
              <w:rPr>
                <w:rFonts w:asciiTheme="minorEastAsia" w:hAnsiTheme="minorEastAsia" w:cs="宋体" w:hint="eastAsia"/>
                <w:b/>
                <w:color w:val="000000"/>
                <w:kern w:val="0"/>
                <w:sz w:val="28"/>
                <w:szCs w:val="28"/>
              </w:rPr>
              <w:t>业务笔数</w:t>
            </w:r>
          </w:p>
        </w:tc>
        <w:tc>
          <w:tcPr>
            <w:tcW w:w="1701" w:type="dxa"/>
            <w:noWrap/>
            <w:hideMark/>
          </w:tcPr>
          <w:p w:rsidR="00BC6F6D" w:rsidRPr="007672DA" w:rsidRDefault="00BC6F6D" w:rsidP="00E97610">
            <w:pPr>
              <w:widowControl/>
              <w:adjustRightInd w:val="0"/>
              <w:snapToGrid w:val="0"/>
              <w:jc w:val="center"/>
              <w:rPr>
                <w:rFonts w:asciiTheme="minorEastAsia" w:hAnsiTheme="minorEastAsia" w:cs="宋体"/>
                <w:b/>
                <w:color w:val="000000"/>
                <w:kern w:val="0"/>
                <w:sz w:val="28"/>
                <w:szCs w:val="28"/>
              </w:rPr>
            </w:pPr>
            <w:r w:rsidRPr="007672DA">
              <w:rPr>
                <w:rFonts w:asciiTheme="minorEastAsia" w:hAnsiTheme="minorEastAsia" w:cs="宋体" w:hint="eastAsia"/>
                <w:b/>
                <w:color w:val="000000"/>
                <w:kern w:val="0"/>
                <w:sz w:val="28"/>
                <w:szCs w:val="28"/>
              </w:rPr>
              <w:t>业务余额</w:t>
            </w:r>
          </w:p>
        </w:tc>
        <w:tc>
          <w:tcPr>
            <w:tcW w:w="1390" w:type="dxa"/>
          </w:tcPr>
          <w:p w:rsidR="00BC6F6D" w:rsidRPr="007672DA" w:rsidRDefault="00BC6F6D" w:rsidP="00E97610">
            <w:pPr>
              <w:widowControl/>
              <w:adjustRightInd w:val="0"/>
              <w:snapToGrid w:val="0"/>
              <w:jc w:val="center"/>
              <w:rPr>
                <w:rFonts w:asciiTheme="minorEastAsia" w:hAnsiTheme="minorEastAsia" w:cs="宋体"/>
                <w:b/>
                <w:color w:val="000000"/>
                <w:kern w:val="0"/>
                <w:sz w:val="28"/>
                <w:szCs w:val="28"/>
              </w:rPr>
            </w:pPr>
            <w:r w:rsidRPr="007672DA">
              <w:rPr>
                <w:rFonts w:asciiTheme="minorEastAsia" w:hAnsiTheme="minorEastAsia" w:cs="宋体" w:hint="eastAsia"/>
                <w:b/>
                <w:color w:val="000000"/>
                <w:kern w:val="0"/>
                <w:sz w:val="28"/>
                <w:szCs w:val="28"/>
              </w:rPr>
              <w:t>占比</w:t>
            </w:r>
          </w:p>
        </w:tc>
      </w:tr>
      <w:tr w:rsidR="005F475E" w:rsidRPr="007672DA" w:rsidTr="001B5773">
        <w:trPr>
          <w:trHeight w:val="270"/>
          <w:jc w:val="center"/>
        </w:trPr>
        <w:tc>
          <w:tcPr>
            <w:tcW w:w="2518" w:type="dxa"/>
            <w:noWrap/>
            <w:hideMark/>
          </w:tcPr>
          <w:p w:rsidR="005F475E" w:rsidRPr="007672DA" w:rsidRDefault="005F475E" w:rsidP="00532F96">
            <w:pPr>
              <w:widowControl/>
              <w:adjustRightInd w:val="0"/>
              <w:snapToGrid w:val="0"/>
              <w:jc w:val="center"/>
              <w:rPr>
                <w:rFonts w:asciiTheme="minorEastAsia" w:hAnsiTheme="minorEastAsia" w:cs="宋体"/>
                <w:color w:val="000000"/>
                <w:kern w:val="0"/>
                <w:sz w:val="28"/>
                <w:szCs w:val="28"/>
              </w:rPr>
            </w:pPr>
            <w:r w:rsidRPr="007672DA">
              <w:rPr>
                <w:rFonts w:asciiTheme="minorEastAsia" w:hAnsiTheme="minorEastAsia" w:cs="宋体" w:hint="eastAsia"/>
                <w:color w:val="000000"/>
                <w:kern w:val="0"/>
                <w:sz w:val="28"/>
                <w:szCs w:val="28"/>
              </w:rPr>
              <w:t>低于5</w:t>
            </w:r>
            <w:proofErr w:type="gramStart"/>
            <w:r w:rsidRPr="007672DA">
              <w:rPr>
                <w:rFonts w:asciiTheme="minorEastAsia" w:hAnsiTheme="minorEastAsia" w:cs="宋体" w:hint="eastAsia"/>
                <w:color w:val="000000"/>
                <w:kern w:val="0"/>
                <w:sz w:val="28"/>
                <w:szCs w:val="28"/>
              </w:rPr>
              <w:t>千万</w:t>
            </w:r>
            <w:proofErr w:type="gramEnd"/>
            <w:r w:rsidRPr="007672DA">
              <w:rPr>
                <w:rFonts w:asciiTheme="minorEastAsia" w:hAnsiTheme="minorEastAsia" w:cs="宋体" w:hint="eastAsia"/>
                <w:color w:val="000000"/>
                <w:kern w:val="0"/>
                <w:sz w:val="28"/>
                <w:szCs w:val="28"/>
              </w:rPr>
              <w:t>（含）</w:t>
            </w:r>
          </w:p>
        </w:tc>
        <w:tc>
          <w:tcPr>
            <w:tcW w:w="1410" w:type="dxa"/>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71</w:t>
            </w:r>
          </w:p>
        </w:tc>
        <w:tc>
          <w:tcPr>
            <w:tcW w:w="1421" w:type="dxa"/>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94</w:t>
            </w:r>
          </w:p>
        </w:tc>
        <w:tc>
          <w:tcPr>
            <w:tcW w:w="1701" w:type="dxa"/>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178,509.87</w:t>
            </w:r>
          </w:p>
        </w:tc>
        <w:tc>
          <w:tcPr>
            <w:tcW w:w="1390" w:type="dxa"/>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21.37%</w:t>
            </w:r>
          </w:p>
        </w:tc>
      </w:tr>
      <w:tr w:rsidR="005F475E" w:rsidRPr="007672DA" w:rsidTr="001B5773">
        <w:trPr>
          <w:trHeight w:val="270"/>
          <w:jc w:val="center"/>
        </w:trPr>
        <w:tc>
          <w:tcPr>
            <w:tcW w:w="2518" w:type="dxa"/>
            <w:noWrap/>
            <w:hideMark/>
          </w:tcPr>
          <w:p w:rsidR="005F475E" w:rsidRPr="007672DA" w:rsidRDefault="005F475E" w:rsidP="00E97610">
            <w:pPr>
              <w:widowControl/>
              <w:adjustRightInd w:val="0"/>
              <w:snapToGrid w:val="0"/>
              <w:jc w:val="center"/>
              <w:rPr>
                <w:rFonts w:asciiTheme="minorEastAsia" w:hAnsiTheme="minorEastAsia" w:cs="宋体"/>
                <w:color w:val="000000"/>
                <w:kern w:val="0"/>
                <w:sz w:val="28"/>
                <w:szCs w:val="28"/>
              </w:rPr>
            </w:pPr>
            <w:r w:rsidRPr="007672DA">
              <w:rPr>
                <w:rFonts w:asciiTheme="minorEastAsia" w:hAnsiTheme="minorEastAsia" w:cs="宋体" w:hint="eastAsia"/>
                <w:color w:val="000000"/>
                <w:kern w:val="0"/>
                <w:sz w:val="28"/>
                <w:szCs w:val="28"/>
              </w:rPr>
              <w:t>5</w:t>
            </w:r>
            <w:proofErr w:type="gramStart"/>
            <w:r w:rsidRPr="007672DA">
              <w:rPr>
                <w:rFonts w:asciiTheme="minorEastAsia" w:hAnsiTheme="minorEastAsia" w:cs="宋体" w:hint="eastAsia"/>
                <w:color w:val="000000"/>
                <w:kern w:val="0"/>
                <w:sz w:val="28"/>
                <w:szCs w:val="28"/>
              </w:rPr>
              <w:t>千万</w:t>
            </w:r>
            <w:proofErr w:type="gramEnd"/>
            <w:r w:rsidRPr="007672DA">
              <w:rPr>
                <w:rFonts w:asciiTheme="minorEastAsia" w:hAnsiTheme="minorEastAsia" w:cs="宋体" w:hint="eastAsia"/>
                <w:color w:val="000000"/>
                <w:kern w:val="0"/>
                <w:sz w:val="28"/>
                <w:szCs w:val="28"/>
              </w:rPr>
              <w:t>至1亿（含）</w:t>
            </w:r>
          </w:p>
        </w:tc>
        <w:tc>
          <w:tcPr>
            <w:tcW w:w="1410" w:type="dxa"/>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45</w:t>
            </w:r>
          </w:p>
        </w:tc>
        <w:tc>
          <w:tcPr>
            <w:tcW w:w="1421" w:type="dxa"/>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91</w:t>
            </w:r>
          </w:p>
        </w:tc>
        <w:tc>
          <w:tcPr>
            <w:tcW w:w="1701" w:type="dxa"/>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289,016.62</w:t>
            </w:r>
          </w:p>
        </w:tc>
        <w:tc>
          <w:tcPr>
            <w:tcW w:w="1390" w:type="dxa"/>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34.61%</w:t>
            </w:r>
          </w:p>
        </w:tc>
      </w:tr>
      <w:tr w:rsidR="005F475E" w:rsidRPr="007672DA" w:rsidTr="001B5773">
        <w:trPr>
          <w:trHeight w:val="270"/>
          <w:jc w:val="center"/>
        </w:trPr>
        <w:tc>
          <w:tcPr>
            <w:tcW w:w="2518" w:type="dxa"/>
            <w:noWrap/>
            <w:hideMark/>
          </w:tcPr>
          <w:p w:rsidR="005F475E" w:rsidRPr="007672DA" w:rsidRDefault="005F475E" w:rsidP="00E97610">
            <w:pPr>
              <w:widowControl/>
              <w:adjustRightInd w:val="0"/>
              <w:snapToGrid w:val="0"/>
              <w:jc w:val="center"/>
              <w:rPr>
                <w:rFonts w:asciiTheme="minorEastAsia" w:hAnsiTheme="minorEastAsia" w:cs="宋体"/>
                <w:color w:val="000000"/>
                <w:kern w:val="0"/>
                <w:sz w:val="28"/>
                <w:szCs w:val="28"/>
              </w:rPr>
            </w:pPr>
            <w:r w:rsidRPr="007672DA">
              <w:rPr>
                <w:rFonts w:asciiTheme="minorEastAsia" w:hAnsiTheme="minorEastAsia" w:cs="宋体" w:hint="eastAsia"/>
                <w:color w:val="000000"/>
                <w:kern w:val="0"/>
                <w:sz w:val="28"/>
                <w:szCs w:val="28"/>
              </w:rPr>
              <w:t>1亿至2亿（含）</w:t>
            </w:r>
          </w:p>
        </w:tc>
        <w:tc>
          <w:tcPr>
            <w:tcW w:w="1410" w:type="dxa"/>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26</w:t>
            </w:r>
          </w:p>
        </w:tc>
        <w:tc>
          <w:tcPr>
            <w:tcW w:w="1421" w:type="dxa"/>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72</w:t>
            </w:r>
          </w:p>
        </w:tc>
        <w:tc>
          <w:tcPr>
            <w:tcW w:w="1701" w:type="dxa"/>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310,981.52</w:t>
            </w:r>
          </w:p>
        </w:tc>
        <w:tc>
          <w:tcPr>
            <w:tcW w:w="1390" w:type="dxa"/>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37.24%</w:t>
            </w:r>
          </w:p>
        </w:tc>
      </w:tr>
      <w:tr w:rsidR="005F475E" w:rsidRPr="007672DA" w:rsidTr="001B5773">
        <w:trPr>
          <w:trHeight w:val="270"/>
          <w:jc w:val="center"/>
        </w:trPr>
        <w:tc>
          <w:tcPr>
            <w:tcW w:w="2518" w:type="dxa"/>
            <w:noWrap/>
            <w:hideMark/>
          </w:tcPr>
          <w:p w:rsidR="005F475E" w:rsidRPr="007672DA" w:rsidRDefault="005F475E" w:rsidP="00E97610">
            <w:pPr>
              <w:widowControl/>
              <w:adjustRightInd w:val="0"/>
              <w:snapToGrid w:val="0"/>
              <w:jc w:val="center"/>
              <w:rPr>
                <w:rFonts w:asciiTheme="minorEastAsia" w:hAnsiTheme="minorEastAsia" w:cs="宋体"/>
                <w:color w:val="000000"/>
                <w:kern w:val="0"/>
                <w:sz w:val="28"/>
                <w:szCs w:val="28"/>
              </w:rPr>
            </w:pPr>
            <w:r w:rsidRPr="007672DA">
              <w:rPr>
                <w:rFonts w:asciiTheme="minorEastAsia" w:hAnsiTheme="minorEastAsia" w:cs="宋体" w:hint="eastAsia"/>
                <w:color w:val="000000"/>
                <w:kern w:val="0"/>
                <w:sz w:val="28"/>
                <w:szCs w:val="28"/>
              </w:rPr>
              <w:t>超过2亿</w:t>
            </w:r>
          </w:p>
        </w:tc>
        <w:tc>
          <w:tcPr>
            <w:tcW w:w="1410" w:type="dxa"/>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w:t>
            </w:r>
          </w:p>
        </w:tc>
        <w:tc>
          <w:tcPr>
            <w:tcW w:w="1421" w:type="dxa"/>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7</w:t>
            </w:r>
          </w:p>
        </w:tc>
        <w:tc>
          <w:tcPr>
            <w:tcW w:w="1701" w:type="dxa"/>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56,627.06</w:t>
            </w:r>
          </w:p>
        </w:tc>
        <w:tc>
          <w:tcPr>
            <w:tcW w:w="1390" w:type="dxa"/>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6.78%</w:t>
            </w:r>
          </w:p>
        </w:tc>
      </w:tr>
      <w:tr w:rsidR="005F475E" w:rsidRPr="007672DA" w:rsidTr="001B5773">
        <w:trPr>
          <w:trHeight w:val="270"/>
          <w:jc w:val="center"/>
        </w:trPr>
        <w:tc>
          <w:tcPr>
            <w:tcW w:w="2518" w:type="dxa"/>
            <w:tcBorders>
              <w:bottom w:val="single" w:sz="4" w:space="0" w:color="auto"/>
            </w:tcBorders>
            <w:noWrap/>
            <w:hideMark/>
          </w:tcPr>
          <w:p w:rsidR="005F475E" w:rsidRPr="007672DA" w:rsidRDefault="005F475E" w:rsidP="00E97610">
            <w:pPr>
              <w:widowControl/>
              <w:adjustRightInd w:val="0"/>
              <w:snapToGrid w:val="0"/>
              <w:jc w:val="center"/>
              <w:rPr>
                <w:rFonts w:asciiTheme="minorEastAsia" w:hAnsiTheme="minorEastAsia" w:cs="宋体"/>
                <w:b/>
                <w:color w:val="000000"/>
                <w:kern w:val="0"/>
                <w:sz w:val="28"/>
                <w:szCs w:val="28"/>
              </w:rPr>
            </w:pPr>
            <w:r w:rsidRPr="007672DA">
              <w:rPr>
                <w:rFonts w:asciiTheme="minorEastAsia" w:hAnsiTheme="minorEastAsia" w:cs="宋体" w:hint="eastAsia"/>
                <w:b/>
                <w:color w:val="000000"/>
                <w:kern w:val="0"/>
                <w:sz w:val="28"/>
                <w:szCs w:val="28"/>
              </w:rPr>
              <w:t>合计</w:t>
            </w:r>
          </w:p>
        </w:tc>
        <w:tc>
          <w:tcPr>
            <w:tcW w:w="1410" w:type="dxa"/>
            <w:tcBorders>
              <w:bottom w:val="single" w:sz="4" w:space="0" w:color="auto"/>
            </w:tcBorders>
            <w:noWrap/>
            <w:vAlign w:val="center"/>
            <w:hideMark/>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144</w:t>
            </w:r>
          </w:p>
        </w:tc>
        <w:tc>
          <w:tcPr>
            <w:tcW w:w="1421" w:type="dxa"/>
            <w:tcBorders>
              <w:bottom w:val="single" w:sz="4" w:space="0" w:color="auto"/>
            </w:tcBorders>
            <w:noWrap/>
            <w:vAlign w:val="center"/>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264</w:t>
            </w:r>
          </w:p>
        </w:tc>
        <w:tc>
          <w:tcPr>
            <w:tcW w:w="1701" w:type="dxa"/>
            <w:tcBorders>
              <w:bottom w:val="single" w:sz="4" w:space="0" w:color="auto"/>
            </w:tcBorders>
            <w:noWrap/>
            <w:vAlign w:val="center"/>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835,135.07</w:t>
            </w:r>
          </w:p>
        </w:tc>
        <w:tc>
          <w:tcPr>
            <w:tcW w:w="1390" w:type="dxa"/>
            <w:tcBorders>
              <w:bottom w:val="single" w:sz="4" w:space="0" w:color="auto"/>
            </w:tcBorders>
            <w:vAlign w:val="center"/>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100.00%</w:t>
            </w:r>
          </w:p>
        </w:tc>
      </w:tr>
      <w:tr w:rsidR="001A717C" w:rsidRPr="007672DA" w:rsidTr="00873378">
        <w:trPr>
          <w:trHeight w:val="270"/>
          <w:jc w:val="center"/>
        </w:trPr>
        <w:tc>
          <w:tcPr>
            <w:tcW w:w="8440" w:type="dxa"/>
            <w:gridSpan w:val="5"/>
            <w:tcBorders>
              <w:left w:val="nil"/>
              <w:bottom w:val="nil"/>
              <w:right w:val="nil"/>
            </w:tcBorders>
            <w:noWrap/>
            <w:hideMark/>
          </w:tcPr>
          <w:p w:rsidR="001A717C" w:rsidRPr="007672DA" w:rsidRDefault="001A717C" w:rsidP="00E97610">
            <w:pPr>
              <w:widowControl/>
              <w:jc w:val="left"/>
              <w:rPr>
                <w:rFonts w:ascii="仿宋" w:eastAsia="仿宋" w:hAnsi="仿宋" w:cs="宋体"/>
                <w:color w:val="000000"/>
                <w:kern w:val="0"/>
                <w:sz w:val="24"/>
                <w:szCs w:val="28"/>
              </w:rPr>
            </w:pPr>
            <w:r w:rsidRPr="007672DA">
              <w:rPr>
                <w:rFonts w:ascii="仿宋" w:eastAsia="仿宋" w:hAnsi="仿宋" w:cs="宋体" w:hint="eastAsia"/>
                <w:color w:val="000000"/>
                <w:kern w:val="0"/>
                <w:sz w:val="24"/>
                <w:szCs w:val="28"/>
              </w:rPr>
              <w:t>数据来源：理财资产管理系统</w:t>
            </w:r>
            <w:r w:rsidRPr="007672DA">
              <w:rPr>
                <w:rFonts w:ascii="仿宋" w:eastAsia="仿宋" w:hAnsi="仿宋" w:cs="宋体" w:hint="eastAsia"/>
                <w:color w:val="000000"/>
                <w:kern w:val="0"/>
                <w:sz w:val="24"/>
                <w:szCs w:val="24"/>
              </w:rPr>
              <w:t>、兆</w:t>
            </w:r>
            <w:proofErr w:type="gramStart"/>
            <w:r w:rsidRPr="007672DA">
              <w:rPr>
                <w:rFonts w:ascii="仿宋" w:eastAsia="仿宋" w:hAnsi="仿宋" w:cs="宋体" w:hint="eastAsia"/>
                <w:color w:val="000000"/>
                <w:kern w:val="0"/>
                <w:sz w:val="24"/>
                <w:szCs w:val="24"/>
              </w:rPr>
              <w:t>尹</w:t>
            </w:r>
            <w:proofErr w:type="gramEnd"/>
            <w:r w:rsidRPr="007672DA">
              <w:rPr>
                <w:rFonts w:ascii="仿宋" w:eastAsia="仿宋" w:hAnsi="仿宋" w:cs="宋体" w:hint="eastAsia"/>
                <w:color w:val="000000"/>
                <w:kern w:val="0"/>
                <w:sz w:val="24"/>
                <w:szCs w:val="24"/>
              </w:rPr>
              <w:t>系统</w:t>
            </w:r>
            <w:r w:rsidRPr="007672DA">
              <w:rPr>
                <w:rFonts w:ascii="仿宋" w:eastAsia="仿宋" w:hAnsi="仿宋" w:cs="宋体" w:hint="eastAsia"/>
                <w:color w:val="000000"/>
                <w:kern w:val="0"/>
                <w:sz w:val="24"/>
                <w:szCs w:val="28"/>
              </w:rPr>
              <w:t>、理财委外估值表</w:t>
            </w:r>
          </w:p>
          <w:p w:rsidR="001A717C" w:rsidRPr="007672DA" w:rsidRDefault="001A717C" w:rsidP="00E97610">
            <w:pPr>
              <w:widowControl/>
              <w:jc w:val="left"/>
              <w:rPr>
                <w:rFonts w:ascii="仿宋" w:eastAsia="仿宋" w:hAnsi="仿宋" w:cs="宋体"/>
                <w:color w:val="000000"/>
                <w:kern w:val="0"/>
                <w:sz w:val="24"/>
                <w:szCs w:val="28"/>
              </w:rPr>
            </w:pPr>
            <w:r w:rsidRPr="007672DA">
              <w:rPr>
                <w:rFonts w:ascii="仿宋" w:eastAsia="仿宋" w:hAnsi="仿宋" w:cs="宋体" w:hint="eastAsia"/>
                <w:color w:val="000000"/>
                <w:kern w:val="0"/>
                <w:sz w:val="24"/>
                <w:szCs w:val="28"/>
              </w:rPr>
              <w:t>备注：覆盖委外项下非金融企业债券投资</w:t>
            </w:r>
          </w:p>
        </w:tc>
      </w:tr>
    </w:tbl>
    <w:p w:rsidR="00C41E9D" w:rsidRPr="007672DA" w:rsidRDefault="00C41E9D" w:rsidP="00C41E9D">
      <w:pPr>
        <w:spacing w:line="560" w:lineRule="exact"/>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其中，前十大发行主体明细：</w:t>
      </w:r>
    </w:p>
    <w:tbl>
      <w:tblPr>
        <w:tblStyle w:val="a3"/>
        <w:tblW w:w="4991" w:type="pct"/>
        <w:jc w:val="center"/>
        <w:tblInd w:w="-318" w:type="dxa"/>
        <w:tblLayout w:type="fixed"/>
        <w:tblLook w:val="04A0" w:firstRow="1" w:lastRow="0" w:firstColumn="1" w:lastColumn="0" w:noHBand="0" w:noVBand="1"/>
      </w:tblPr>
      <w:tblGrid>
        <w:gridCol w:w="5297"/>
        <w:gridCol w:w="1934"/>
        <w:gridCol w:w="1276"/>
      </w:tblGrid>
      <w:tr w:rsidR="00C41E9D" w:rsidRPr="007672DA" w:rsidTr="007018DF">
        <w:trPr>
          <w:trHeight w:val="270"/>
          <w:jc w:val="center"/>
        </w:trPr>
        <w:tc>
          <w:tcPr>
            <w:tcW w:w="3113" w:type="pct"/>
            <w:tcBorders>
              <w:top w:val="nil"/>
              <w:left w:val="nil"/>
              <w:right w:val="nil"/>
            </w:tcBorders>
            <w:noWrap/>
            <w:vAlign w:val="center"/>
          </w:tcPr>
          <w:p w:rsidR="00C41E9D" w:rsidRPr="007672DA" w:rsidRDefault="00C41E9D" w:rsidP="00C41E9D">
            <w:pPr>
              <w:widowControl/>
              <w:adjustRightInd w:val="0"/>
              <w:snapToGrid w:val="0"/>
              <w:rPr>
                <w:rFonts w:ascii="宋体" w:eastAsia="宋体" w:hAnsi="宋体" w:cs="宋体"/>
                <w:b/>
                <w:color w:val="000000"/>
                <w:kern w:val="0"/>
                <w:sz w:val="28"/>
                <w:szCs w:val="28"/>
              </w:rPr>
            </w:pPr>
            <w:r w:rsidRPr="007672DA">
              <w:rPr>
                <w:rFonts w:ascii="仿宋" w:eastAsia="仿宋" w:hAnsi="仿宋" w:cs="宋体" w:hint="eastAsia"/>
                <w:color w:val="000000"/>
                <w:kern w:val="0"/>
                <w:sz w:val="24"/>
                <w:szCs w:val="28"/>
              </w:rPr>
              <w:t>部门:理财事业部</w:t>
            </w:r>
          </w:p>
        </w:tc>
        <w:tc>
          <w:tcPr>
            <w:tcW w:w="1887" w:type="pct"/>
            <w:gridSpan w:val="2"/>
            <w:tcBorders>
              <w:top w:val="nil"/>
              <w:left w:val="nil"/>
              <w:right w:val="nil"/>
            </w:tcBorders>
            <w:noWrap/>
            <w:vAlign w:val="center"/>
          </w:tcPr>
          <w:p w:rsidR="00C41E9D" w:rsidRPr="007672DA" w:rsidRDefault="00C41E9D" w:rsidP="00C41E9D">
            <w:pPr>
              <w:widowControl/>
              <w:jc w:val="right"/>
              <w:rPr>
                <w:rFonts w:ascii="仿宋" w:eastAsia="仿宋" w:hAnsi="仿宋" w:cs="宋体"/>
                <w:color w:val="000000"/>
                <w:kern w:val="0"/>
                <w:sz w:val="24"/>
                <w:szCs w:val="28"/>
              </w:rPr>
            </w:pPr>
            <w:r w:rsidRPr="007672DA">
              <w:rPr>
                <w:rFonts w:ascii="仿宋" w:eastAsia="仿宋" w:hAnsi="仿宋" w:cs="宋体" w:hint="eastAsia"/>
                <w:color w:val="000000"/>
                <w:kern w:val="0"/>
                <w:sz w:val="24"/>
                <w:szCs w:val="28"/>
              </w:rPr>
              <w:t>单位：万元、笔</w:t>
            </w:r>
          </w:p>
        </w:tc>
      </w:tr>
      <w:tr w:rsidR="00C41E9D" w:rsidRPr="007672DA" w:rsidTr="007018DF">
        <w:trPr>
          <w:trHeight w:val="270"/>
          <w:jc w:val="center"/>
        </w:trPr>
        <w:tc>
          <w:tcPr>
            <w:tcW w:w="3113" w:type="pct"/>
            <w:noWrap/>
            <w:hideMark/>
          </w:tcPr>
          <w:p w:rsidR="00C41E9D" w:rsidRPr="007672DA" w:rsidRDefault="00C41E9D" w:rsidP="00C41E9D">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发行主体</w:t>
            </w:r>
          </w:p>
        </w:tc>
        <w:tc>
          <w:tcPr>
            <w:tcW w:w="1137" w:type="pct"/>
            <w:noWrap/>
            <w:hideMark/>
          </w:tcPr>
          <w:p w:rsidR="00C41E9D" w:rsidRPr="007672DA" w:rsidRDefault="00C41E9D" w:rsidP="00C41E9D">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业务余额</w:t>
            </w:r>
          </w:p>
        </w:tc>
        <w:tc>
          <w:tcPr>
            <w:tcW w:w="750" w:type="pct"/>
            <w:noWrap/>
            <w:hideMark/>
          </w:tcPr>
          <w:p w:rsidR="00C41E9D" w:rsidRPr="007672DA" w:rsidRDefault="00C41E9D" w:rsidP="00C41E9D">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笔数</w:t>
            </w:r>
          </w:p>
        </w:tc>
      </w:tr>
      <w:tr w:rsidR="005F475E" w:rsidRPr="007672DA" w:rsidTr="007018DF">
        <w:trPr>
          <w:trHeight w:val="270"/>
          <w:jc w:val="center"/>
        </w:trPr>
        <w:tc>
          <w:tcPr>
            <w:tcW w:w="3113"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厦门象屿集团有限公司</w:t>
            </w:r>
          </w:p>
        </w:tc>
        <w:tc>
          <w:tcPr>
            <w:tcW w:w="1137"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30,816.01</w:t>
            </w:r>
          </w:p>
        </w:tc>
        <w:tc>
          <w:tcPr>
            <w:tcW w:w="750"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5</w:t>
            </w:r>
          </w:p>
        </w:tc>
      </w:tr>
      <w:tr w:rsidR="005F475E" w:rsidRPr="007672DA" w:rsidTr="007018DF">
        <w:trPr>
          <w:trHeight w:val="270"/>
          <w:jc w:val="center"/>
        </w:trPr>
        <w:tc>
          <w:tcPr>
            <w:tcW w:w="3113"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珠海华发集团有限公司</w:t>
            </w:r>
          </w:p>
        </w:tc>
        <w:tc>
          <w:tcPr>
            <w:tcW w:w="1137"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25,811.06</w:t>
            </w:r>
          </w:p>
        </w:tc>
        <w:tc>
          <w:tcPr>
            <w:tcW w:w="750"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w:t>
            </w:r>
          </w:p>
        </w:tc>
      </w:tr>
      <w:tr w:rsidR="005F475E" w:rsidRPr="007672DA" w:rsidTr="007018DF">
        <w:trPr>
          <w:trHeight w:val="270"/>
          <w:jc w:val="center"/>
        </w:trPr>
        <w:tc>
          <w:tcPr>
            <w:tcW w:w="3113"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武汉车都集团有限公司</w:t>
            </w:r>
          </w:p>
        </w:tc>
        <w:tc>
          <w:tcPr>
            <w:tcW w:w="1137"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15,523.41</w:t>
            </w:r>
          </w:p>
        </w:tc>
        <w:tc>
          <w:tcPr>
            <w:tcW w:w="750"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w:t>
            </w:r>
          </w:p>
        </w:tc>
      </w:tr>
      <w:tr w:rsidR="005F475E" w:rsidRPr="007672DA" w:rsidTr="007018DF">
        <w:trPr>
          <w:trHeight w:val="270"/>
          <w:jc w:val="center"/>
        </w:trPr>
        <w:tc>
          <w:tcPr>
            <w:tcW w:w="3113"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湖南省高速公路集团有限公司</w:t>
            </w:r>
          </w:p>
        </w:tc>
        <w:tc>
          <w:tcPr>
            <w:tcW w:w="1137"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15,122.16</w:t>
            </w:r>
          </w:p>
        </w:tc>
        <w:tc>
          <w:tcPr>
            <w:tcW w:w="750"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5</w:t>
            </w:r>
          </w:p>
        </w:tc>
      </w:tr>
      <w:tr w:rsidR="005F475E" w:rsidRPr="007672DA" w:rsidTr="007018DF">
        <w:trPr>
          <w:trHeight w:val="270"/>
          <w:jc w:val="center"/>
        </w:trPr>
        <w:tc>
          <w:tcPr>
            <w:tcW w:w="3113"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西安迈科金属国际集团有限公司</w:t>
            </w:r>
          </w:p>
        </w:tc>
        <w:tc>
          <w:tcPr>
            <w:tcW w:w="1137"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15,111.23</w:t>
            </w:r>
          </w:p>
        </w:tc>
        <w:tc>
          <w:tcPr>
            <w:tcW w:w="750"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w:t>
            </w:r>
          </w:p>
        </w:tc>
      </w:tr>
      <w:tr w:rsidR="005F475E" w:rsidRPr="007672DA" w:rsidTr="007018DF">
        <w:trPr>
          <w:trHeight w:val="270"/>
          <w:jc w:val="center"/>
        </w:trPr>
        <w:tc>
          <w:tcPr>
            <w:tcW w:w="3113"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国家电网有限公司</w:t>
            </w:r>
          </w:p>
        </w:tc>
        <w:tc>
          <w:tcPr>
            <w:tcW w:w="1137"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15,013.01</w:t>
            </w:r>
          </w:p>
        </w:tc>
        <w:tc>
          <w:tcPr>
            <w:tcW w:w="750"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4</w:t>
            </w:r>
          </w:p>
        </w:tc>
      </w:tr>
      <w:tr w:rsidR="005F475E" w:rsidRPr="007672DA" w:rsidTr="007018DF">
        <w:trPr>
          <w:trHeight w:val="270"/>
          <w:jc w:val="center"/>
        </w:trPr>
        <w:tc>
          <w:tcPr>
            <w:tcW w:w="3113"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华鑫国际信托有限公司</w:t>
            </w:r>
          </w:p>
        </w:tc>
        <w:tc>
          <w:tcPr>
            <w:tcW w:w="1137"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14,995.77</w:t>
            </w:r>
          </w:p>
        </w:tc>
        <w:tc>
          <w:tcPr>
            <w:tcW w:w="750"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w:t>
            </w:r>
          </w:p>
        </w:tc>
      </w:tr>
      <w:tr w:rsidR="005F475E" w:rsidRPr="007672DA" w:rsidTr="007018DF">
        <w:trPr>
          <w:trHeight w:val="270"/>
          <w:jc w:val="center"/>
        </w:trPr>
        <w:tc>
          <w:tcPr>
            <w:tcW w:w="3113"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厦门海沧投资集团有限公司</w:t>
            </w:r>
          </w:p>
        </w:tc>
        <w:tc>
          <w:tcPr>
            <w:tcW w:w="1137"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14,987.15</w:t>
            </w:r>
          </w:p>
        </w:tc>
        <w:tc>
          <w:tcPr>
            <w:tcW w:w="750"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w:t>
            </w:r>
          </w:p>
        </w:tc>
      </w:tr>
      <w:tr w:rsidR="005F475E" w:rsidRPr="007672DA" w:rsidTr="007018DF">
        <w:trPr>
          <w:trHeight w:val="270"/>
          <w:jc w:val="center"/>
        </w:trPr>
        <w:tc>
          <w:tcPr>
            <w:tcW w:w="3113"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湖州市交通投资集团有限公司</w:t>
            </w:r>
          </w:p>
        </w:tc>
        <w:tc>
          <w:tcPr>
            <w:tcW w:w="1137"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14,291.97</w:t>
            </w:r>
          </w:p>
        </w:tc>
        <w:tc>
          <w:tcPr>
            <w:tcW w:w="750"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5</w:t>
            </w:r>
          </w:p>
        </w:tc>
      </w:tr>
      <w:tr w:rsidR="005F475E" w:rsidRPr="007672DA" w:rsidTr="007018DF">
        <w:trPr>
          <w:trHeight w:val="270"/>
          <w:jc w:val="center"/>
        </w:trPr>
        <w:tc>
          <w:tcPr>
            <w:tcW w:w="3113" w:type="pct"/>
            <w:tcBorders>
              <w:bottom w:val="single" w:sz="4" w:space="0" w:color="auto"/>
            </w:tcBorders>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绵阳市投资控股(集团)有限公司</w:t>
            </w:r>
          </w:p>
        </w:tc>
        <w:tc>
          <w:tcPr>
            <w:tcW w:w="1137" w:type="pct"/>
            <w:tcBorders>
              <w:bottom w:val="single" w:sz="4" w:space="0" w:color="auto"/>
            </w:tcBorders>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14,165.90</w:t>
            </w:r>
          </w:p>
        </w:tc>
        <w:tc>
          <w:tcPr>
            <w:tcW w:w="750" w:type="pct"/>
            <w:tcBorders>
              <w:bottom w:val="single" w:sz="4" w:space="0" w:color="auto"/>
            </w:tcBorders>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w:t>
            </w:r>
          </w:p>
        </w:tc>
      </w:tr>
      <w:tr w:rsidR="00C41E9D" w:rsidRPr="007672DA" w:rsidTr="007018DF">
        <w:trPr>
          <w:trHeight w:val="270"/>
          <w:jc w:val="center"/>
        </w:trPr>
        <w:tc>
          <w:tcPr>
            <w:tcW w:w="5000" w:type="pct"/>
            <w:gridSpan w:val="3"/>
            <w:tcBorders>
              <w:left w:val="nil"/>
              <w:bottom w:val="nil"/>
              <w:right w:val="nil"/>
            </w:tcBorders>
            <w:noWrap/>
            <w:vAlign w:val="center"/>
          </w:tcPr>
          <w:p w:rsidR="00C41E9D" w:rsidRPr="007672DA" w:rsidRDefault="00C41E9D" w:rsidP="00C41E9D">
            <w:pPr>
              <w:widowControl/>
              <w:adjustRightInd w:val="0"/>
              <w:snapToGrid w:val="0"/>
              <w:rPr>
                <w:rFonts w:ascii="宋体" w:eastAsia="宋体" w:hAnsi="宋体" w:cs="宋体"/>
                <w:color w:val="000000"/>
                <w:kern w:val="0"/>
                <w:sz w:val="28"/>
                <w:szCs w:val="28"/>
              </w:rPr>
            </w:pPr>
            <w:r w:rsidRPr="007672DA">
              <w:rPr>
                <w:rFonts w:ascii="仿宋" w:eastAsia="仿宋" w:hAnsi="仿宋" w:cs="宋体" w:hint="eastAsia"/>
                <w:color w:val="000000"/>
                <w:kern w:val="0"/>
                <w:sz w:val="24"/>
                <w:szCs w:val="28"/>
              </w:rPr>
              <w:t>数据来源：理财资产管理系统</w:t>
            </w:r>
            <w:r w:rsidR="001A717C" w:rsidRPr="007672DA">
              <w:rPr>
                <w:rFonts w:ascii="仿宋" w:eastAsia="仿宋" w:hAnsi="仿宋" w:cs="宋体" w:hint="eastAsia"/>
                <w:color w:val="000000"/>
                <w:kern w:val="0"/>
                <w:sz w:val="24"/>
                <w:szCs w:val="24"/>
              </w:rPr>
              <w:t>、兆</w:t>
            </w:r>
            <w:proofErr w:type="gramStart"/>
            <w:r w:rsidR="001A717C" w:rsidRPr="007672DA">
              <w:rPr>
                <w:rFonts w:ascii="仿宋" w:eastAsia="仿宋" w:hAnsi="仿宋" w:cs="宋体" w:hint="eastAsia"/>
                <w:color w:val="000000"/>
                <w:kern w:val="0"/>
                <w:sz w:val="24"/>
                <w:szCs w:val="24"/>
              </w:rPr>
              <w:t>尹</w:t>
            </w:r>
            <w:proofErr w:type="gramEnd"/>
            <w:r w:rsidR="001A717C" w:rsidRPr="007672DA">
              <w:rPr>
                <w:rFonts w:ascii="仿宋" w:eastAsia="仿宋" w:hAnsi="仿宋" w:cs="宋体" w:hint="eastAsia"/>
                <w:color w:val="000000"/>
                <w:kern w:val="0"/>
                <w:sz w:val="24"/>
                <w:szCs w:val="24"/>
              </w:rPr>
              <w:t>系统</w:t>
            </w:r>
            <w:r w:rsidRPr="007672DA">
              <w:rPr>
                <w:rFonts w:ascii="仿宋" w:eastAsia="仿宋" w:hAnsi="仿宋" w:cs="宋体" w:hint="eastAsia"/>
                <w:color w:val="000000"/>
                <w:kern w:val="0"/>
                <w:sz w:val="24"/>
                <w:szCs w:val="28"/>
              </w:rPr>
              <w:t>、理财委外估值表</w:t>
            </w:r>
          </w:p>
        </w:tc>
      </w:tr>
      <w:tr w:rsidR="00C41E9D" w:rsidRPr="007672DA" w:rsidTr="007018DF">
        <w:trPr>
          <w:trHeight w:val="270"/>
          <w:jc w:val="center"/>
        </w:trPr>
        <w:tc>
          <w:tcPr>
            <w:tcW w:w="5000" w:type="pct"/>
            <w:gridSpan w:val="3"/>
            <w:tcBorders>
              <w:top w:val="nil"/>
              <w:left w:val="nil"/>
              <w:bottom w:val="nil"/>
              <w:right w:val="nil"/>
            </w:tcBorders>
            <w:noWrap/>
            <w:vAlign w:val="center"/>
          </w:tcPr>
          <w:p w:rsidR="00C41E9D" w:rsidRPr="007672DA" w:rsidRDefault="00C41E9D" w:rsidP="00C41E9D">
            <w:pPr>
              <w:widowControl/>
              <w:adjustRightInd w:val="0"/>
              <w:snapToGrid w:val="0"/>
              <w:rPr>
                <w:rFonts w:ascii="宋体" w:eastAsia="宋体" w:hAnsi="宋体" w:cs="宋体"/>
                <w:color w:val="000000"/>
                <w:kern w:val="0"/>
                <w:sz w:val="28"/>
                <w:szCs w:val="28"/>
              </w:rPr>
            </w:pPr>
            <w:r w:rsidRPr="007672DA">
              <w:rPr>
                <w:rFonts w:ascii="仿宋" w:eastAsia="仿宋" w:hAnsi="仿宋" w:cs="宋体" w:hint="eastAsia"/>
                <w:color w:val="000000"/>
                <w:kern w:val="0"/>
                <w:sz w:val="24"/>
                <w:szCs w:val="28"/>
              </w:rPr>
              <w:t>备注：覆盖委外项下非金融企业债券投资</w:t>
            </w:r>
          </w:p>
        </w:tc>
      </w:tr>
    </w:tbl>
    <w:p w:rsidR="00457C9F" w:rsidRPr="007672DA" w:rsidRDefault="00457C9F" w:rsidP="00457C9F">
      <w:pPr>
        <w:spacing w:line="560" w:lineRule="exact"/>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省内各地市非金融债券投资情况：</w:t>
      </w:r>
    </w:p>
    <w:tbl>
      <w:tblPr>
        <w:tblStyle w:val="a3"/>
        <w:tblW w:w="5000" w:type="pct"/>
        <w:jc w:val="center"/>
        <w:tblLook w:val="04A0" w:firstRow="1" w:lastRow="0" w:firstColumn="1" w:lastColumn="0" w:noHBand="0" w:noVBand="1"/>
      </w:tblPr>
      <w:tblGrid>
        <w:gridCol w:w="3733"/>
        <w:gridCol w:w="3218"/>
        <w:gridCol w:w="1571"/>
      </w:tblGrid>
      <w:tr w:rsidR="00457C9F" w:rsidRPr="007672DA" w:rsidTr="00773832">
        <w:trPr>
          <w:trHeight w:val="270"/>
          <w:jc w:val="center"/>
        </w:trPr>
        <w:tc>
          <w:tcPr>
            <w:tcW w:w="2190" w:type="pct"/>
            <w:tcBorders>
              <w:top w:val="nil"/>
              <w:left w:val="nil"/>
              <w:right w:val="nil"/>
            </w:tcBorders>
            <w:noWrap/>
            <w:vAlign w:val="center"/>
          </w:tcPr>
          <w:p w:rsidR="00457C9F" w:rsidRPr="007672DA" w:rsidRDefault="00457C9F" w:rsidP="00457C9F">
            <w:pPr>
              <w:widowControl/>
              <w:adjustRightInd w:val="0"/>
              <w:snapToGrid w:val="0"/>
              <w:rPr>
                <w:rFonts w:ascii="宋体" w:eastAsia="宋体" w:hAnsi="宋体" w:cs="宋体"/>
                <w:b/>
                <w:color w:val="000000"/>
                <w:kern w:val="0"/>
                <w:sz w:val="28"/>
                <w:szCs w:val="28"/>
              </w:rPr>
            </w:pPr>
            <w:r w:rsidRPr="007672DA">
              <w:rPr>
                <w:rFonts w:ascii="仿宋" w:eastAsia="仿宋" w:hAnsi="仿宋" w:cs="宋体" w:hint="eastAsia"/>
                <w:color w:val="000000"/>
                <w:kern w:val="0"/>
                <w:sz w:val="24"/>
                <w:szCs w:val="24"/>
              </w:rPr>
              <w:t>部门:理财事业部</w:t>
            </w:r>
          </w:p>
        </w:tc>
        <w:tc>
          <w:tcPr>
            <w:tcW w:w="2810" w:type="pct"/>
            <w:gridSpan w:val="2"/>
            <w:tcBorders>
              <w:top w:val="nil"/>
              <w:left w:val="nil"/>
              <w:right w:val="nil"/>
            </w:tcBorders>
            <w:noWrap/>
            <w:vAlign w:val="center"/>
          </w:tcPr>
          <w:p w:rsidR="00457C9F" w:rsidRPr="007672DA" w:rsidRDefault="00457C9F" w:rsidP="00457C9F">
            <w:pPr>
              <w:widowControl/>
              <w:adjustRightInd w:val="0"/>
              <w:snapToGrid w:val="0"/>
              <w:jc w:val="right"/>
              <w:rPr>
                <w:rFonts w:ascii="宋体" w:eastAsia="宋体" w:hAnsi="宋体" w:cs="宋体"/>
                <w:b/>
                <w:color w:val="000000"/>
                <w:kern w:val="0"/>
                <w:sz w:val="28"/>
                <w:szCs w:val="28"/>
              </w:rPr>
            </w:pPr>
            <w:r w:rsidRPr="007672DA">
              <w:rPr>
                <w:rFonts w:ascii="仿宋" w:eastAsia="仿宋" w:hAnsi="仿宋" w:cs="宋体" w:hint="eastAsia"/>
                <w:color w:val="000000"/>
                <w:kern w:val="0"/>
                <w:sz w:val="24"/>
                <w:szCs w:val="24"/>
              </w:rPr>
              <w:t>单位：万元、%</w:t>
            </w:r>
          </w:p>
        </w:tc>
      </w:tr>
      <w:tr w:rsidR="00457C9F" w:rsidRPr="007672DA" w:rsidTr="00773832">
        <w:trPr>
          <w:trHeight w:val="270"/>
          <w:jc w:val="center"/>
        </w:trPr>
        <w:tc>
          <w:tcPr>
            <w:tcW w:w="2190" w:type="pct"/>
            <w:noWrap/>
            <w:hideMark/>
          </w:tcPr>
          <w:p w:rsidR="00457C9F" w:rsidRPr="007672DA" w:rsidRDefault="00457C9F" w:rsidP="00773832">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城市</w:t>
            </w:r>
          </w:p>
        </w:tc>
        <w:tc>
          <w:tcPr>
            <w:tcW w:w="1888" w:type="pct"/>
            <w:noWrap/>
            <w:hideMark/>
          </w:tcPr>
          <w:p w:rsidR="00457C9F" w:rsidRPr="007672DA" w:rsidRDefault="00457C9F" w:rsidP="00773832">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业务余额</w:t>
            </w:r>
          </w:p>
        </w:tc>
        <w:tc>
          <w:tcPr>
            <w:tcW w:w="922" w:type="pct"/>
            <w:noWrap/>
            <w:hideMark/>
          </w:tcPr>
          <w:p w:rsidR="00457C9F" w:rsidRPr="007672DA" w:rsidRDefault="00457C9F" w:rsidP="00773832">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占比</w:t>
            </w:r>
          </w:p>
        </w:tc>
      </w:tr>
      <w:tr w:rsidR="005F475E" w:rsidRPr="007672DA" w:rsidTr="00CA3CF5">
        <w:trPr>
          <w:trHeight w:val="270"/>
          <w:jc w:val="center"/>
        </w:trPr>
        <w:tc>
          <w:tcPr>
            <w:tcW w:w="2190"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厦门市</w:t>
            </w:r>
          </w:p>
        </w:tc>
        <w:tc>
          <w:tcPr>
            <w:tcW w:w="188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60,660.41</w:t>
            </w:r>
          </w:p>
        </w:tc>
        <w:tc>
          <w:tcPr>
            <w:tcW w:w="922"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77.66%</w:t>
            </w:r>
          </w:p>
        </w:tc>
      </w:tr>
      <w:tr w:rsidR="005F475E" w:rsidRPr="007672DA" w:rsidTr="00CA3CF5">
        <w:trPr>
          <w:trHeight w:val="270"/>
          <w:jc w:val="center"/>
        </w:trPr>
        <w:tc>
          <w:tcPr>
            <w:tcW w:w="2190"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泉州市</w:t>
            </w:r>
          </w:p>
        </w:tc>
        <w:tc>
          <w:tcPr>
            <w:tcW w:w="188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2,076.54</w:t>
            </w:r>
          </w:p>
        </w:tc>
        <w:tc>
          <w:tcPr>
            <w:tcW w:w="922"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2.66%</w:t>
            </w:r>
          </w:p>
        </w:tc>
      </w:tr>
      <w:tr w:rsidR="005F475E" w:rsidRPr="007672DA" w:rsidTr="00CA3CF5">
        <w:trPr>
          <w:trHeight w:val="270"/>
          <w:jc w:val="center"/>
        </w:trPr>
        <w:tc>
          <w:tcPr>
            <w:tcW w:w="2190"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漳州市</w:t>
            </w:r>
          </w:p>
        </w:tc>
        <w:tc>
          <w:tcPr>
            <w:tcW w:w="188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12,370.17</w:t>
            </w:r>
          </w:p>
        </w:tc>
        <w:tc>
          <w:tcPr>
            <w:tcW w:w="922"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15.84%</w:t>
            </w:r>
          </w:p>
        </w:tc>
      </w:tr>
      <w:tr w:rsidR="005F475E" w:rsidRPr="007672DA" w:rsidTr="00CA3CF5">
        <w:trPr>
          <w:trHeight w:val="270"/>
          <w:jc w:val="center"/>
        </w:trPr>
        <w:tc>
          <w:tcPr>
            <w:tcW w:w="2190"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福州市</w:t>
            </w:r>
          </w:p>
        </w:tc>
        <w:tc>
          <w:tcPr>
            <w:tcW w:w="1888"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3,002.51</w:t>
            </w:r>
          </w:p>
        </w:tc>
        <w:tc>
          <w:tcPr>
            <w:tcW w:w="922"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3.84%</w:t>
            </w:r>
          </w:p>
        </w:tc>
      </w:tr>
      <w:tr w:rsidR="005F475E" w:rsidRPr="007672DA" w:rsidTr="00CA3CF5">
        <w:trPr>
          <w:trHeight w:val="270"/>
          <w:jc w:val="center"/>
        </w:trPr>
        <w:tc>
          <w:tcPr>
            <w:tcW w:w="2190" w:type="pct"/>
            <w:tcBorders>
              <w:bottom w:val="single" w:sz="4" w:space="0" w:color="auto"/>
            </w:tcBorders>
            <w:noWrap/>
            <w:vAlign w:val="center"/>
            <w:hideMark/>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合计</w:t>
            </w:r>
          </w:p>
        </w:tc>
        <w:tc>
          <w:tcPr>
            <w:tcW w:w="1888" w:type="pct"/>
            <w:tcBorders>
              <w:bottom w:val="single" w:sz="4" w:space="0" w:color="auto"/>
            </w:tcBorders>
            <w:noWrap/>
            <w:vAlign w:val="center"/>
            <w:hideMark/>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78,109.63</w:t>
            </w:r>
          </w:p>
        </w:tc>
        <w:tc>
          <w:tcPr>
            <w:tcW w:w="922" w:type="pct"/>
            <w:tcBorders>
              <w:bottom w:val="single" w:sz="4" w:space="0" w:color="auto"/>
            </w:tcBorders>
            <w:noWrap/>
            <w:vAlign w:val="center"/>
            <w:hideMark/>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100.00%</w:t>
            </w:r>
          </w:p>
        </w:tc>
      </w:tr>
      <w:tr w:rsidR="00457C9F" w:rsidRPr="007672DA" w:rsidTr="00773832">
        <w:trPr>
          <w:trHeight w:val="270"/>
          <w:jc w:val="center"/>
        </w:trPr>
        <w:tc>
          <w:tcPr>
            <w:tcW w:w="5000" w:type="pct"/>
            <w:gridSpan w:val="3"/>
            <w:tcBorders>
              <w:left w:val="nil"/>
              <w:bottom w:val="nil"/>
              <w:right w:val="nil"/>
            </w:tcBorders>
            <w:noWrap/>
            <w:vAlign w:val="center"/>
          </w:tcPr>
          <w:p w:rsidR="00457C9F" w:rsidRPr="007672DA" w:rsidRDefault="00457C9F" w:rsidP="00773832">
            <w:pPr>
              <w:widowControl/>
              <w:adjustRightInd w:val="0"/>
              <w:snapToGrid w:val="0"/>
              <w:jc w:val="left"/>
              <w:rPr>
                <w:rFonts w:ascii="宋体" w:eastAsia="宋体" w:hAnsi="宋体" w:cs="宋体"/>
                <w:color w:val="000000"/>
                <w:kern w:val="0"/>
                <w:sz w:val="28"/>
                <w:szCs w:val="28"/>
              </w:rPr>
            </w:pPr>
            <w:r w:rsidRPr="007672DA">
              <w:rPr>
                <w:rFonts w:ascii="仿宋" w:eastAsia="仿宋" w:hAnsi="仿宋" w:cs="宋体" w:hint="eastAsia"/>
                <w:color w:val="000000"/>
                <w:kern w:val="0"/>
                <w:sz w:val="24"/>
                <w:szCs w:val="28"/>
              </w:rPr>
              <w:t>数据来源：</w:t>
            </w:r>
            <w:r w:rsidR="00AE3B80" w:rsidRPr="007672DA">
              <w:rPr>
                <w:rFonts w:ascii="仿宋" w:eastAsia="仿宋" w:hAnsi="仿宋" w:cs="宋体" w:hint="eastAsia"/>
                <w:color w:val="000000"/>
                <w:kern w:val="0"/>
                <w:sz w:val="24"/>
                <w:szCs w:val="28"/>
              </w:rPr>
              <w:t>理财资产管理系统</w:t>
            </w:r>
            <w:r w:rsidR="001A717C" w:rsidRPr="007672DA">
              <w:rPr>
                <w:rFonts w:ascii="仿宋" w:eastAsia="仿宋" w:hAnsi="仿宋" w:cs="宋体" w:hint="eastAsia"/>
                <w:color w:val="000000"/>
                <w:kern w:val="0"/>
                <w:sz w:val="24"/>
                <w:szCs w:val="24"/>
              </w:rPr>
              <w:t>、兆</w:t>
            </w:r>
            <w:proofErr w:type="gramStart"/>
            <w:r w:rsidR="001A717C" w:rsidRPr="007672DA">
              <w:rPr>
                <w:rFonts w:ascii="仿宋" w:eastAsia="仿宋" w:hAnsi="仿宋" w:cs="宋体" w:hint="eastAsia"/>
                <w:color w:val="000000"/>
                <w:kern w:val="0"/>
                <w:sz w:val="24"/>
                <w:szCs w:val="24"/>
              </w:rPr>
              <w:t>尹</w:t>
            </w:r>
            <w:proofErr w:type="gramEnd"/>
            <w:r w:rsidR="001A717C" w:rsidRPr="007672DA">
              <w:rPr>
                <w:rFonts w:ascii="仿宋" w:eastAsia="仿宋" w:hAnsi="仿宋" w:cs="宋体" w:hint="eastAsia"/>
                <w:color w:val="000000"/>
                <w:kern w:val="0"/>
                <w:sz w:val="24"/>
                <w:szCs w:val="24"/>
              </w:rPr>
              <w:t>系统</w:t>
            </w:r>
            <w:r w:rsidR="00AE3B80" w:rsidRPr="007672DA">
              <w:rPr>
                <w:rFonts w:ascii="仿宋" w:eastAsia="仿宋" w:hAnsi="仿宋" w:cs="宋体" w:hint="eastAsia"/>
                <w:color w:val="000000"/>
                <w:kern w:val="0"/>
                <w:sz w:val="24"/>
                <w:szCs w:val="28"/>
              </w:rPr>
              <w:t>、理财委外估值表</w:t>
            </w:r>
          </w:p>
        </w:tc>
      </w:tr>
      <w:tr w:rsidR="00457C9F" w:rsidRPr="007672DA" w:rsidTr="00773832">
        <w:trPr>
          <w:trHeight w:val="270"/>
          <w:jc w:val="center"/>
        </w:trPr>
        <w:tc>
          <w:tcPr>
            <w:tcW w:w="5000" w:type="pct"/>
            <w:gridSpan w:val="3"/>
            <w:tcBorders>
              <w:top w:val="nil"/>
              <w:left w:val="nil"/>
              <w:bottom w:val="nil"/>
              <w:right w:val="nil"/>
            </w:tcBorders>
            <w:noWrap/>
            <w:vAlign w:val="center"/>
          </w:tcPr>
          <w:p w:rsidR="00457C9F" w:rsidRPr="007672DA" w:rsidRDefault="00457C9F" w:rsidP="00773832">
            <w:pPr>
              <w:widowControl/>
              <w:adjustRightInd w:val="0"/>
              <w:snapToGrid w:val="0"/>
              <w:jc w:val="left"/>
              <w:rPr>
                <w:rFonts w:ascii="仿宋" w:eastAsia="仿宋" w:hAnsi="仿宋" w:cs="宋体"/>
                <w:color w:val="000000"/>
                <w:kern w:val="0"/>
                <w:sz w:val="24"/>
                <w:szCs w:val="28"/>
              </w:rPr>
            </w:pPr>
            <w:r w:rsidRPr="007672DA">
              <w:rPr>
                <w:rFonts w:ascii="仿宋" w:eastAsia="仿宋" w:hAnsi="仿宋" w:cs="宋体" w:hint="eastAsia"/>
                <w:color w:val="000000"/>
                <w:kern w:val="0"/>
                <w:sz w:val="24"/>
                <w:szCs w:val="28"/>
              </w:rPr>
              <w:lastRenderedPageBreak/>
              <w:t>备注：</w:t>
            </w:r>
            <w:r w:rsidR="00AE3B80" w:rsidRPr="007672DA">
              <w:rPr>
                <w:rFonts w:ascii="仿宋" w:eastAsia="仿宋" w:hAnsi="仿宋" w:cs="宋体" w:hint="eastAsia"/>
                <w:color w:val="000000"/>
                <w:kern w:val="0"/>
                <w:sz w:val="24"/>
                <w:szCs w:val="28"/>
              </w:rPr>
              <w:t>覆盖委外项下非金融企业债券投资</w:t>
            </w:r>
          </w:p>
        </w:tc>
      </w:tr>
    </w:tbl>
    <w:p w:rsidR="009E2131" w:rsidRPr="007672DA" w:rsidRDefault="009E2131" w:rsidP="009E2131">
      <w:pPr>
        <w:spacing w:line="560" w:lineRule="exact"/>
        <w:ind w:firstLineChars="200" w:firstLine="643"/>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2.</w:t>
      </w:r>
      <w:proofErr w:type="gramStart"/>
      <w:r w:rsidRPr="007672DA">
        <w:rPr>
          <w:rFonts w:ascii="仿宋_GB2312" w:eastAsia="仿宋_GB2312" w:hAnsi="Calibri" w:cs="Times New Roman" w:hint="eastAsia"/>
          <w:b/>
          <w:sz w:val="32"/>
          <w:szCs w:val="32"/>
        </w:rPr>
        <w:t>久期指标</w:t>
      </w:r>
      <w:proofErr w:type="gramEnd"/>
    </w:p>
    <w:p w:rsidR="009E2131" w:rsidRPr="007672DA" w:rsidRDefault="009E2131" w:rsidP="009E2131">
      <w:pPr>
        <w:wordWrap w:val="0"/>
        <w:ind w:firstLineChars="200" w:firstLine="480"/>
        <w:jc w:val="right"/>
        <w:rPr>
          <w:rFonts w:ascii="仿宋_GB2312" w:eastAsia="仿宋_GB2312" w:hAnsi="Calibri" w:cs="Times New Roman"/>
          <w:b/>
          <w:sz w:val="32"/>
          <w:szCs w:val="32"/>
        </w:rPr>
      </w:pPr>
      <w:r w:rsidRPr="007672DA">
        <w:rPr>
          <w:rFonts w:ascii="仿宋_GB2312" w:eastAsia="仿宋_GB2312" w:hAnsi="Calibri" w:cs="Times New Roman" w:hint="eastAsia"/>
          <w:sz w:val="24"/>
          <w:szCs w:val="32"/>
        </w:rPr>
        <w:t>单位：万元、年</w:t>
      </w:r>
    </w:p>
    <w:tbl>
      <w:tblPr>
        <w:tblStyle w:val="a3"/>
        <w:tblW w:w="5000" w:type="pct"/>
        <w:tblLook w:val="04A0" w:firstRow="1" w:lastRow="0" w:firstColumn="1" w:lastColumn="0" w:noHBand="0" w:noVBand="1"/>
      </w:tblPr>
      <w:tblGrid>
        <w:gridCol w:w="4427"/>
        <w:gridCol w:w="2225"/>
        <w:gridCol w:w="1870"/>
      </w:tblGrid>
      <w:tr w:rsidR="009E2131" w:rsidRPr="007672DA" w:rsidTr="005F475E">
        <w:trPr>
          <w:trHeight w:val="270"/>
        </w:trPr>
        <w:tc>
          <w:tcPr>
            <w:tcW w:w="2626" w:type="pct"/>
            <w:noWrap/>
            <w:hideMark/>
          </w:tcPr>
          <w:p w:rsidR="009E2131" w:rsidRPr="007672DA" w:rsidRDefault="009E2131" w:rsidP="00E97610">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指标名称</w:t>
            </w:r>
          </w:p>
        </w:tc>
        <w:tc>
          <w:tcPr>
            <w:tcW w:w="1294" w:type="pct"/>
            <w:noWrap/>
            <w:hideMark/>
          </w:tcPr>
          <w:p w:rsidR="009E2131" w:rsidRPr="007672DA" w:rsidRDefault="009E2131" w:rsidP="00E97610">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债券规模</w:t>
            </w:r>
          </w:p>
        </w:tc>
        <w:tc>
          <w:tcPr>
            <w:tcW w:w="1080" w:type="pct"/>
            <w:noWrap/>
            <w:hideMark/>
          </w:tcPr>
          <w:p w:rsidR="009E2131" w:rsidRPr="007672DA" w:rsidRDefault="009E2131" w:rsidP="00E97610">
            <w:pPr>
              <w:widowControl/>
              <w:adjustRightInd w:val="0"/>
              <w:snapToGrid w:val="0"/>
              <w:jc w:val="center"/>
              <w:rPr>
                <w:rFonts w:ascii="宋体" w:eastAsia="宋体" w:hAnsi="宋体" w:cs="宋体"/>
                <w:b/>
                <w:color w:val="000000"/>
                <w:kern w:val="0"/>
                <w:sz w:val="28"/>
                <w:szCs w:val="28"/>
              </w:rPr>
            </w:pPr>
            <w:proofErr w:type="gramStart"/>
            <w:r w:rsidRPr="007672DA">
              <w:rPr>
                <w:rFonts w:ascii="宋体" w:eastAsia="宋体" w:hAnsi="宋体" w:cs="宋体" w:hint="eastAsia"/>
                <w:b/>
                <w:color w:val="000000"/>
                <w:kern w:val="0"/>
                <w:sz w:val="28"/>
                <w:szCs w:val="28"/>
              </w:rPr>
              <w:t>加权久期</w:t>
            </w:r>
            <w:proofErr w:type="gramEnd"/>
          </w:p>
        </w:tc>
      </w:tr>
      <w:tr w:rsidR="005F475E" w:rsidRPr="007672DA" w:rsidTr="005F475E">
        <w:trPr>
          <w:trHeight w:val="270"/>
        </w:trPr>
        <w:tc>
          <w:tcPr>
            <w:tcW w:w="2626" w:type="pct"/>
            <w:noWrap/>
            <w:vAlign w:val="center"/>
          </w:tcPr>
          <w:p w:rsidR="005F475E" w:rsidRPr="007672DA" w:rsidRDefault="005F475E" w:rsidP="00A415CE">
            <w:pPr>
              <w:adjustRightInd w:val="0"/>
              <w:snapToGrid w:val="0"/>
              <w:rPr>
                <w:rFonts w:asciiTheme="minorEastAsia" w:hAnsiTheme="minorEastAsia" w:cs="宋体"/>
                <w:color w:val="000000"/>
                <w:sz w:val="28"/>
                <w:szCs w:val="28"/>
              </w:rPr>
            </w:pPr>
            <w:r w:rsidRPr="007672DA">
              <w:rPr>
                <w:rFonts w:asciiTheme="minorEastAsia" w:hAnsiTheme="minorEastAsia" w:hint="eastAsia"/>
                <w:color w:val="000000"/>
                <w:sz w:val="28"/>
                <w:szCs w:val="28"/>
              </w:rPr>
              <w:t>同业业务中心</w:t>
            </w:r>
            <w:proofErr w:type="gramStart"/>
            <w:r w:rsidRPr="007672DA">
              <w:rPr>
                <w:rFonts w:asciiTheme="minorEastAsia" w:hAnsiTheme="minorEastAsia" w:hint="eastAsia"/>
                <w:color w:val="000000"/>
                <w:sz w:val="28"/>
                <w:szCs w:val="28"/>
              </w:rPr>
              <w:t>债券久期</w:t>
            </w:r>
            <w:proofErr w:type="gramEnd"/>
          </w:p>
        </w:tc>
        <w:tc>
          <w:tcPr>
            <w:tcW w:w="1294"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3,219,300.78</w:t>
            </w:r>
          </w:p>
        </w:tc>
        <w:tc>
          <w:tcPr>
            <w:tcW w:w="1080"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3.25</w:t>
            </w:r>
          </w:p>
        </w:tc>
      </w:tr>
      <w:tr w:rsidR="005F475E" w:rsidRPr="007672DA" w:rsidTr="005F475E">
        <w:trPr>
          <w:trHeight w:val="270"/>
        </w:trPr>
        <w:tc>
          <w:tcPr>
            <w:tcW w:w="2626" w:type="pct"/>
            <w:noWrap/>
            <w:vAlign w:val="center"/>
          </w:tcPr>
          <w:p w:rsidR="005F475E" w:rsidRPr="007672DA" w:rsidRDefault="005F475E" w:rsidP="00A415CE">
            <w:pPr>
              <w:adjustRightInd w:val="0"/>
              <w:snapToGrid w:val="0"/>
              <w:rPr>
                <w:rFonts w:asciiTheme="minorEastAsia" w:hAnsiTheme="minorEastAsia"/>
                <w:color w:val="000000"/>
                <w:sz w:val="28"/>
                <w:szCs w:val="28"/>
              </w:rPr>
            </w:pPr>
            <w:r w:rsidRPr="007672DA">
              <w:rPr>
                <w:rFonts w:asciiTheme="minorEastAsia" w:hAnsiTheme="minorEastAsia" w:hint="eastAsia"/>
                <w:color w:val="000000"/>
                <w:sz w:val="28"/>
                <w:szCs w:val="28"/>
              </w:rPr>
              <w:t>其中：利率</w:t>
            </w:r>
            <w:proofErr w:type="gramStart"/>
            <w:r w:rsidRPr="007672DA">
              <w:rPr>
                <w:rFonts w:asciiTheme="minorEastAsia" w:hAnsiTheme="minorEastAsia" w:hint="eastAsia"/>
                <w:color w:val="000000"/>
                <w:sz w:val="28"/>
                <w:szCs w:val="28"/>
              </w:rPr>
              <w:t>债久期</w:t>
            </w:r>
            <w:proofErr w:type="gramEnd"/>
          </w:p>
        </w:tc>
        <w:tc>
          <w:tcPr>
            <w:tcW w:w="1294"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2,148,062.77</w:t>
            </w:r>
          </w:p>
        </w:tc>
        <w:tc>
          <w:tcPr>
            <w:tcW w:w="1080"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4.28</w:t>
            </w:r>
          </w:p>
        </w:tc>
      </w:tr>
      <w:tr w:rsidR="005F475E" w:rsidRPr="007672DA" w:rsidTr="005F475E">
        <w:trPr>
          <w:trHeight w:val="270"/>
        </w:trPr>
        <w:tc>
          <w:tcPr>
            <w:tcW w:w="2626" w:type="pct"/>
            <w:noWrap/>
            <w:vAlign w:val="center"/>
          </w:tcPr>
          <w:p w:rsidR="005F475E" w:rsidRPr="007672DA" w:rsidRDefault="005F475E" w:rsidP="00A415CE">
            <w:pPr>
              <w:adjustRightInd w:val="0"/>
              <w:snapToGrid w:val="0"/>
              <w:ind w:firstLineChars="300" w:firstLine="840"/>
              <w:rPr>
                <w:rFonts w:asciiTheme="minorEastAsia" w:hAnsiTheme="minorEastAsia"/>
                <w:color w:val="000000"/>
                <w:sz w:val="28"/>
                <w:szCs w:val="28"/>
              </w:rPr>
            </w:pPr>
            <w:r w:rsidRPr="007672DA">
              <w:rPr>
                <w:rFonts w:asciiTheme="minorEastAsia" w:hAnsiTheme="minorEastAsia" w:hint="eastAsia"/>
                <w:color w:val="000000"/>
                <w:sz w:val="28"/>
                <w:szCs w:val="28"/>
              </w:rPr>
              <w:t>金融</w:t>
            </w:r>
            <w:proofErr w:type="gramStart"/>
            <w:r w:rsidRPr="007672DA">
              <w:rPr>
                <w:rFonts w:asciiTheme="minorEastAsia" w:hAnsiTheme="minorEastAsia" w:hint="eastAsia"/>
                <w:color w:val="000000"/>
                <w:sz w:val="28"/>
                <w:szCs w:val="28"/>
              </w:rPr>
              <w:t>债久期（除利率债</w:t>
            </w:r>
            <w:proofErr w:type="gramEnd"/>
            <w:r w:rsidRPr="007672DA">
              <w:rPr>
                <w:rFonts w:asciiTheme="minorEastAsia" w:hAnsiTheme="minorEastAsia" w:hint="eastAsia"/>
                <w:color w:val="000000"/>
                <w:sz w:val="28"/>
                <w:szCs w:val="28"/>
              </w:rPr>
              <w:t>外）</w:t>
            </w:r>
          </w:p>
        </w:tc>
        <w:tc>
          <w:tcPr>
            <w:tcW w:w="1294"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228,181.47</w:t>
            </w:r>
          </w:p>
        </w:tc>
        <w:tc>
          <w:tcPr>
            <w:tcW w:w="1080"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0.77</w:t>
            </w:r>
          </w:p>
        </w:tc>
      </w:tr>
      <w:tr w:rsidR="005F475E" w:rsidRPr="007672DA" w:rsidTr="005F475E">
        <w:trPr>
          <w:trHeight w:val="270"/>
        </w:trPr>
        <w:tc>
          <w:tcPr>
            <w:tcW w:w="2626" w:type="pct"/>
            <w:noWrap/>
            <w:vAlign w:val="center"/>
          </w:tcPr>
          <w:p w:rsidR="005F475E" w:rsidRPr="007672DA" w:rsidRDefault="005F475E" w:rsidP="00A415CE">
            <w:pPr>
              <w:adjustRightInd w:val="0"/>
              <w:snapToGrid w:val="0"/>
              <w:ind w:firstLineChars="300" w:firstLine="840"/>
              <w:rPr>
                <w:rFonts w:asciiTheme="minorEastAsia" w:hAnsiTheme="minorEastAsia"/>
                <w:color w:val="000000"/>
                <w:sz w:val="28"/>
                <w:szCs w:val="28"/>
              </w:rPr>
            </w:pPr>
            <w:r w:rsidRPr="007672DA">
              <w:rPr>
                <w:rFonts w:asciiTheme="minorEastAsia" w:hAnsiTheme="minorEastAsia" w:hint="eastAsia"/>
                <w:color w:val="000000"/>
                <w:sz w:val="28"/>
                <w:szCs w:val="28"/>
              </w:rPr>
              <w:t>非金融</w:t>
            </w:r>
            <w:proofErr w:type="gramStart"/>
            <w:r w:rsidRPr="007672DA">
              <w:rPr>
                <w:rFonts w:asciiTheme="minorEastAsia" w:hAnsiTheme="minorEastAsia" w:hint="eastAsia"/>
                <w:color w:val="000000"/>
                <w:sz w:val="28"/>
                <w:szCs w:val="28"/>
              </w:rPr>
              <w:t>企业债券久期</w:t>
            </w:r>
            <w:proofErr w:type="gramEnd"/>
          </w:p>
        </w:tc>
        <w:tc>
          <w:tcPr>
            <w:tcW w:w="1294"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843,056.53</w:t>
            </w:r>
          </w:p>
        </w:tc>
        <w:tc>
          <w:tcPr>
            <w:tcW w:w="1080"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1.27</w:t>
            </w:r>
          </w:p>
        </w:tc>
      </w:tr>
      <w:tr w:rsidR="005F475E" w:rsidRPr="007672DA" w:rsidTr="005F475E">
        <w:trPr>
          <w:trHeight w:val="270"/>
        </w:trPr>
        <w:tc>
          <w:tcPr>
            <w:tcW w:w="2626" w:type="pct"/>
            <w:noWrap/>
            <w:vAlign w:val="center"/>
          </w:tcPr>
          <w:p w:rsidR="005F475E" w:rsidRPr="007672DA" w:rsidRDefault="005F475E" w:rsidP="00A415CE">
            <w:pPr>
              <w:adjustRightInd w:val="0"/>
              <w:snapToGrid w:val="0"/>
              <w:rPr>
                <w:rFonts w:asciiTheme="minorEastAsia" w:hAnsiTheme="minorEastAsia" w:cs="宋体"/>
                <w:color w:val="000000"/>
                <w:sz w:val="28"/>
                <w:szCs w:val="28"/>
              </w:rPr>
            </w:pPr>
            <w:r w:rsidRPr="007672DA">
              <w:rPr>
                <w:rFonts w:asciiTheme="minorEastAsia" w:hAnsiTheme="minorEastAsia" w:hint="eastAsia"/>
                <w:color w:val="000000"/>
                <w:sz w:val="28"/>
                <w:szCs w:val="28"/>
              </w:rPr>
              <w:t>理财事业部</w:t>
            </w:r>
            <w:proofErr w:type="gramStart"/>
            <w:r w:rsidRPr="007672DA">
              <w:rPr>
                <w:rFonts w:asciiTheme="minorEastAsia" w:hAnsiTheme="minorEastAsia" w:hint="eastAsia"/>
                <w:color w:val="000000"/>
                <w:sz w:val="28"/>
                <w:szCs w:val="28"/>
              </w:rPr>
              <w:t>债券久期</w:t>
            </w:r>
            <w:proofErr w:type="gramEnd"/>
          </w:p>
        </w:tc>
        <w:tc>
          <w:tcPr>
            <w:tcW w:w="1294"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1,030,746.64</w:t>
            </w:r>
          </w:p>
        </w:tc>
        <w:tc>
          <w:tcPr>
            <w:tcW w:w="1080"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2.14</w:t>
            </w:r>
          </w:p>
        </w:tc>
      </w:tr>
      <w:tr w:rsidR="005F475E" w:rsidRPr="007672DA" w:rsidTr="005F475E">
        <w:trPr>
          <w:trHeight w:val="270"/>
        </w:trPr>
        <w:tc>
          <w:tcPr>
            <w:tcW w:w="2626" w:type="pct"/>
            <w:noWrap/>
            <w:vAlign w:val="center"/>
          </w:tcPr>
          <w:p w:rsidR="005F475E" w:rsidRPr="007672DA" w:rsidRDefault="005F475E" w:rsidP="00A415CE">
            <w:pPr>
              <w:adjustRightInd w:val="0"/>
              <w:snapToGrid w:val="0"/>
              <w:rPr>
                <w:rFonts w:asciiTheme="minorEastAsia" w:hAnsiTheme="minorEastAsia"/>
                <w:color w:val="000000"/>
                <w:sz w:val="28"/>
                <w:szCs w:val="28"/>
              </w:rPr>
            </w:pPr>
            <w:r w:rsidRPr="007672DA">
              <w:rPr>
                <w:rFonts w:asciiTheme="minorEastAsia" w:hAnsiTheme="minorEastAsia" w:hint="eastAsia"/>
                <w:color w:val="000000"/>
                <w:sz w:val="28"/>
                <w:szCs w:val="28"/>
              </w:rPr>
              <w:t>其中：利率</w:t>
            </w:r>
            <w:proofErr w:type="gramStart"/>
            <w:r w:rsidRPr="007672DA">
              <w:rPr>
                <w:rFonts w:asciiTheme="minorEastAsia" w:hAnsiTheme="minorEastAsia" w:hint="eastAsia"/>
                <w:color w:val="000000"/>
                <w:sz w:val="28"/>
                <w:szCs w:val="28"/>
              </w:rPr>
              <w:t>债久期</w:t>
            </w:r>
            <w:proofErr w:type="gramEnd"/>
          </w:p>
        </w:tc>
        <w:tc>
          <w:tcPr>
            <w:tcW w:w="1294"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154,104.26</w:t>
            </w:r>
          </w:p>
        </w:tc>
        <w:tc>
          <w:tcPr>
            <w:tcW w:w="1080"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4.39</w:t>
            </w:r>
          </w:p>
        </w:tc>
      </w:tr>
      <w:tr w:rsidR="005F475E" w:rsidRPr="007672DA" w:rsidTr="005F475E">
        <w:trPr>
          <w:trHeight w:val="270"/>
        </w:trPr>
        <w:tc>
          <w:tcPr>
            <w:tcW w:w="2626" w:type="pct"/>
            <w:noWrap/>
            <w:vAlign w:val="center"/>
            <w:hideMark/>
          </w:tcPr>
          <w:p w:rsidR="005F475E" w:rsidRPr="007672DA" w:rsidRDefault="005F475E" w:rsidP="00A415CE">
            <w:pPr>
              <w:adjustRightInd w:val="0"/>
              <w:snapToGrid w:val="0"/>
              <w:ind w:firstLineChars="300" w:firstLine="840"/>
              <w:rPr>
                <w:rFonts w:asciiTheme="minorEastAsia" w:hAnsiTheme="minorEastAsia" w:cs="宋体"/>
                <w:color w:val="000000"/>
                <w:sz w:val="28"/>
                <w:szCs w:val="28"/>
              </w:rPr>
            </w:pPr>
            <w:r w:rsidRPr="007672DA">
              <w:rPr>
                <w:rFonts w:asciiTheme="minorEastAsia" w:hAnsiTheme="minorEastAsia" w:hint="eastAsia"/>
                <w:color w:val="000000"/>
                <w:sz w:val="28"/>
                <w:szCs w:val="28"/>
              </w:rPr>
              <w:t>金融</w:t>
            </w:r>
            <w:proofErr w:type="gramStart"/>
            <w:r w:rsidRPr="007672DA">
              <w:rPr>
                <w:rFonts w:asciiTheme="minorEastAsia" w:hAnsiTheme="minorEastAsia" w:hint="eastAsia"/>
                <w:color w:val="000000"/>
                <w:sz w:val="28"/>
                <w:szCs w:val="28"/>
              </w:rPr>
              <w:t>债久期（除利率债</w:t>
            </w:r>
            <w:proofErr w:type="gramEnd"/>
            <w:r w:rsidRPr="007672DA">
              <w:rPr>
                <w:rFonts w:asciiTheme="minorEastAsia" w:hAnsiTheme="minorEastAsia" w:hint="eastAsia"/>
                <w:color w:val="000000"/>
                <w:sz w:val="28"/>
                <w:szCs w:val="28"/>
              </w:rPr>
              <w:t>外）</w:t>
            </w:r>
          </w:p>
        </w:tc>
        <w:tc>
          <w:tcPr>
            <w:tcW w:w="1294"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41,507.31</w:t>
            </w:r>
          </w:p>
        </w:tc>
        <w:tc>
          <w:tcPr>
            <w:tcW w:w="1080"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1.38</w:t>
            </w:r>
          </w:p>
        </w:tc>
      </w:tr>
      <w:tr w:rsidR="005F475E" w:rsidRPr="007672DA" w:rsidTr="005F475E">
        <w:trPr>
          <w:trHeight w:val="270"/>
        </w:trPr>
        <w:tc>
          <w:tcPr>
            <w:tcW w:w="2626" w:type="pct"/>
            <w:noWrap/>
            <w:vAlign w:val="center"/>
            <w:hideMark/>
          </w:tcPr>
          <w:p w:rsidR="005F475E" w:rsidRPr="007672DA" w:rsidRDefault="005F475E" w:rsidP="00A415CE">
            <w:pPr>
              <w:adjustRightInd w:val="0"/>
              <w:snapToGrid w:val="0"/>
              <w:ind w:firstLineChars="300" w:firstLine="840"/>
              <w:rPr>
                <w:rFonts w:asciiTheme="minorEastAsia" w:hAnsiTheme="minorEastAsia" w:cs="宋体"/>
                <w:color w:val="000000"/>
                <w:sz w:val="28"/>
                <w:szCs w:val="28"/>
              </w:rPr>
            </w:pPr>
            <w:r w:rsidRPr="007672DA">
              <w:rPr>
                <w:rFonts w:asciiTheme="minorEastAsia" w:hAnsiTheme="minorEastAsia" w:hint="eastAsia"/>
                <w:color w:val="000000"/>
                <w:sz w:val="28"/>
                <w:szCs w:val="28"/>
              </w:rPr>
              <w:t>非金融</w:t>
            </w:r>
            <w:proofErr w:type="gramStart"/>
            <w:r w:rsidRPr="007672DA">
              <w:rPr>
                <w:rFonts w:asciiTheme="minorEastAsia" w:hAnsiTheme="minorEastAsia" w:hint="eastAsia"/>
                <w:color w:val="000000"/>
                <w:sz w:val="28"/>
                <w:szCs w:val="28"/>
              </w:rPr>
              <w:t>企业债券久期</w:t>
            </w:r>
            <w:proofErr w:type="gramEnd"/>
          </w:p>
        </w:tc>
        <w:tc>
          <w:tcPr>
            <w:tcW w:w="1294"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835,135.07</w:t>
            </w:r>
          </w:p>
        </w:tc>
        <w:tc>
          <w:tcPr>
            <w:tcW w:w="1080"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1.76</w:t>
            </w:r>
          </w:p>
        </w:tc>
      </w:tr>
      <w:tr w:rsidR="00A415CE" w:rsidRPr="007672DA" w:rsidTr="004A6CF0">
        <w:trPr>
          <w:trHeight w:val="270"/>
        </w:trPr>
        <w:tc>
          <w:tcPr>
            <w:tcW w:w="5000" w:type="pct"/>
            <w:gridSpan w:val="3"/>
            <w:tcBorders>
              <w:left w:val="nil"/>
              <w:bottom w:val="nil"/>
              <w:right w:val="nil"/>
            </w:tcBorders>
            <w:noWrap/>
            <w:vAlign w:val="center"/>
          </w:tcPr>
          <w:p w:rsidR="00A415CE" w:rsidRPr="007672DA" w:rsidRDefault="00A415CE" w:rsidP="0022695A">
            <w:pPr>
              <w:widowControl/>
              <w:adjustRightInd w:val="0"/>
              <w:snapToGrid w:val="0"/>
              <w:jc w:val="left"/>
              <w:rPr>
                <w:rFonts w:ascii="仿宋" w:eastAsia="仿宋" w:hAnsi="仿宋" w:cs="宋体"/>
                <w:color w:val="000000"/>
                <w:kern w:val="0"/>
                <w:sz w:val="28"/>
                <w:szCs w:val="28"/>
              </w:rPr>
            </w:pPr>
            <w:r w:rsidRPr="007672DA">
              <w:rPr>
                <w:rFonts w:ascii="仿宋" w:eastAsia="仿宋" w:hAnsi="仿宋" w:cs="宋体" w:hint="eastAsia"/>
                <w:color w:val="000000"/>
                <w:kern w:val="0"/>
                <w:sz w:val="24"/>
                <w:szCs w:val="28"/>
              </w:rPr>
              <w:t>数据来源：理财资产管理系统</w:t>
            </w:r>
            <w:r w:rsidRPr="007672DA">
              <w:rPr>
                <w:rFonts w:ascii="仿宋" w:eastAsia="仿宋" w:hAnsi="仿宋" w:cs="宋体" w:hint="eastAsia"/>
                <w:color w:val="000000"/>
                <w:kern w:val="0"/>
                <w:sz w:val="24"/>
                <w:szCs w:val="24"/>
              </w:rPr>
              <w:t>、兆</w:t>
            </w:r>
            <w:proofErr w:type="gramStart"/>
            <w:r w:rsidRPr="007672DA">
              <w:rPr>
                <w:rFonts w:ascii="仿宋" w:eastAsia="仿宋" w:hAnsi="仿宋" w:cs="宋体" w:hint="eastAsia"/>
                <w:color w:val="000000"/>
                <w:kern w:val="0"/>
                <w:sz w:val="24"/>
                <w:szCs w:val="24"/>
              </w:rPr>
              <w:t>尹</w:t>
            </w:r>
            <w:proofErr w:type="gramEnd"/>
            <w:r w:rsidRPr="007672DA">
              <w:rPr>
                <w:rFonts w:ascii="仿宋" w:eastAsia="仿宋" w:hAnsi="仿宋" w:cs="宋体" w:hint="eastAsia"/>
                <w:color w:val="000000"/>
                <w:kern w:val="0"/>
                <w:sz w:val="24"/>
                <w:szCs w:val="24"/>
              </w:rPr>
              <w:t>系统</w:t>
            </w:r>
            <w:r w:rsidRPr="007672DA">
              <w:rPr>
                <w:rFonts w:ascii="仿宋" w:eastAsia="仿宋" w:hAnsi="仿宋" w:cs="宋体" w:hint="eastAsia"/>
                <w:color w:val="000000"/>
                <w:kern w:val="0"/>
                <w:sz w:val="24"/>
                <w:szCs w:val="28"/>
              </w:rPr>
              <w:t>、</w:t>
            </w:r>
            <w:r w:rsidR="0022695A" w:rsidRPr="007672DA">
              <w:rPr>
                <w:rFonts w:ascii="仿宋" w:eastAsia="仿宋" w:hAnsi="仿宋" w:cs="宋体" w:hint="eastAsia"/>
                <w:color w:val="000000"/>
                <w:kern w:val="0"/>
                <w:sz w:val="24"/>
                <w:szCs w:val="28"/>
              </w:rPr>
              <w:t>资金业务管理系统</w:t>
            </w:r>
            <w:r w:rsidRPr="007672DA">
              <w:rPr>
                <w:rFonts w:ascii="仿宋" w:eastAsia="仿宋" w:hAnsi="仿宋" w:cs="宋体" w:hint="eastAsia"/>
                <w:color w:val="000000"/>
                <w:kern w:val="0"/>
                <w:sz w:val="24"/>
                <w:szCs w:val="28"/>
              </w:rPr>
              <w:t>、COMSTAR系统、委外估值表</w:t>
            </w:r>
            <w:r w:rsidR="0022695A" w:rsidRPr="007672DA">
              <w:rPr>
                <w:rFonts w:ascii="仿宋" w:eastAsia="仿宋" w:hAnsi="仿宋" w:cs="宋体" w:hint="eastAsia"/>
                <w:color w:val="000000"/>
                <w:kern w:val="0"/>
                <w:sz w:val="24"/>
                <w:szCs w:val="28"/>
              </w:rPr>
              <w:t>，尚未</w:t>
            </w:r>
            <w:proofErr w:type="gramStart"/>
            <w:r w:rsidR="0022695A" w:rsidRPr="007672DA">
              <w:rPr>
                <w:rFonts w:ascii="仿宋" w:eastAsia="仿宋" w:hAnsi="仿宋" w:cs="宋体" w:hint="eastAsia"/>
                <w:color w:val="000000"/>
                <w:kern w:val="0"/>
                <w:sz w:val="24"/>
                <w:szCs w:val="28"/>
              </w:rPr>
              <w:t>涵盖省联社</w:t>
            </w:r>
            <w:proofErr w:type="gramEnd"/>
            <w:r w:rsidR="0022695A" w:rsidRPr="007672DA">
              <w:rPr>
                <w:rFonts w:ascii="仿宋" w:eastAsia="仿宋" w:hAnsi="仿宋" w:cs="宋体" w:hint="eastAsia"/>
                <w:color w:val="000000"/>
                <w:kern w:val="0"/>
                <w:sz w:val="24"/>
                <w:szCs w:val="28"/>
              </w:rPr>
              <w:t>资金统一平台数据</w:t>
            </w:r>
          </w:p>
        </w:tc>
      </w:tr>
      <w:tr w:rsidR="00A415CE" w:rsidRPr="007672DA" w:rsidTr="004A6CF0">
        <w:trPr>
          <w:trHeight w:val="270"/>
        </w:trPr>
        <w:tc>
          <w:tcPr>
            <w:tcW w:w="5000" w:type="pct"/>
            <w:gridSpan w:val="3"/>
            <w:tcBorders>
              <w:top w:val="nil"/>
              <w:left w:val="nil"/>
              <w:bottom w:val="nil"/>
              <w:right w:val="nil"/>
            </w:tcBorders>
            <w:noWrap/>
            <w:vAlign w:val="center"/>
          </w:tcPr>
          <w:p w:rsidR="00A415CE" w:rsidRPr="007672DA" w:rsidRDefault="00A415CE" w:rsidP="00D06964">
            <w:pPr>
              <w:widowControl/>
              <w:adjustRightInd w:val="0"/>
              <w:snapToGrid w:val="0"/>
              <w:jc w:val="left"/>
              <w:rPr>
                <w:rFonts w:ascii="仿宋" w:eastAsia="仿宋" w:hAnsi="仿宋" w:cs="宋体"/>
                <w:color w:val="000000"/>
                <w:kern w:val="0"/>
                <w:sz w:val="24"/>
                <w:szCs w:val="28"/>
              </w:rPr>
            </w:pPr>
            <w:r w:rsidRPr="007672DA">
              <w:rPr>
                <w:rFonts w:ascii="仿宋" w:eastAsia="仿宋" w:hAnsi="仿宋" w:cs="宋体" w:hint="eastAsia"/>
                <w:color w:val="000000"/>
                <w:kern w:val="0"/>
                <w:sz w:val="24"/>
                <w:szCs w:val="28"/>
              </w:rPr>
              <w:t>备注：覆盖同业线下、同业线上，以及债基、委外项下债券投资</w:t>
            </w:r>
          </w:p>
        </w:tc>
      </w:tr>
    </w:tbl>
    <w:p w:rsidR="009E2131" w:rsidRPr="007672DA" w:rsidRDefault="009E2131" w:rsidP="009E2131">
      <w:pPr>
        <w:spacing w:line="560" w:lineRule="exact"/>
        <w:ind w:firstLineChars="200" w:firstLine="643"/>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3.杠杆指标</w:t>
      </w:r>
    </w:p>
    <w:p w:rsidR="009E2131" w:rsidRPr="007672DA" w:rsidRDefault="009E2131" w:rsidP="009E2131">
      <w:pPr>
        <w:wordWrap w:val="0"/>
        <w:ind w:firstLineChars="200" w:firstLine="480"/>
        <w:jc w:val="right"/>
        <w:rPr>
          <w:rFonts w:ascii="仿宋_GB2312" w:eastAsia="仿宋_GB2312" w:hAnsi="Calibri" w:cs="Times New Roman"/>
          <w:b/>
          <w:sz w:val="32"/>
          <w:szCs w:val="32"/>
        </w:rPr>
      </w:pPr>
      <w:r w:rsidRPr="007672DA">
        <w:rPr>
          <w:rFonts w:ascii="仿宋_GB2312" w:eastAsia="仿宋_GB2312" w:hAnsi="Calibri" w:cs="Times New Roman" w:hint="eastAsia"/>
          <w:sz w:val="24"/>
          <w:szCs w:val="32"/>
        </w:rPr>
        <w:t>单位：%</w:t>
      </w:r>
    </w:p>
    <w:tbl>
      <w:tblPr>
        <w:tblStyle w:val="a3"/>
        <w:tblW w:w="5000" w:type="pct"/>
        <w:tblLook w:val="04A0" w:firstRow="1" w:lastRow="0" w:firstColumn="1" w:lastColumn="0" w:noHBand="0" w:noVBand="1"/>
      </w:tblPr>
      <w:tblGrid>
        <w:gridCol w:w="3032"/>
        <w:gridCol w:w="2751"/>
        <w:gridCol w:w="2739"/>
      </w:tblGrid>
      <w:tr w:rsidR="009E2131" w:rsidRPr="007672DA" w:rsidTr="005F475E">
        <w:trPr>
          <w:trHeight w:val="270"/>
        </w:trPr>
        <w:tc>
          <w:tcPr>
            <w:tcW w:w="1781" w:type="pct"/>
            <w:noWrap/>
            <w:hideMark/>
          </w:tcPr>
          <w:p w:rsidR="009E2131" w:rsidRPr="007672DA" w:rsidRDefault="009E2131" w:rsidP="00E97610">
            <w:pPr>
              <w:widowControl/>
              <w:adjustRightInd w:val="0"/>
              <w:snapToGrid w:val="0"/>
              <w:jc w:val="center"/>
              <w:rPr>
                <w:rFonts w:ascii="宋体" w:eastAsia="宋体" w:hAnsi="宋体" w:cs="宋体"/>
                <w:b/>
                <w:color w:val="000000"/>
                <w:kern w:val="0"/>
                <w:sz w:val="28"/>
              </w:rPr>
            </w:pPr>
            <w:r w:rsidRPr="007672DA">
              <w:rPr>
                <w:rFonts w:ascii="宋体" w:eastAsia="宋体" w:hAnsi="宋体" w:cs="宋体" w:hint="eastAsia"/>
                <w:b/>
                <w:color w:val="000000"/>
                <w:kern w:val="0"/>
                <w:sz w:val="28"/>
              </w:rPr>
              <w:t>指标名称</w:t>
            </w:r>
          </w:p>
        </w:tc>
        <w:tc>
          <w:tcPr>
            <w:tcW w:w="1613" w:type="pct"/>
            <w:tcBorders>
              <w:bottom w:val="single" w:sz="4" w:space="0" w:color="auto"/>
            </w:tcBorders>
            <w:noWrap/>
            <w:hideMark/>
          </w:tcPr>
          <w:p w:rsidR="009E2131" w:rsidRPr="007672DA" w:rsidRDefault="009E2131" w:rsidP="00E97610">
            <w:pPr>
              <w:widowControl/>
              <w:adjustRightInd w:val="0"/>
              <w:snapToGrid w:val="0"/>
              <w:jc w:val="center"/>
              <w:rPr>
                <w:rFonts w:ascii="宋体" w:eastAsia="宋体" w:hAnsi="宋体" w:cs="宋体"/>
                <w:b/>
                <w:color w:val="000000"/>
                <w:kern w:val="0"/>
                <w:sz w:val="28"/>
              </w:rPr>
            </w:pPr>
            <w:r w:rsidRPr="007672DA">
              <w:rPr>
                <w:rFonts w:ascii="宋体" w:eastAsia="宋体" w:hAnsi="宋体" w:cs="宋体" w:hint="eastAsia"/>
                <w:b/>
                <w:color w:val="000000"/>
                <w:kern w:val="0"/>
                <w:sz w:val="28"/>
              </w:rPr>
              <w:t>杠杆率</w:t>
            </w:r>
          </w:p>
        </w:tc>
        <w:tc>
          <w:tcPr>
            <w:tcW w:w="1606" w:type="pct"/>
          </w:tcPr>
          <w:p w:rsidR="009E2131" w:rsidRPr="007672DA" w:rsidRDefault="009E2131" w:rsidP="00E97610">
            <w:pPr>
              <w:widowControl/>
              <w:adjustRightInd w:val="0"/>
              <w:snapToGrid w:val="0"/>
              <w:jc w:val="center"/>
              <w:rPr>
                <w:rFonts w:ascii="宋体" w:eastAsia="宋体" w:hAnsi="宋体" w:cs="宋体"/>
                <w:b/>
                <w:color w:val="000000"/>
                <w:kern w:val="0"/>
                <w:sz w:val="28"/>
              </w:rPr>
            </w:pPr>
            <w:r w:rsidRPr="007672DA">
              <w:rPr>
                <w:rFonts w:ascii="宋体" w:eastAsia="宋体" w:hAnsi="宋体" w:cs="宋体" w:hint="eastAsia"/>
                <w:b/>
                <w:color w:val="000000"/>
                <w:kern w:val="0"/>
                <w:sz w:val="28"/>
              </w:rPr>
              <w:t>监管值</w:t>
            </w:r>
          </w:p>
        </w:tc>
      </w:tr>
      <w:tr w:rsidR="009E2131" w:rsidRPr="007672DA" w:rsidTr="005F475E">
        <w:trPr>
          <w:trHeight w:val="270"/>
        </w:trPr>
        <w:tc>
          <w:tcPr>
            <w:tcW w:w="1781" w:type="pct"/>
            <w:tcBorders>
              <w:right w:val="nil"/>
            </w:tcBorders>
            <w:noWrap/>
          </w:tcPr>
          <w:p w:rsidR="009E2131" w:rsidRPr="007672DA" w:rsidRDefault="009E2131" w:rsidP="00E97610">
            <w:pPr>
              <w:widowControl/>
              <w:adjustRightInd w:val="0"/>
              <w:snapToGrid w:val="0"/>
              <w:jc w:val="left"/>
              <w:rPr>
                <w:rFonts w:ascii="宋体" w:eastAsia="宋体" w:hAnsi="宋体" w:cs="宋体"/>
                <w:b/>
                <w:color w:val="000000"/>
                <w:kern w:val="0"/>
                <w:sz w:val="28"/>
              </w:rPr>
            </w:pPr>
            <w:r w:rsidRPr="007672DA">
              <w:rPr>
                <w:rFonts w:ascii="宋体" w:eastAsia="宋体" w:hAnsi="宋体" w:cs="宋体" w:hint="eastAsia"/>
                <w:b/>
                <w:color w:val="000000"/>
                <w:kern w:val="0"/>
                <w:sz w:val="28"/>
              </w:rPr>
              <w:t>自营业务：</w:t>
            </w:r>
          </w:p>
        </w:tc>
        <w:tc>
          <w:tcPr>
            <w:tcW w:w="1613" w:type="pct"/>
            <w:tcBorders>
              <w:left w:val="nil"/>
              <w:right w:val="nil"/>
            </w:tcBorders>
            <w:noWrap/>
          </w:tcPr>
          <w:p w:rsidR="009E2131" w:rsidRPr="007672DA" w:rsidRDefault="009E2131" w:rsidP="00E97610">
            <w:pPr>
              <w:widowControl/>
              <w:adjustRightInd w:val="0"/>
              <w:snapToGrid w:val="0"/>
              <w:jc w:val="center"/>
              <w:rPr>
                <w:rFonts w:ascii="宋体" w:eastAsia="宋体" w:hAnsi="宋体" w:cs="宋体"/>
                <w:b/>
                <w:color w:val="000000"/>
                <w:kern w:val="0"/>
                <w:sz w:val="28"/>
              </w:rPr>
            </w:pPr>
          </w:p>
        </w:tc>
        <w:tc>
          <w:tcPr>
            <w:tcW w:w="1606" w:type="pct"/>
            <w:tcBorders>
              <w:left w:val="nil"/>
            </w:tcBorders>
          </w:tcPr>
          <w:p w:rsidR="009E2131" w:rsidRPr="007672DA" w:rsidRDefault="009E2131" w:rsidP="00E97610">
            <w:pPr>
              <w:widowControl/>
              <w:adjustRightInd w:val="0"/>
              <w:snapToGrid w:val="0"/>
              <w:jc w:val="center"/>
              <w:rPr>
                <w:rFonts w:ascii="宋体" w:eastAsia="宋体" w:hAnsi="宋体" w:cs="宋体"/>
                <w:b/>
                <w:color w:val="000000"/>
                <w:kern w:val="0"/>
                <w:sz w:val="28"/>
              </w:rPr>
            </w:pPr>
          </w:p>
        </w:tc>
      </w:tr>
      <w:tr w:rsidR="005F475E" w:rsidRPr="007672DA" w:rsidTr="005F475E">
        <w:trPr>
          <w:trHeight w:val="270"/>
        </w:trPr>
        <w:tc>
          <w:tcPr>
            <w:tcW w:w="1781" w:type="pct"/>
            <w:noWrap/>
            <w:hideMark/>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自营债券正回购杠杆率</w:t>
            </w:r>
          </w:p>
        </w:tc>
        <w:tc>
          <w:tcPr>
            <w:tcW w:w="1613"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2.94%</w:t>
            </w:r>
          </w:p>
        </w:tc>
        <w:tc>
          <w:tcPr>
            <w:tcW w:w="1606" w:type="pct"/>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80%</w:t>
            </w:r>
          </w:p>
        </w:tc>
      </w:tr>
      <w:tr w:rsidR="005F475E" w:rsidRPr="007672DA" w:rsidTr="005F475E">
        <w:trPr>
          <w:trHeight w:val="270"/>
        </w:trPr>
        <w:tc>
          <w:tcPr>
            <w:tcW w:w="1781" w:type="pct"/>
            <w:noWrap/>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自营债券逆回购杠杆率</w:t>
            </w:r>
          </w:p>
        </w:tc>
        <w:tc>
          <w:tcPr>
            <w:tcW w:w="1613" w:type="pct"/>
            <w:tcBorders>
              <w:bottom w:val="single" w:sz="4" w:space="0" w:color="auto"/>
            </w:tcBorders>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33.66%</w:t>
            </w:r>
          </w:p>
        </w:tc>
        <w:tc>
          <w:tcPr>
            <w:tcW w:w="1606" w:type="pct"/>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80%</w:t>
            </w:r>
          </w:p>
        </w:tc>
      </w:tr>
      <w:tr w:rsidR="009E2131" w:rsidRPr="007672DA" w:rsidTr="005F475E">
        <w:trPr>
          <w:trHeight w:val="270"/>
        </w:trPr>
        <w:tc>
          <w:tcPr>
            <w:tcW w:w="1781" w:type="pct"/>
            <w:tcBorders>
              <w:right w:val="nil"/>
            </w:tcBorders>
            <w:noWrap/>
          </w:tcPr>
          <w:p w:rsidR="009E2131" w:rsidRPr="007672DA" w:rsidRDefault="009E2131" w:rsidP="00E97610">
            <w:pPr>
              <w:widowControl/>
              <w:adjustRightInd w:val="0"/>
              <w:snapToGrid w:val="0"/>
              <w:jc w:val="left"/>
              <w:rPr>
                <w:rFonts w:ascii="宋体" w:eastAsia="宋体" w:hAnsi="宋体" w:cs="宋体"/>
                <w:b/>
                <w:color w:val="000000"/>
                <w:kern w:val="0"/>
                <w:sz w:val="28"/>
              </w:rPr>
            </w:pPr>
            <w:r w:rsidRPr="007672DA">
              <w:rPr>
                <w:rFonts w:ascii="宋体" w:eastAsia="宋体" w:hAnsi="宋体" w:cs="宋体" w:hint="eastAsia"/>
                <w:b/>
                <w:color w:val="000000"/>
                <w:kern w:val="0"/>
                <w:sz w:val="28"/>
              </w:rPr>
              <w:t>理财产品：</w:t>
            </w:r>
          </w:p>
        </w:tc>
        <w:tc>
          <w:tcPr>
            <w:tcW w:w="1613" w:type="pct"/>
            <w:tcBorders>
              <w:left w:val="nil"/>
              <w:right w:val="nil"/>
            </w:tcBorders>
            <w:noWrap/>
            <w:vAlign w:val="center"/>
          </w:tcPr>
          <w:p w:rsidR="009E2131" w:rsidRPr="007672DA" w:rsidRDefault="009E2131" w:rsidP="007018DF">
            <w:pPr>
              <w:adjustRightInd w:val="0"/>
              <w:snapToGrid w:val="0"/>
              <w:jc w:val="center"/>
              <w:rPr>
                <w:rFonts w:asciiTheme="minorEastAsia" w:hAnsiTheme="minorEastAsia" w:cs="Times New Roman"/>
                <w:sz w:val="28"/>
                <w:szCs w:val="28"/>
              </w:rPr>
            </w:pPr>
          </w:p>
        </w:tc>
        <w:tc>
          <w:tcPr>
            <w:tcW w:w="1606" w:type="pct"/>
            <w:tcBorders>
              <w:left w:val="nil"/>
            </w:tcBorders>
          </w:tcPr>
          <w:p w:rsidR="009E2131" w:rsidRPr="007672DA" w:rsidRDefault="009E2131" w:rsidP="00E97610">
            <w:pPr>
              <w:widowControl/>
              <w:adjustRightInd w:val="0"/>
              <w:snapToGrid w:val="0"/>
              <w:jc w:val="center"/>
              <w:rPr>
                <w:rFonts w:ascii="宋体" w:eastAsia="宋体" w:hAnsi="宋体" w:cs="宋体"/>
                <w:color w:val="000000"/>
                <w:kern w:val="0"/>
                <w:sz w:val="28"/>
              </w:rPr>
            </w:pPr>
          </w:p>
        </w:tc>
      </w:tr>
      <w:tr w:rsidR="005F475E" w:rsidRPr="007672DA" w:rsidTr="005F475E">
        <w:trPr>
          <w:trHeight w:val="270"/>
        </w:trPr>
        <w:tc>
          <w:tcPr>
            <w:tcW w:w="1781" w:type="pct"/>
            <w:noWrap/>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丰裕杠杆率</w:t>
            </w:r>
          </w:p>
        </w:tc>
        <w:tc>
          <w:tcPr>
            <w:tcW w:w="1613"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103.21%</w:t>
            </w:r>
          </w:p>
        </w:tc>
        <w:tc>
          <w:tcPr>
            <w:tcW w:w="1606" w:type="pct"/>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140%</w:t>
            </w:r>
          </w:p>
        </w:tc>
      </w:tr>
      <w:tr w:rsidR="005F475E" w:rsidRPr="007672DA" w:rsidTr="005F475E">
        <w:trPr>
          <w:trHeight w:val="270"/>
        </w:trPr>
        <w:tc>
          <w:tcPr>
            <w:tcW w:w="1781" w:type="pct"/>
            <w:noWrap/>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丰裕正回购杠杆率</w:t>
            </w:r>
          </w:p>
        </w:tc>
        <w:tc>
          <w:tcPr>
            <w:tcW w:w="1613"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3.21%</w:t>
            </w:r>
          </w:p>
        </w:tc>
        <w:tc>
          <w:tcPr>
            <w:tcW w:w="1606" w:type="pct"/>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40%</w:t>
            </w:r>
          </w:p>
        </w:tc>
      </w:tr>
      <w:tr w:rsidR="005F475E" w:rsidRPr="007672DA" w:rsidTr="005F475E">
        <w:trPr>
          <w:trHeight w:val="270"/>
        </w:trPr>
        <w:tc>
          <w:tcPr>
            <w:tcW w:w="1781" w:type="pct"/>
            <w:noWrap/>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丰裕逆回购杠杆率</w:t>
            </w:r>
          </w:p>
        </w:tc>
        <w:tc>
          <w:tcPr>
            <w:tcW w:w="1613"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2.03%</w:t>
            </w:r>
          </w:p>
        </w:tc>
        <w:tc>
          <w:tcPr>
            <w:tcW w:w="1606" w:type="pct"/>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40%</w:t>
            </w:r>
          </w:p>
        </w:tc>
      </w:tr>
      <w:tr w:rsidR="005F475E" w:rsidRPr="007672DA" w:rsidTr="005F475E">
        <w:trPr>
          <w:trHeight w:val="270"/>
        </w:trPr>
        <w:tc>
          <w:tcPr>
            <w:tcW w:w="1781" w:type="pct"/>
            <w:noWrap/>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丰盈专属杠杆率</w:t>
            </w:r>
          </w:p>
        </w:tc>
        <w:tc>
          <w:tcPr>
            <w:tcW w:w="1613"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100.52%</w:t>
            </w:r>
          </w:p>
        </w:tc>
        <w:tc>
          <w:tcPr>
            <w:tcW w:w="1606" w:type="pct"/>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140%</w:t>
            </w:r>
          </w:p>
        </w:tc>
      </w:tr>
      <w:tr w:rsidR="005F475E" w:rsidRPr="007672DA" w:rsidTr="005F475E">
        <w:trPr>
          <w:trHeight w:val="270"/>
        </w:trPr>
        <w:tc>
          <w:tcPr>
            <w:tcW w:w="1781" w:type="pct"/>
            <w:noWrap/>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丰盈专属正回购杠杆率</w:t>
            </w:r>
          </w:p>
        </w:tc>
        <w:tc>
          <w:tcPr>
            <w:tcW w:w="1613"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0.00%</w:t>
            </w:r>
          </w:p>
        </w:tc>
        <w:tc>
          <w:tcPr>
            <w:tcW w:w="1606" w:type="pct"/>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40%</w:t>
            </w:r>
          </w:p>
        </w:tc>
      </w:tr>
      <w:tr w:rsidR="005F475E" w:rsidRPr="007672DA" w:rsidTr="005F475E">
        <w:trPr>
          <w:trHeight w:val="270"/>
        </w:trPr>
        <w:tc>
          <w:tcPr>
            <w:tcW w:w="1781" w:type="pct"/>
            <w:noWrap/>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丰盈专属逆回购杠杆率</w:t>
            </w:r>
          </w:p>
        </w:tc>
        <w:tc>
          <w:tcPr>
            <w:tcW w:w="1613"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10.31%</w:t>
            </w:r>
          </w:p>
        </w:tc>
        <w:tc>
          <w:tcPr>
            <w:tcW w:w="1606" w:type="pct"/>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40%</w:t>
            </w:r>
          </w:p>
        </w:tc>
      </w:tr>
      <w:tr w:rsidR="009E2131" w:rsidRPr="007672DA" w:rsidTr="00CF5F2E">
        <w:trPr>
          <w:trHeight w:val="270"/>
        </w:trPr>
        <w:tc>
          <w:tcPr>
            <w:tcW w:w="5000" w:type="pct"/>
            <w:gridSpan w:val="3"/>
            <w:tcBorders>
              <w:left w:val="nil"/>
              <w:bottom w:val="nil"/>
              <w:right w:val="nil"/>
            </w:tcBorders>
            <w:noWrap/>
          </w:tcPr>
          <w:p w:rsidR="009E2131" w:rsidRPr="007672DA" w:rsidRDefault="009E2131" w:rsidP="0022695A">
            <w:pPr>
              <w:widowControl/>
              <w:adjustRightInd w:val="0"/>
              <w:snapToGrid w:val="0"/>
              <w:jc w:val="left"/>
              <w:rPr>
                <w:rFonts w:ascii="仿宋" w:eastAsia="仿宋" w:hAnsi="仿宋" w:cs="宋体"/>
                <w:color w:val="000000"/>
                <w:kern w:val="0"/>
                <w:sz w:val="28"/>
              </w:rPr>
            </w:pPr>
            <w:r w:rsidRPr="007672DA">
              <w:rPr>
                <w:rFonts w:ascii="仿宋" w:eastAsia="仿宋" w:hAnsi="仿宋" w:cs="宋体" w:hint="eastAsia"/>
                <w:color w:val="000000"/>
                <w:kern w:val="0"/>
                <w:sz w:val="24"/>
              </w:rPr>
              <w:t>数据来源：理财资产管理系统</w:t>
            </w:r>
            <w:r w:rsidR="001A717C" w:rsidRPr="007672DA">
              <w:rPr>
                <w:rFonts w:ascii="仿宋" w:eastAsia="仿宋" w:hAnsi="仿宋" w:cs="宋体" w:hint="eastAsia"/>
                <w:color w:val="000000"/>
                <w:kern w:val="0"/>
                <w:sz w:val="24"/>
                <w:szCs w:val="24"/>
              </w:rPr>
              <w:t>、兆</w:t>
            </w:r>
            <w:proofErr w:type="gramStart"/>
            <w:r w:rsidR="001A717C" w:rsidRPr="007672DA">
              <w:rPr>
                <w:rFonts w:ascii="仿宋" w:eastAsia="仿宋" w:hAnsi="仿宋" w:cs="宋体" w:hint="eastAsia"/>
                <w:color w:val="000000"/>
                <w:kern w:val="0"/>
                <w:sz w:val="24"/>
                <w:szCs w:val="24"/>
              </w:rPr>
              <w:t>尹</w:t>
            </w:r>
            <w:proofErr w:type="gramEnd"/>
            <w:r w:rsidR="001A717C" w:rsidRPr="007672DA">
              <w:rPr>
                <w:rFonts w:ascii="仿宋" w:eastAsia="仿宋" w:hAnsi="仿宋" w:cs="宋体" w:hint="eastAsia"/>
                <w:color w:val="000000"/>
                <w:kern w:val="0"/>
                <w:sz w:val="24"/>
                <w:szCs w:val="24"/>
              </w:rPr>
              <w:t>系统</w:t>
            </w:r>
            <w:r w:rsidRPr="007672DA">
              <w:rPr>
                <w:rFonts w:ascii="仿宋" w:eastAsia="仿宋" w:hAnsi="仿宋" w:cs="宋体" w:hint="eastAsia"/>
                <w:color w:val="000000"/>
                <w:kern w:val="0"/>
                <w:sz w:val="24"/>
              </w:rPr>
              <w:t>、COMSTAR系统</w:t>
            </w:r>
          </w:p>
        </w:tc>
      </w:tr>
      <w:tr w:rsidR="00CF5F2E" w:rsidRPr="007672DA" w:rsidTr="00CF5F2E">
        <w:trPr>
          <w:trHeight w:val="270"/>
        </w:trPr>
        <w:tc>
          <w:tcPr>
            <w:tcW w:w="5000" w:type="pct"/>
            <w:gridSpan w:val="3"/>
            <w:tcBorders>
              <w:top w:val="nil"/>
              <w:left w:val="nil"/>
              <w:bottom w:val="nil"/>
              <w:right w:val="nil"/>
            </w:tcBorders>
            <w:noWrap/>
          </w:tcPr>
          <w:p w:rsidR="00CF5F2E" w:rsidRPr="007672DA" w:rsidRDefault="00CF5F2E" w:rsidP="002308B9">
            <w:pPr>
              <w:widowControl/>
              <w:adjustRightInd w:val="0"/>
              <w:snapToGrid w:val="0"/>
              <w:jc w:val="left"/>
              <w:rPr>
                <w:rFonts w:ascii="仿宋" w:eastAsia="仿宋" w:hAnsi="仿宋" w:cs="宋体"/>
                <w:color w:val="000000"/>
                <w:kern w:val="0"/>
                <w:sz w:val="24"/>
              </w:rPr>
            </w:pPr>
            <w:r w:rsidRPr="007672DA">
              <w:rPr>
                <w:rFonts w:ascii="仿宋" w:eastAsia="仿宋" w:hAnsi="仿宋" w:cs="宋体" w:hint="eastAsia"/>
                <w:color w:val="000000"/>
                <w:kern w:val="0"/>
                <w:sz w:val="24"/>
              </w:rPr>
              <w:t>注：</w:t>
            </w:r>
            <w:r w:rsidR="00E6013B" w:rsidRPr="007672DA">
              <w:rPr>
                <w:rFonts w:ascii="仿宋" w:eastAsia="仿宋" w:hAnsi="仿宋" w:cs="宋体" w:hint="eastAsia"/>
                <w:color w:val="000000"/>
                <w:kern w:val="0"/>
                <w:sz w:val="24"/>
              </w:rPr>
              <w:t>兆</w:t>
            </w:r>
            <w:proofErr w:type="gramStart"/>
            <w:r w:rsidR="00E6013B" w:rsidRPr="007672DA">
              <w:rPr>
                <w:rFonts w:ascii="仿宋" w:eastAsia="仿宋" w:hAnsi="仿宋" w:cs="宋体" w:hint="eastAsia"/>
                <w:color w:val="000000"/>
                <w:kern w:val="0"/>
                <w:sz w:val="24"/>
              </w:rPr>
              <w:t>尹</w:t>
            </w:r>
            <w:proofErr w:type="gramEnd"/>
            <w:r w:rsidR="00E6013B" w:rsidRPr="007672DA">
              <w:rPr>
                <w:rFonts w:ascii="仿宋" w:eastAsia="仿宋" w:hAnsi="仿宋" w:cs="宋体" w:hint="eastAsia"/>
                <w:color w:val="000000"/>
                <w:kern w:val="0"/>
                <w:sz w:val="24"/>
              </w:rPr>
              <w:t>系统查询数据不准确，暂不计算杠杆率，如兆</w:t>
            </w:r>
            <w:proofErr w:type="gramStart"/>
            <w:r w:rsidR="00E6013B" w:rsidRPr="007672DA">
              <w:rPr>
                <w:rFonts w:ascii="仿宋" w:eastAsia="仿宋" w:hAnsi="仿宋" w:cs="宋体" w:hint="eastAsia"/>
                <w:color w:val="000000"/>
                <w:kern w:val="0"/>
                <w:sz w:val="24"/>
              </w:rPr>
              <w:t>尹</w:t>
            </w:r>
            <w:proofErr w:type="gramEnd"/>
            <w:r w:rsidR="00E6013B" w:rsidRPr="007672DA">
              <w:rPr>
                <w:rFonts w:ascii="仿宋" w:eastAsia="仿宋" w:hAnsi="仿宋" w:cs="宋体" w:hint="eastAsia"/>
                <w:color w:val="000000"/>
                <w:kern w:val="0"/>
                <w:sz w:val="24"/>
              </w:rPr>
              <w:t>系统中查询理财产品余额缺少回购余额数据等。</w:t>
            </w:r>
          </w:p>
        </w:tc>
      </w:tr>
    </w:tbl>
    <w:p w:rsidR="00A65CB6" w:rsidRPr="007672DA" w:rsidRDefault="00773832" w:rsidP="002E04D0">
      <w:pPr>
        <w:spacing w:line="560" w:lineRule="exact"/>
        <w:ind w:firstLineChars="200" w:firstLine="643"/>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4.债券投资比例</w:t>
      </w:r>
    </w:p>
    <w:tbl>
      <w:tblPr>
        <w:tblStyle w:val="a3"/>
        <w:tblW w:w="5000" w:type="pct"/>
        <w:tblLayout w:type="fixed"/>
        <w:tblLook w:val="04A0" w:firstRow="1" w:lastRow="0" w:firstColumn="1" w:lastColumn="0" w:noHBand="0" w:noVBand="1"/>
      </w:tblPr>
      <w:tblGrid>
        <w:gridCol w:w="5778"/>
        <w:gridCol w:w="1418"/>
        <w:gridCol w:w="1326"/>
      </w:tblGrid>
      <w:tr w:rsidR="008A0B8B" w:rsidRPr="007672DA" w:rsidTr="008A0B8B">
        <w:trPr>
          <w:trHeight w:val="270"/>
        </w:trPr>
        <w:tc>
          <w:tcPr>
            <w:tcW w:w="3390" w:type="pct"/>
            <w:noWrap/>
          </w:tcPr>
          <w:p w:rsidR="008A0B8B" w:rsidRPr="007672DA" w:rsidRDefault="008A0B8B" w:rsidP="00773832">
            <w:pPr>
              <w:widowControl/>
              <w:adjustRightInd w:val="0"/>
              <w:snapToGrid w:val="0"/>
              <w:jc w:val="center"/>
              <w:rPr>
                <w:rFonts w:asciiTheme="minorEastAsia" w:hAnsiTheme="minorEastAsia" w:cs="宋体"/>
                <w:b/>
                <w:color w:val="000000"/>
                <w:kern w:val="0"/>
                <w:sz w:val="28"/>
                <w:szCs w:val="28"/>
              </w:rPr>
            </w:pPr>
            <w:r w:rsidRPr="007672DA">
              <w:rPr>
                <w:rFonts w:asciiTheme="minorEastAsia" w:hAnsiTheme="minorEastAsia" w:cs="宋体" w:hint="eastAsia"/>
                <w:b/>
                <w:color w:val="000000"/>
                <w:kern w:val="0"/>
                <w:sz w:val="28"/>
                <w:szCs w:val="28"/>
              </w:rPr>
              <w:t>指标名称</w:t>
            </w:r>
          </w:p>
        </w:tc>
        <w:tc>
          <w:tcPr>
            <w:tcW w:w="832" w:type="pct"/>
            <w:noWrap/>
          </w:tcPr>
          <w:p w:rsidR="008A0B8B" w:rsidRPr="007672DA" w:rsidRDefault="008A0B8B" w:rsidP="00773832">
            <w:pPr>
              <w:widowControl/>
              <w:adjustRightInd w:val="0"/>
              <w:snapToGrid w:val="0"/>
              <w:jc w:val="center"/>
              <w:rPr>
                <w:rFonts w:asciiTheme="minorEastAsia" w:hAnsiTheme="minorEastAsia" w:cs="宋体"/>
                <w:b/>
                <w:color w:val="000000"/>
                <w:kern w:val="0"/>
                <w:sz w:val="28"/>
                <w:szCs w:val="28"/>
              </w:rPr>
            </w:pPr>
            <w:r w:rsidRPr="007672DA">
              <w:rPr>
                <w:rFonts w:asciiTheme="minorEastAsia" w:hAnsiTheme="minorEastAsia" w:cs="宋体" w:hint="eastAsia"/>
                <w:b/>
                <w:color w:val="000000"/>
                <w:kern w:val="0"/>
                <w:sz w:val="28"/>
                <w:szCs w:val="28"/>
              </w:rPr>
              <w:t>自营</w:t>
            </w:r>
          </w:p>
        </w:tc>
        <w:tc>
          <w:tcPr>
            <w:tcW w:w="778" w:type="pct"/>
          </w:tcPr>
          <w:p w:rsidR="008A0B8B" w:rsidRPr="007672DA" w:rsidRDefault="008A0B8B" w:rsidP="00773832">
            <w:pPr>
              <w:widowControl/>
              <w:adjustRightInd w:val="0"/>
              <w:snapToGrid w:val="0"/>
              <w:jc w:val="center"/>
              <w:rPr>
                <w:rFonts w:asciiTheme="minorEastAsia" w:hAnsiTheme="minorEastAsia" w:cs="宋体"/>
                <w:b/>
                <w:color w:val="000000"/>
                <w:kern w:val="0"/>
                <w:sz w:val="28"/>
                <w:szCs w:val="28"/>
              </w:rPr>
            </w:pPr>
            <w:r w:rsidRPr="007672DA">
              <w:rPr>
                <w:rFonts w:asciiTheme="minorEastAsia" w:hAnsiTheme="minorEastAsia" w:cs="宋体" w:hint="eastAsia"/>
                <w:b/>
                <w:color w:val="000000"/>
                <w:kern w:val="0"/>
                <w:sz w:val="28"/>
                <w:szCs w:val="28"/>
              </w:rPr>
              <w:t>理财</w:t>
            </w:r>
          </w:p>
        </w:tc>
      </w:tr>
      <w:tr w:rsidR="005F475E" w:rsidRPr="007672DA" w:rsidTr="008A0B8B">
        <w:trPr>
          <w:trHeight w:val="270"/>
        </w:trPr>
        <w:tc>
          <w:tcPr>
            <w:tcW w:w="3390" w:type="pct"/>
            <w:noWrap/>
            <w:hideMark/>
          </w:tcPr>
          <w:p w:rsidR="005F475E" w:rsidRPr="007672DA" w:rsidRDefault="005F475E" w:rsidP="00DD70DD">
            <w:pPr>
              <w:widowControl/>
              <w:adjustRightInd w:val="0"/>
              <w:snapToGrid w:val="0"/>
              <w:jc w:val="left"/>
              <w:rPr>
                <w:rFonts w:asciiTheme="minorEastAsia" w:hAnsiTheme="minorEastAsia" w:cs="宋体"/>
                <w:color w:val="000000"/>
                <w:kern w:val="0"/>
                <w:sz w:val="28"/>
                <w:szCs w:val="28"/>
              </w:rPr>
            </w:pPr>
            <w:r w:rsidRPr="007672DA">
              <w:rPr>
                <w:rFonts w:asciiTheme="minorEastAsia" w:hAnsiTheme="minorEastAsia" w:cs="宋体" w:hint="eastAsia"/>
                <w:color w:val="000000"/>
                <w:kern w:val="0"/>
                <w:sz w:val="28"/>
                <w:szCs w:val="28"/>
              </w:rPr>
              <w:t>债券投资占2021年一季度末全行总资产比例</w:t>
            </w:r>
          </w:p>
        </w:tc>
        <w:tc>
          <w:tcPr>
            <w:tcW w:w="832"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24.91%</w:t>
            </w:r>
          </w:p>
        </w:tc>
        <w:tc>
          <w:tcPr>
            <w:tcW w:w="778" w:type="pct"/>
          </w:tcPr>
          <w:p w:rsidR="005F475E" w:rsidRPr="007672DA" w:rsidRDefault="005F475E" w:rsidP="007672DA">
            <w:pPr>
              <w:widowControl/>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w:t>
            </w:r>
          </w:p>
        </w:tc>
      </w:tr>
      <w:tr w:rsidR="005F475E" w:rsidRPr="007672DA" w:rsidTr="008A0B8B">
        <w:trPr>
          <w:trHeight w:val="270"/>
        </w:trPr>
        <w:tc>
          <w:tcPr>
            <w:tcW w:w="3390" w:type="pct"/>
            <w:noWrap/>
            <w:hideMark/>
          </w:tcPr>
          <w:p w:rsidR="005F475E" w:rsidRPr="007672DA" w:rsidRDefault="005F475E" w:rsidP="00773832">
            <w:pPr>
              <w:widowControl/>
              <w:adjustRightInd w:val="0"/>
              <w:snapToGrid w:val="0"/>
              <w:jc w:val="left"/>
              <w:rPr>
                <w:rFonts w:asciiTheme="minorEastAsia" w:hAnsiTheme="minorEastAsia" w:cs="宋体"/>
                <w:color w:val="000000"/>
                <w:kern w:val="0"/>
                <w:sz w:val="28"/>
                <w:szCs w:val="28"/>
              </w:rPr>
            </w:pPr>
            <w:r w:rsidRPr="007672DA">
              <w:rPr>
                <w:rFonts w:asciiTheme="minorEastAsia" w:hAnsiTheme="minorEastAsia" w:cs="宋体" w:hint="eastAsia"/>
                <w:color w:val="000000"/>
                <w:kern w:val="0"/>
                <w:sz w:val="28"/>
                <w:szCs w:val="28"/>
              </w:rPr>
              <w:t>非金融企业债券投资占债券投资总额比例</w:t>
            </w:r>
          </w:p>
        </w:tc>
        <w:tc>
          <w:tcPr>
            <w:tcW w:w="832"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26.19%</w:t>
            </w:r>
          </w:p>
        </w:tc>
        <w:tc>
          <w:tcPr>
            <w:tcW w:w="778" w:type="pct"/>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81.02%</w:t>
            </w:r>
          </w:p>
        </w:tc>
      </w:tr>
      <w:tr w:rsidR="005F475E" w:rsidRPr="007672DA" w:rsidTr="008A0B8B">
        <w:trPr>
          <w:trHeight w:val="270"/>
        </w:trPr>
        <w:tc>
          <w:tcPr>
            <w:tcW w:w="3390" w:type="pct"/>
            <w:noWrap/>
            <w:hideMark/>
          </w:tcPr>
          <w:p w:rsidR="005F475E" w:rsidRPr="007672DA" w:rsidRDefault="005F475E" w:rsidP="00773832">
            <w:pPr>
              <w:widowControl/>
              <w:adjustRightInd w:val="0"/>
              <w:snapToGrid w:val="0"/>
              <w:jc w:val="left"/>
              <w:rPr>
                <w:rFonts w:asciiTheme="minorEastAsia" w:hAnsiTheme="minorEastAsia" w:cs="宋体"/>
                <w:color w:val="000000"/>
                <w:kern w:val="0"/>
                <w:sz w:val="28"/>
                <w:szCs w:val="28"/>
              </w:rPr>
            </w:pPr>
            <w:r w:rsidRPr="007672DA">
              <w:rPr>
                <w:rFonts w:asciiTheme="minorEastAsia" w:hAnsiTheme="minorEastAsia" w:cs="宋体" w:hint="eastAsia"/>
                <w:color w:val="000000"/>
                <w:kern w:val="0"/>
                <w:sz w:val="28"/>
                <w:szCs w:val="28"/>
              </w:rPr>
              <w:t>AA+以下非金融企业债券投资占非金融企业债券总额比例</w:t>
            </w:r>
          </w:p>
        </w:tc>
        <w:tc>
          <w:tcPr>
            <w:tcW w:w="832"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23.66%</w:t>
            </w:r>
          </w:p>
        </w:tc>
        <w:tc>
          <w:tcPr>
            <w:tcW w:w="778" w:type="pct"/>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13.56%</w:t>
            </w:r>
          </w:p>
        </w:tc>
      </w:tr>
      <w:tr w:rsidR="005F475E" w:rsidRPr="007672DA" w:rsidTr="008A0B8B">
        <w:trPr>
          <w:trHeight w:val="270"/>
        </w:trPr>
        <w:tc>
          <w:tcPr>
            <w:tcW w:w="3390" w:type="pct"/>
            <w:noWrap/>
            <w:hideMark/>
          </w:tcPr>
          <w:p w:rsidR="005F475E" w:rsidRPr="007672DA" w:rsidRDefault="005F475E" w:rsidP="00773832">
            <w:pPr>
              <w:widowControl/>
              <w:adjustRightInd w:val="0"/>
              <w:snapToGrid w:val="0"/>
              <w:jc w:val="left"/>
              <w:rPr>
                <w:rFonts w:asciiTheme="minorEastAsia" w:hAnsiTheme="minorEastAsia" w:cs="宋体"/>
                <w:color w:val="000000"/>
                <w:kern w:val="0"/>
                <w:sz w:val="28"/>
                <w:szCs w:val="28"/>
              </w:rPr>
            </w:pPr>
            <w:proofErr w:type="gramStart"/>
            <w:r w:rsidRPr="007672DA">
              <w:rPr>
                <w:rFonts w:asciiTheme="minorEastAsia" w:hAnsiTheme="minorEastAsia" w:cs="宋体" w:hint="eastAsia"/>
                <w:color w:val="000000"/>
                <w:kern w:val="0"/>
                <w:sz w:val="28"/>
                <w:szCs w:val="28"/>
              </w:rPr>
              <w:lastRenderedPageBreak/>
              <w:t>城投债投资</w:t>
            </w:r>
            <w:proofErr w:type="gramEnd"/>
            <w:r w:rsidRPr="007672DA">
              <w:rPr>
                <w:rFonts w:asciiTheme="minorEastAsia" w:hAnsiTheme="minorEastAsia" w:cs="宋体" w:hint="eastAsia"/>
                <w:color w:val="000000"/>
                <w:kern w:val="0"/>
                <w:sz w:val="28"/>
                <w:szCs w:val="28"/>
              </w:rPr>
              <w:t>占债券投资总额比例</w:t>
            </w:r>
          </w:p>
        </w:tc>
        <w:tc>
          <w:tcPr>
            <w:tcW w:w="832"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23.00%</w:t>
            </w:r>
          </w:p>
        </w:tc>
        <w:tc>
          <w:tcPr>
            <w:tcW w:w="778" w:type="pct"/>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65.00%</w:t>
            </w:r>
          </w:p>
        </w:tc>
      </w:tr>
      <w:tr w:rsidR="005F475E" w:rsidRPr="007672DA" w:rsidTr="008A0B8B">
        <w:trPr>
          <w:trHeight w:val="270"/>
        </w:trPr>
        <w:tc>
          <w:tcPr>
            <w:tcW w:w="3390" w:type="pct"/>
            <w:noWrap/>
            <w:hideMark/>
          </w:tcPr>
          <w:p w:rsidR="005F475E" w:rsidRPr="007672DA" w:rsidRDefault="005F475E" w:rsidP="00773832">
            <w:pPr>
              <w:widowControl/>
              <w:adjustRightInd w:val="0"/>
              <w:snapToGrid w:val="0"/>
              <w:jc w:val="left"/>
              <w:rPr>
                <w:rFonts w:asciiTheme="minorEastAsia" w:hAnsiTheme="minorEastAsia" w:cs="宋体"/>
                <w:color w:val="000000"/>
                <w:kern w:val="0"/>
                <w:sz w:val="28"/>
                <w:szCs w:val="28"/>
              </w:rPr>
            </w:pPr>
            <w:r w:rsidRPr="007672DA">
              <w:rPr>
                <w:rFonts w:asciiTheme="minorEastAsia" w:hAnsiTheme="minorEastAsia" w:cs="宋体" w:hint="eastAsia"/>
                <w:color w:val="000000"/>
                <w:kern w:val="0"/>
                <w:sz w:val="28"/>
                <w:szCs w:val="28"/>
              </w:rPr>
              <w:t>私募债投资占债券投资总额比例</w:t>
            </w:r>
          </w:p>
        </w:tc>
        <w:tc>
          <w:tcPr>
            <w:tcW w:w="832"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14.41%</w:t>
            </w:r>
          </w:p>
        </w:tc>
        <w:tc>
          <w:tcPr>
            <w:tcW w:w="778" w:type="pct"/>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34.29%</w:t>
            </w:r>
          </w:p>
        </w:tc>
      </w:tr>
      <w:tr w:rsidR="005F475E" w:rsidRPr="007672DA" w:rsidTr="008A0B8B">
        <w:trPr>
          <w:trHeight w:val="270"/>
        </w:trPr>
        <w:tc>
          <w:tcPr>
            <w:tcW w:w="3390" w:type="pct"/>
            <w:noWrap/>
            <w:hideMark/>
          </w:tcPr>
          <w:p w:rsidR="005F475E" w:rsidRPr="007672DA" w:rsidRDefault="005F475E" w:rsidP="00773832">
            <w:pPr>
              <w:widowControl/>
              <w:adjustRightInd w:val="0"/>
              <w:snapToGrid w:val="0"/>
              <w:jc w:val="left"/>
              <w:rPr>
                <w:rFonts w:asciiTheme="minorEastAsia" w:hAnsiTheme="minorEastAsia" w:cs="宋体"/>
                <w:color w:val="000000"/>
                <w:kern w:val="0"/>
                <w:sz w:val="28"/>
                <w:szCs w:val="28"/>
              </w:rPr>
            </w:pPr>
            <w:r w:rsidRPr="007672DA">
              <w:rPr>
                <w:rFonts w:asciiTheme="minorEastAsia" w:hAnsiTheme="minorEastAsia" w:cs="宋体" w:hint="eastAsia"/>
                <w:color w:val="000000"/>
                <w:kern w:val="0"/>
                <w:sz w:val="28"/>
                <w:szCs w:val="28"/>
              </w:rPr>
              <w:t>永续债投资占债券投资总额比例</w:t>
            </w:r>
          </w:p>
        </w:tc>
        <w:tc>
          <w:tcPr>
            <w:tcW w:w="832"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0.00%</w:t>
            </w:r>
          </w:p>
        </w:tc>
        <w:tc>
          <w:tcPr>
            <w:tcW w:w="778" w:type="pct"/>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7.82%</w:t>
            </w:r>
          </w:p>
        </w:tc>
      </w:tr>
      <w:tr w:rsidR="005F475E" w:rsidRPr="007672DA" w:rsidTr="008A0B8B">
        <w:trPr>
          <w:trHeight w:val="270"/>
        </w:trPr>
        <w:tc>
          <w:tcPr>
            <w:tcW w:w="3390" w:type="pct"/>
            <w:noWrap/>
            <w:hideMark/>
          </w:tcPr>
          <w:p w:rsidR="005F475E" w:rsidRPr="007672DA" w:rsidRDefault="005F475E" w:rsidP="00773832">
            <w:pPr>
              <w:widowControl/>
              <w:adjustRightInd w:val="0"/>
              <w:snapToGrid w:val="0"/>
              <w:jc w:val="left"/>
              <w:rPr>
                <w:rFonts w:asciiTheme="minorEastAsia" w:hAnsiTheme="minorEastAsia" w:cs="宋体"/>
                <w:color w:val="000000"/>
                <w:kern w:val="0"/>
                <w:sz w:val="28"/>
                <w:szCs w:val="28"/>
              </w:rPr>
            </w:pPr>
            <w:r w:rsidRPr="007672DA">
              <w:rPr>
                <w:rFonts w:asciiTheme="minorEastAsia" w:hAnsiTheme="minorEastAsia" w:cs="宋体" w:hint="eastAsia"/>
                <w:color w:val="000000"/>
                <w:kern w:val="0"/>
                <w:sz w:val="28"/>
                <w:szCs w:val="28"/>
              </w:rPr>
              <w:t>次级债投资占债券投资总额比例</w:t>
            </w:r>
          </w:p>
        </w:tc>
        <w:tc>
          <w:tcPr>
            <w:tcW w:w="832"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0.00%</w:t>
            </w:r>
          </w:p>
        </w:tc>
        <w:tc>
          <w:tcPr>
            <w:tcW w:w="778" w:type="pct"/>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2.49%</w:t>
            </w:r>
          </w:p>
        </w:tc>
      </w:tr>
      <w:tr w:rsidR="005F475E" w:rsidRPr="007672DA" w:rsidTr="005E7A37">
        <w:trPr>
          <w:trHeight w:val="270"/>
        </w:trPr>
        <w:tc>
          <w:tcPr>
            <w:tcW w:w="3390" w:type="pct"/>
            <w:tcBorders>
              <w:bottom w:val="single" w:sz="4" w:space="0" w:color="auto"/>
            </w:tcBorders>
            <w:noWrap/>
            <w:hideMark/>
          </w:tcPr>
          <w:p w:rsidR="005F475E" w:rsidRPr="007672DA" w:rsidRDefault="005F475E" w:rsidP="00773832">
            <w:pPr>
              <w:widowControl/>
              <w:adjustRightInd w:val="0"/>
              <w:snapToGrid w:val="0"/>
              <w:jc w:val="left"/>
              <w:rPr>
                <w:rFonts w:asciiTheme="minorEastAsia" w:hAnsiTheme="minorEastAsia" w:cs="宋体"/>
                <w:color w:val="000000"/>
                <w:kern w:val="0"/>
                <w:sz w:val="28"/>
                <w:szCs w:val="28"/>
              </w:rPr>
            </w:pPr>
            <w:r w:rsidRPr="007672DA">
              <w:rPr>
                <w:rFonts w:asciiTheme="minorEastAsia" w:hAnsiTheme="minorEastAsia" w:cs="宋体" w:hint="eastAsia"/>
                <w:color w:val="000000"/>
                <w:kern w:val="0"/>
                <w:sz w:val="28"/>
                <w:szCs w:val="28"/>
              </w:rPr>
              <w:t>混合资本债投资占债券投资总额比例</w:t>
            </w:r>
          </w:p>
        </w:tc>
        <w:tc>
          <w:tcPr>
            <w:tcW w:w="832" w:type="pct"/>
            <w:tcBorders>
              <w:bottom w:val="single" w:sz="4" w:space="0" w:color="auto"/>
            </w:tcBorders>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0.00%</w:t>
            </w:r>
          </w:p>
        </w:tc>
        <w:tc>
          <w:tcPr>
            <w:tcW w:w="778" w:type="pct"/>
            <w:tcBorders>
              <w:bottom w:val="single" w:sz="4" w:space="0" w:color="auto"/>
            </w:tcBorders>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0.00%</w:t>
            </w:r>
          </w:p>
        </w:tc>
      </w:tr>
    </w:tbl>
    <w:p w:rsidR="00773832" w:rsidRPr="007672DA" w:rsidRDefault="000A1803" w:rsidP="002E04D0">
      <w:pPr>
        <w:spacing w:line="560" w:lineRule="exact"/>
        <w:ind w:firstLineChars="200" w:firstLine="643"/>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5.货币市场基金</w:t>
      </w:r>
    </w:p>
    <w:tbl>
      <w:tblPr>
        <w:tblStyle w:val="a3"/>
        <w:tblW w:w="5000" w:type="pct"/>
        <w:tblLook w:val="04A0" w:firstRow="1" w:lastRow="0" w:firstColumn="1" w:lastColumn="0" w:noHBand="0" w:noVBand="1"/>
      </w:tblPr>
      <w:tblGrid>
        <w:gridCol w:w="6628"/>
        <w:gridCol w:w="1894"/>
      </w:tblGrid>
      <w:tr w:rsidR="00976E04" w:rsidRPr="007672DA" w:rsidTr="000A57D4">
        <w:trPr>
          <w:trHeight w:val="270"/>
        </w:trPr>
        <w:tc>
          <w:tcPr>
            <w:tcW w:w="3889" w:type="pct"/>
            <w:tcBorders>
              <w:top w:val="nil"/>
              <w:left w:val="nil"/>
              <w:right w:val="nil"/>
            </w:tcBorders>
            <w:noWrap/>
            <w:vAlign w:val="center"/>
          </w:tcPr>
          <w:p w:rsidR="00976E04" w:rsidRPr="007672DA" w:rsidRDefault="00976E04" w:rsidP="000A57D4">
            <w:pPr>
              <w:widowControl/>
              <w:adjustRightInd w:val="0"/>
              <w:snapToGrid w:val="0"/>
              <w:jc w:val="right"/>
              <w:rPr>
                <w:rFonts w:ascii="宋体" w:eastAsia="宋体" w:hAnsi="宋体" w:cs="宋体"/>
                <w:color w:val="000000"/>
                <w:kern w:val="0"/>
                <w:sz w:val="28"/>
                <w:szCs w:val="28"/>
              </w:rPr>
            </w:pPr>
          </w:p>
        </w:tc>
        <w:tc>
          <w:tcPr>
            <w:tcW w:w="1111" w:type="pct"/>
            <w:tcBorders>
              <w:top w:val="nil"/>
              <w:left w:val="nil"/>
              <w:right w:val="nil"/>
            </w:tcBorders>
            <w:noWrap/>
            <w:vAlign w:val="center"/>
          </w:tcPr>
          <w:p w:rsidR="00976E04" w:rsidRPr="007672DA" w:rsidRDefault="00976E04" w:rsidP="000A57D4">
            <w:pPr>
              <w:widowControl/>
              <w:adjustRightInd w:val="0"/>
              <w:snapToGrid w:val="0"/>
              <w:jc w:val="right"/>
              <w:rPr>
                <w:rFonts w:ascii="宋体" w:eastAsia="宋体" w:hAnsi="宋体" w:cs="宋体"/>
                <w:color w:val="000000"/>
                <w:kern w:val="0"/>
                <w:sz w:val="28"/>
                <w:szCs w:val="28"/>
              </w:rPr>
            </w:pPr>
            <w:r w:rsidRPr="007672DA">
              <w:rPr>
                <w:rFonts w:ascii="仿宋_GB2312" w:eastAsia="仿宋_GB2312" w:hAnsi="Calibri" w:cs="Times New Roman" w:hint="eastAsia"/>
                <w:sz w:val="24"/>
                <w:szCs w:val="32"/>
              </w:rPr>
              <w:t>单位：万元</w:t>
            </w:r>
          </w:p>
        </w:tc>
      </w:tr>
      <w:tr w:rsidR="00976E04" w:rsidRPr="007672DA" w:rsidTr="000A57D4">
        <w:trPr>
          <w:trHeight w:val="270"/>
        </w:trPr>
        <w:tc>
          <w:tcPr>
            <w:tcW w:w="3889" w:type="pct"/>
            <w:noWrap/>
            <w:hideMark/>
          </w:tcPr>
          <w:p w:rsidR="00976E04" w:rsidRPr="007672DA" w:rsidRDefault="00976E04" w:rsidP="000A57D4">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指标名称</w:t>
            </w:r>
          </w:p>
        </w:tc>
        <w:tc>
          <w:tcPr>
            <w:tcW w:w="1111" w:type="pct"/>
            <w:noWrap/>
            <w:hideMark/>
          </w:tcPr>
          <w:p w:rsidR="00976E04" w:rsidRPr="007672DA" w:rsidRDefault="00976E04" w:rsidP="000A57D4">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指标值</w:t>
            </w:r>
          </w:p>
        </w:tc>
      </w:tr>
      <w:tr w:rsidR="005F475E" w:rsidRPr="007672DA" w:rsidTr="000A57D4">
        <w:trPr>
          <w:trHeight w:val="270"/>
        </w:trPr>
        <w:tc>
          <w:tcPr>
            <w:tcW w:w="3889" w:type="pct"/>
            <w:noWrap/>
            <w:hideMark/>
          </w:tcPr>
          <w:p w:rsidR="005F475E" w:rsidRPr="007672DA" w:rsidRDefault="005F475E" w:rsidP="000A57D4">
            <w:pPr>
              <w:widowControl/>
              <w:adjustRightInd w:val="0"/>
              <w:snapToGrid w:val="0"/>
              <w:jc w:val="center"/>
              <w:rPr>
                <w:rFonts w:ascii="宋体" w:eastAsia="宋体" w:hAnsi="宋体" w:cs="宋体"/>
                <w:color w:val="000000"/>
                <w:kern w:val="0"/>
                <w:sz w:val="28"/>
                <w:szCs w:val="28"/>
              </w:rPr>
            </w:pPr>
            <w:r w:rsidRPr="007672DA">
              <w:rPr>
                <w:rFonts w:ascii="宋体" w:eastAsia="宋体" w:hAnsi="宋体" w:cs="宋体" w:hint="eastAsia"/>
                <w:color w:val="000000"/>
                <w:kern w:val="0"/>
                <w:sz w:val="28"/>
                <w:szCs w:val="28"/>
              </w:rPr>
              <w:t>单只投资金额占该只基金发行规模的最大比例</w:t>
            </w:r>
          </w:p>
        </w:tc>
        <w:tc>
          <w:tcPr>
            <w:tcW w:w="1111"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1.56%</w:t>
            </w:r>
          </w:p>
        </w:tc>
      </w:tr>
      <w:tr w:rsidR="005F475E" w:rsidRPr="007672DA" w:rsidTr="000A57D4">
        <w:trPr>
          <w:trHeight w:val="270"/>
        </w:trPr>
        <w:tc>
          <w:tcPr>
            <w:tcW w:w="3889" w:type="pct"/>
            <w:noWrap/>
            <w:hideMark/>
          </w:tcPr>
          <w:p w:rsidR="005F475E" w:rsidRPr="007672DA" w:rsidRDefault="005F475E" w:rsidP="000A57D4">
            <w:pPr>
              <w:widowControl/>
              <w:adjustRightInd w:val="0"/>
              <w:snapToGrid w:val="0"/>
              <w:jc w:val="center"/>
              <w:rPr>
                <w:rFonts w:ascii="宋体" w:eastAsia="宋体" w:hAnsi="宋体" w:cs="宋体"/>
                <w:color w:val="000000"/>
                <w:kern w:val="0"/>
                <w:sz w:val="28"/>
                <w:szCs w:val="28"/>
              </w:rPr>
            </w:pPr>
            <w:r w:rsidRPr="007672DA">
              <w:rPr>
                <w:rFonts w:ascii="宋体" w:eastAsia="宋体" w:hAnsi="宋体" w:cs="宋体" w:hint="eastAsia"/>
                <w:color w:val="000000"/>
                <w:kern w:val="0"/>
                <w:sz w:val="28"/>
                <w:szCs w:val="28"/>
              </w:rPr>
              <w:t>单只投资金额占该只基金发行规模的最小比例</w:t>
            </w:r>
          </w:p>
        </w:tc>
        <w:tc>
          <w:tcPr>
            <w:tcW w:w="1111"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0.10%</w:t>
            </w:r>
          </w:p>
        </w:tc>
      </w:tr>
      <w:tr w:rsidR="005F475E" w:rsidRPr="007672DA" w:rsidTr="000A57D4">
        <w:trPr>
          <w:trHeight w:val="270"/>
        </w:trPr>
        <w:tc>
          <w:tcPr>
            <w:tcW w:w="3889" w:type="pct"/>
            <w:noWrap/>
            <w:hideMark/>
          </w:tcPr>
          <w:p w:rsidR="005F475E" w:rsidRPr="007672DA" w:rsidRDefault="005F475E" w:rsidP="000A57D4">
            <w:pPr>
              <w:widowControl/>
              <w:adjustRightInd w:val="0"/>
              <w:snapToGrid w:val="0"/>
              <w:jc w:val="center"/>
              <w:rPr>
                <w:rFonts w:ascii="宋体" w:eastAsia="宋体" w:hAnsi="宋体" w:cs="宋体"/>
                <w:color w:val="000000"/>
                <w:kern w:val="0"/>
                <w:sz w:val="28"/>
                <w:szCs w:val="28"/>
              </w:rPr>
            </w:pPr>
            <w:r w:rsidRPr="007672DA">
              <w:rPr>
                <w:rFonts w:ascii="宋体" w:eastAsia="宋体" w:hAnsi="宋体" w:cs="宋体" w:hint="eastAsia"/>
                <w:color w:val="000000"/>
                <w:kern w:val="0"/>
                <w:sz w:val="28"/>
                <w:szCs w:val="28"/>
              </w:rPr>
              <w:t>货币基金管理人</w:t>
            </w:r>
          </w:p>
        </w:tc>
        <w:tc>
          <w:tcPr>
            <w:tcW w:w="1111"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3家</w:t>
            </w:r>
          </w:p>
        </w:tc>
      </w:tr>
      <w:tr w:rsidR="005F475E" w:rsidRPr="007672DA" w:rsidTr="000A57D4">
        <w:trPr>
          <w:trHeight w:val="270"/>
        </w:trPr>
        <w:tc>
          <w:tcPr>
            <w:tcW w:w="3889" w:type="pct"/>
            <w:noWrap/>
            <w:hideMark/>
          </w:tcPr>
          <w:p w:rsidR="005F475E" w:rsidRPr="007672DA" w:rsidRDefault="005F475E" w:rsidP="000A57D4">
            <w:pPr>
              <w:widowControl/>
              <w:adjustRightInd w:val="0"/>
              <w:snapToGrid w:val="0"/>
              <w:jc w:val="center"/>
              <w:rPr>
                <w:rFonts w:ascii="宋体" w:eastAsia="宋体" w:hAnsi="宋体" w:cs="宋体"/>
                <w:color w:val="000000"/>
                <w:kern w:val="0"/>
                <w:sz w:val="28"/>
                <w:szCs w:val="28"/>
              </w:rPr>
            </w:pPr>
            <w:r w:rsidRPr="007672DA">
              <w:rPr>
                <w:rFonts w:ascii="宋体" w:eastAsia="宋体" w:hAnsi="宋体" w:cs="宋体" w:hint="eastAsia"/>
                <w:color w:val="000000"/>
                <w:kern w:val="0"/>
                <w:sz w:val="28"/>
                <w:szCs w:val="28"/>
              </w:rPr>
              <w:t>最大一家管理人投资金额</w:t>
            </w:r>
          </w:p>
        </w:tc>
        <w:tc>
          <w:tcPr>
            <w:tcW w:w="1111"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80,520.21</w:t>
            </w:r>
          </w:p>
        </w:tc>
      </w:tr>
      <w:tr w:rsidR="005F475E" w:rsidRPr="007672DA" w:rsidTr="000A57D4">
        <w:trPr>
          <w:trHeight w:val="270"/>
        </w:trPr>
        <w:tc>
          <w:tcPr>
            <w:tcW w:w="3889" w:type="pct"/>
            <w:noWrap/>
            <w:hideMark/>
          </w:tcPr>
          <w:p w:rsidR="005F475E" w:rsidRPr="007672DA" w:rsidRDefault="005F475E" w:rsidP="000A57D4">
            <w:pPr>
              <w:widowControl/>
              <w:adjustRightInd w:val="0"/>
              <w:snapToGrid w:val="0"/>
              <w:jc w:val="center"/>
              <w:rPr>
                <w:rFonts w:ascii="宋体" w:eastAsia="宋体" w:hAnsi="宋体" w:cs="宋体"/>
                <w:color w:val="000000"/>
                <w:kern w:val="0"/>
                <w:sz w:val="28"/>
                <w:szCs w:val="28"/>
              </w:rPr>
            </w:pPr>
            <w:r w:rsidRPr="007672DA">
              <w:rPr>
                <w:rFonts w:ascii="宋体" w:eastAsia="宋体" w:hAnsi="宋体" w:cs="宋体" w:hint="eastAsia"/>
                <w:color w:val="000000"/>
                <w:kern w:val="0"/>
                <w:sz w:val="28"/>
                <w:szCs w:val="28"/>
              </w:rPr>
              <w:t>最小一家管理人投资金额</w:t>
            </w:r>
          </w:p>
        </w:tc>
        <w:tc>
          <w:tcPr>
            <w:tcW w:w="1111"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10,005.06</w:t>
            </w:r>
          </w:p>
        </w:tc>
      </w:tr>
    </w:tbl>
    <w:p w:rsidR="000A1803" w:rsidRPr="007672DA" w:rsidRDefault="004D26FE" w:rsidP="002E04D0">
      <w:pPr>
        <w:spacing w:line="560" w:lineRule="exact"/>
        <w:ind w:firstLineChars="200" w:firstLine="643"/>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6.市场风险限额</w:t>
      </w:r>
    </w:p>
    <w:tbl>
      <w:tblPr>
        <w:tblStyle w:val="a3"/>
        <w:tblW w:w="9073" w:type="dxa"/>
        <w:tblInd w:w="-318" w:type="dxa"/>
        <w:tblLook w:val="04A0" w:firstRow="1" w:lastRow="0" w:firstColumn="1" w:lastColumn="0" w:noHBand="0" w:noVBand="1"/>
      </w:tblPr>
      <w:tblGrid>
        <w:gridCol w:w="4254"/>
        <w:gridCol w:w="1701"/>
        <w:gridCol w:w="3118"/>
      </w:tblGrid>
      <w:tr w:rsidR="004D26FE" w:rsidRPr="0031419A" w:rsidTr="009C27A1">
        <w:tc>
          <w:tcPr>
            <w:tcW w:w="4254" w:type="dxa"/>
          </w:tcPr>
          <w:p w:rsidR="004D26FE" w:rsidRPr="0031419A" w:rsidRDefault="004D26FE" w:rsidP="00ED1466">
            <w:pPr>
              <w:adjustRightInd w:val="0"/>
              <w:snapToGrid w:val="0"/>
              <w:jc w:val="center"/>
              <w:rPr>
                <w:rFonts w:asciiTheme="minorEastAsia" w:hAnsiTheme="minorEastAsia" w:cs="Times New Roman"/>
                <w:b/>
                <w:sz w:val="28"/>
                <w:szCs w:val="28"/>
              </w:rPr>
            </w:pPr>
            <w:r w:rsidRPr="0031419A">
              <w:rPr>
                <w:rFonts w:asciiTheme="minorEastAsia" w:hAnsiTheme="minorEastAsia" w:cs="Times New Roman"/>
                <w:b/>
                <w:sz w:val="28"/>
                <w:szCs w:val="28"/>
              </w:rPr>
              <w:t>指标名称</w:t>
            </w:r>
          </w:p>
        </w:tc>
        <w:tc>
          <w:tcPr>
            <w:tcW w:w="1701" w:type="dxa"/>
          </w:tcPr>
          <w:p w:rsidR="004D26FE" w:rsidRPr="0031419A" w:rsidRDefault="004D26FE" w:rsidP="00ED1466">
            <w:pPr>
              <w:adjustRightInd w:val="0"/>
              <w:snapToGrid w:val="0"/>
              <w:jc w:val="center"/>
              <w:rPr>
                <w:rFonts w:asciiTheme="minorEastAsia" w:hAnsiTheme="minorEastAsia" w:cs="Times New Roman"/>
                <w:b/>
                <w:sz w:val="28"/>
                <w:szCs w:val="28"/>
              </w:rPr>
            </w:pPr>
            <w:r w:rsidRPr="0031419A">
              <w:rPr>
                <w:rFonts w:asciiTheme="minorEastAsia" w:hAnsiTheme="minorEastAsia" w:cs="Times New Roman"/>
                <w:b/>
                <w:sz w:val="28"/>
                <w:szCs w:val="28"/>
              </w:rPr>
              <w:t>指标值</w:t>
            </w:r>
          </w:p>
        </w:tc>
        <w:tc>
          <w:tcPr>
            <w:tcW w:w="3118" w:type="dxa"/>
          </w:tcPr>
          <w:p w:rsidR="004D26FE" w:rsidRPr="0031419A" w:rsidRDefault="004D26FE" w:rsidP="00ED1466">
            <w:pPr>
              <w:adjustRightInd w:val="0"/>
              <w:snapToGrid w:val="0"/>
              <w:jc w:val="center"/>
              <w:rPr>
                <w:rFonts w:asciiTheme="minorEastAsia" w:hAnsiTheme="minorEastAsia" w:cs="Times New Roman"/>
                <w:b/>
                <w:sz w:val="28"/>
                <w:szCs w:val="28"/>
              </w:rPr>
            </w:pPr>
            <w:r w:rsidRPr="0031419A">
              <w:rPr>
                <w:rFonts w:asciiTheme="minorEastAsia" w:hAnsiTheme="minorEastAsia" w:cs="Times New Roman"/>
                <w:b/>
                <w:sz w:val="28"/>
                <w:szCs w:val="28"/>
              </w:rPr>
              <w:t>指标要求</w:t>
            </w:r>
          </w:p>
        </w:tc>
      </w:tr>
      <w:tr w:rsidR="004D26FE" w:rsidRPr="0031419A" w:rsidTr="009C27A1">
        <w:tc>
          <w:tcPr>
            <w:tcW w:w="4254" w:type="dxa"/>
          </w:tcPr>
          <w:p w:rsidR="004D26FE" w:rsidRPr="0031419A" w:rsidRDefault="002110F8" w:rsidP="00ED1466">
            <w:pPr>
              <w:adjustRightInd w:val="0"/>
              <w:snapToGrid w:val="0"/>
              <w:rPr>
                <w:rFonts w:asciiTheme="minorEastAsia" w:hAnsiTheme="minorEastAsia" w:cs="Times New Roman"/>
                <w:sz w:val="28"/>
                <w:szCs w:val="28"/>
              </w:rPr>
            </w:pPr>
            <w:r w:rsidRPr="0031419A">
              <w:rPr>
                <w:rFonts w:asciiTheme="minorEastAsia" w:hAnsiTheme="minorEastAsia" w:cs="Times New Roman"/>
                <w:sz w:val="28"/>
                <w:szCs w:val="28"/>
              </w:rPr>
              <w:t>自营资金投资债券</w:t>
            </w:r>
            <w:proofErr w:type="gramStart"/>
            <w:r w:rsidR="004D26FE" w:rsidRPr="0031419A">
              <w:rPr>
                <w:rFonts w:asciiTheme="minorEastAsia" w:hAnsiTheme="minorEastAsia" w:cs="Times New Roman"/>
                <w:sz w:val="28"/>
                <w:szCs w:val="28"/>
              </w:rPr>
              <w:t>组合久期</w:t>
            </w:r>
            <w:proofErr w:type="gramEnd"/>
          </w:p>
        </w:tc>
        <w:tc>
          <w:tcPr>
            <w:tcW w:w="1701" w:type="dxa"/>
            <w:vAlign w:val="center"/>
          </w:tcPr>
          <w:p w:rsidR="004D26FE" w:rsidRPr="0031419A" w:rsidRDefault="009E1FBD" w:rsidP="0031419A">
            <w:pPr>
              <w:adjustRightInd w:val="0"/>
              <w:snapToGrid w:val="0"/>
              <w:jc w:val="center"/>
              <w:rPr>
                <w:rFonts w:asciiTheme="minorEastAsia" w:hAnsiTheme="minorEastAsia" w:cs="Times New Roman"/>
                <w:sz w:val="28"/>
                <w:szCs w:val="28"/>
              </w:rPr>
            </w:pPr>
            <w:r w:rsidRPr="0031419A">
              <w:rPr>
                <w:rFonts w:asciiTheme="minorEastAsia" w:hAnsiTheme="minorEastAsia" w:hint="eastAsia"/>
                <w:color w:val="000000"/>
                <w:sz w:val="28"/>
                <w:szCs w:val="28"/>
              </w:rPr>
              <w:t>3.</w:t>
            </w:r>
            <w:r w:rsidR="0039704E" w:rsidRPr="0031419A">
              <w:rPr>
                <w:rFonts w:asciiTheme="minorEastAsia" w:hAnsiTheme="minorEastAsia" w:hint="eastAsia"/>
                <w:color w:val="000000"/>
                <w:sz w:val="28"/>
                <w:szCs w:val="28"/>
              </w:rPr>
              <w:t>2</w:t>
            </w:r>
            <w:r w:rsidR="0031419A" w:rsidRPr="0031419A">
              <w:rPr>
                <w:rFonts w:asciiTheme="minorEastAsia" w:hAnsiTheme="minorEastAsia" w:hint="eastAsia"/>
                <w:color w:val="000000"/>
                <w:sz w:val="28"/>
                <w:szCs w:val="28"/>
              </w:rPr>
              <w:t>5</w:t>
            </w:r>
            <w:r w:rsidR="00FD2AB9" w:rsidRPr="0031419A">
              <w:rPr>
                <w:rFonts w:asciiTheme="minorEastAsia" w:hAnsiTheme="minorEastAsia" w:hint="eastAsia"/>
                <w:color w:val="000000"/>
                <w:sz w:val="28"/>
                <w:szCs w:val="28"/>
              </w:rPr>
              <w:t>年</w:t>
            </w:r>
          </w:p>
        </w:tc>
        <w:tc>
          <w:tcPr>
            <w:tcW w:w="3118" w:type="dxa"/>
            <w:vAlign w:val="center"/>
          </w:tcPr>
          <w:p w:rsidR="004D26FE" w:rsidRPr="0031419A" w:rsidRDefault="004D26FE" w:rsidP="00ED1466">
            <w:pPr>
              <w:adjustRightInd w:val="0"/>
              <w:snapToGrid w:val="0"/>
              <w:jc w:val="center"/>
              <w:rPr>
                <w:rFonts w:asciiTheme="minorEastAsia" w:hAnsiTheme="minorEastAsia" w:cs="Times New Roman"/>
                <w:sz w:val="28"/>
                <w:szCs w:val="28"/>
              </w:rPr>
            </w:pPr>
            <w:r w:rsidRPr="0031419A">
              <w:rPr>
                <w:rFonts w:asciiTheme="minorEastAsia" w:hAnsiTheme="minorEastAsia" w:cs="Times New Roman" w:hint="eastAsia"/>
                <w:sz w:val="28"/>
                <w:szCs w:val="28"/>
              </w:rPr>
              <w:t>≤5年</w:t>
            </w:r>
          </w:p>
        </w:tc>
      </w:tr>
      <w:tr w:rsidR="004D26FE" w:rsidRPr="0031419A" w:rsidTr="009C27A1">
        <w:tc>
          <w:tcPr>
            <w:tcW w:w="4254" w:type="dxa"/>
          </w:tcPr>
          <w:p w:rsidR="004D26FE" w:rsidRPr="0031419A" w:rsidRDefault="002110F8" w:rsidP="00ED1466">
            <w:pPr>
              <w:adjustRightInd w:val="0"/>
              <w:snapToGrid w:val="0"/>
              <w:rPr>
                <w:rFonts w:asciiTheme="minorEastAsia" w:hAnsiTheme="minorEastAsia" w:cs="Times New Roman"/>
                <w:sz w:val="28"/>
                <w:szCs w:val="28"/>
              </w:rPr>
            </w:pPr>
            <w:r w:rsidRPr="0031419A">
              <w:rPr>
                <w:rFonts w:asciiTheme="minorEastAsia" w:hAnsiTheme="minorEastAsia" w:cs="Times New Roman"/>
                <w:sz w:val="28"/>
                <w:szCs w:val="28"/>
              </w:rPr>
              <w:t>理财资金投资债券</w:t>
            </w:r>
            <w:proofErr w:type="gramStart"/>
            <w:r w:rsidR="004D26FE" w:rsidRPr="0031419A">
              <w:rPr>
                <w:rFonts w:asciiTheme="minorEastAsia" w:hAnsiTheme="minorEastAsia" w:cs="Times New Roman"/>
                <w:sz w:val="28"/>
                <w:szCs w:val="28"/>
              </w:rPr>
              <w:t>组合久期</w:t>
            </w:r>
            <w:proofErr w:type="gramEnd"/>
          </w:p>
        </w:tc>
        <w:tc>
          <w:tcPr>
            <w:tcW w:w="1701" w:type="dxa"/>
            <w:vAlign w:val="center"/>
          </w:tcPr>
          <w:p w:rsidR="004D26FE" w:rsidRPr="0031419A" w:rsidRDefault="00601B05" w:rsidP="0031419A">
            <w:pPr>
              <w:adjustRightInd w:val="0"/>
              <w:snapToGrid w:val="0"/>
              <w:jc w:val="center"/>
              <w:rPr>
                <w:rFonts w:asciiTheme="minorEastAsia" w:hAnsiTheme="minorEastAsia" w:cs="Times New Roman"/>
                <w:sz w:val="28"/>
                <w:szCs w:val="28"/>
              </w:rPr>
            </w:pPr>
            <w:r w:rsidRPr="0031419A">
              <w:rPr>
                <w:rFonts w:asciiTheme="minorEastAsia" w:hAnsiTheme="minorEastAsia" w:hint="eastAsia"/>
                <w:color w:val="000000"/>
                <w:sz w:val="28"/>
                <w:szCs w:val="28"/>
              </w:rPr>
              <w:t>2.</w:t>
            </w:r>
            <w:r w:rsidR="0031419A" w:rsidRPr="0031419A">
              <w:rPr>
                <w:rFonts w:asciiTheme="minorEastAsia" w:hAnsiTheme="minorEastAsia" w:hint="eastAsia"/>
                <w:color w:val="000000"/>
                <w:sz w:val="28"/>
                <w:szCs w:val="28"/>
              </w:rPr>
              <w:t>14</w:t>
            </w:r>
            <w:r w:rsidR="004D26FE" w:rsidRPr="0031419A">
              <w:rPr>
                <w:rFonts w:asciiTheme="minorEastAsia" w:hAnsiTheme="minorEastAsia" w:cs="Times New Roman" w:hint="eastAsia"/>
                <w:sz w:val="28"/>
                <w:szCs w:val="28"/>
              </w:rPr>
              <w:t>年</w:t>
            </w:r>
          </w:p>
        </w:tc>
        <w:tc>
          <w:tcPr>
            <w:tcW w:w="3118" w:type="dxa"/>
            <w:vAlign w:val="center"/>
          </w:tcPr>
          <w:p w:rsidR="004D26FE" w:rsidRPr="0031419A" w:rsidRDefault="004D26FE" w:rsidP="00ED1466">
            <w:pPr>
              <w:adjustRightInd w:val="0"/>
              <w:snapToGrid w:val="0"/>
              <w:jc w:val="center"/>
              <w:rPr>
                <w:rFonts w:asciiTheme="minorEastAsia" w:hAnsiTheme="minorEastAsia" w:cs="Times New Roman"/>
                <w:sz w:val="28"/>
                <w:szCs w:val="28"/>
              </w:rPr>
            </w:pPr>
            <w:r w:rsidRPr="0031419A">
              <w:rPr>
                <w:rFonts w:asciiTheme="minorEastAsia" w:hAnsiTheme="minorEastAsia" w:cs="Times New Roman" w:hint="eastAsia"/>
                <w:sz w:val="28"/>
                <w:szCs w:val="28"/>
              </w:rPr>
              <w:t>≤5年</w:t>
            </w:r>
          </w:p>
        </w:tc>
      </w:tr>
      <w:tr w:rsidR="004D26FE" w:rsidRPr="0031419A" w:rsidTr="009C27A1">
        <w:tc>
          <w:tcPr>
            <w:tcW w:w="4254" w:type="dxa"/>
          </w:tcPr>
          <w:p w:rsidR="004D26FE" w:rsidRPr="0031419A" w:rsidRDefault="002110F8" w:rsidP="00ED1466">
            <w:pPr>
              <w:adjustRightInd w:val="0"/>
              <w:snapToGrid w:val="0"/>
              <w:rPr>
                <w:rFonts w:asciiTheme="minorEastAsia" w:hAnsiTheme="minorEastAsia" w:cs="Times New Roman"/>
                <w:sz w:val="28"/>
                <w:szCs w:val="28"/>
              </w:rPr>
            </w:pPr>
            <w:r w:rsidRPr="0031419A">
              <w:rPr>
                <w:rFonts w:asciiTheme="minorEastAsia" w:hAnsiTheme="minorEastAsia" w:cs="Times New Roman"/>
                <w:sz w:val="28"/>
                <w:szCs w:val="28"/>
              </w:rPr>
              <w:t>自营债券回购</w:t>
            </w:r>
            <w:r w:rsidR="00FA6657" w:rsidRPr="0031419A">
              <w:rPr>
                <w:rFonts w:asciiTheme="minorEastAsia" w:hAnsiTheme="minorEastAsia" w:cs="Times New Roman"/>
                <w:sz w:val="28"/>
                <w:szCs w:val="28"/>
              </w:rPr>
              <w:t>杠杆率</w:t>
            </w:r>
          </w:p>
        </w:tc>
        <w:tc>
          <w:tcPr>
            <w:tcW w:w="1701" w:type="dxa"/>
            <w:vAlign w:val="center"/>
          </w:tcPr>
          <w:p w:rsidR="004D26FE" w:rsidRPr="0031419A" w:rsidRDefault="00F0547F" w:rsidP="00E61BD4">
            <w:pPr>
              <w:adjustRightInd w:val="0"/>
              <w:snapToGrid w:val="0"/>
              <w:jc w:val="center"/>
              <w:rPr>
                <w:rFonts w:asciiTheme="minorEastAsia" w:hAnsiTheme="minorEastAsia" w:cs="Times New Roman"/>
                <w:sz w:val="28"/>
                <w:szCs w:val="28"/>
              </w:rPr>
            </w:pPr>
            <w:r w:rsidRPr="0031419A">
              <w:rPr>
                <w:rFonts w:asciiTheme="minorEastAsia" w:hAnsiTheme="minorEastAsia" w:cs="Times New Roman" w:hint="eastAsia"/>
                <w:sz w:val="28"/>
                <w:szCs w:val="28"/>
              </w:rPr>
              <w:t>≤</w:t>
            </w:r>
            <w:r w:rsidR="0031419A" w:rsidRPr="0031419A">
              <w:rPr>
                <w:rFonts w:ascii="宋体" w:eastAsia="宋体" w:hAnsi="宋体" w:cs="宋体"/>
                <w:color w:val="000000"/>
                <w:kern w:val="0"/>
                <w:sz w:val="28"/>
              </w:rPr>
              <w:t>33.66</w:t>
            </w:r>
            <w:r w:rsidR="00601B05" w:rsidRPr="0031419A">
              <w:rPr>
                <w:rFonts w:ascii="宋体" w:eastAsia="宋体" w:hAnsi="宋体" w:cs="宋体"/>
                <w:color w:val="000000"/>
                <w:kern w:val="0"/>
                <w:sz w:val="28"/>
              </w:rPr>
              <w:t>%</w:t>
            </w:r>
          </w:p>
        </w:tc>
        <w:tc>
          <w:tcPr>
            <w:tcW w:w="3118" w:type="dxa"/>
            <w:vAlign w:val="center"/>
          </w:tcPr>
          <w:p w:rsidR="004D26FE" w:rsidRPr="0031419A" w:rsidRDefault="000A315B" w:rsidP="00ED1466">
            <w:pPr>
              <w:adjustRightInd w:val="0"/>
              <w:snapToGrid w:val="0"/>
              <w:jc w:val="center"/>
              <w:rPr>
                <w:rFonts w:asciiTheme="minorEastAsia" w:hAnsiTheme="minorEastAsia" w:cs="Times New Roman"/>
                <w:sz w:val="28"/>
                <w:szCs w:val="28"/>
              </w:rPr>
            </w:pPr>
            <w:r w:rsidRPr="0031419A">
              <w:rPr>
                <w:rFonts w:asciiTheme="minorEastAsia" w:hAnsiTheme="minorEastAsia" w:cs="Times New Roman" w:hint="eastAsia"/>
                <w:sz w:val="28"/>
                <w:szCs w:val="28"/>
              </w:rPr>
              <w:t>≤上季末净资产的80%</w:t>
            </w:r>
          </w:p>
        </w:tc>
      </w:tr>
      <w:tr w:rsidR="00C95532" w:rsidRPr="0031419A" w:rsidTr="009C27A1">
        <w:tc>
          <w:tcPr>
            <w:tcW w:w="4254" w:type="dxa"/>
            <w:tcBorders>
              <w:bottom w:val="single" w:sz="4" w:space="0" w:color="auto"/>
            </w:tcBorders>
          </w:tcPr>
          <w:p w:rsidR="00C95532" w:rsidRPr="0031419A" w:rsidRDefault="00C95532" w:rsidP="00ED1466">
            <w:pPr>
              <w:adjustRightInd w:val="0"/>
              <w:snapToGrid w:val="0"/>
              <w:rPr>
                <w:rFonts w:asciiTheme="minorEastAsia" w:hAnsiTheme="minorEastAsia" w:cs="Times New Roman"/>
                <w:sz w:val="28"/>
                <w:szCs w:val="28"/>
              </w:rPr>
            </w:pPr>
            <w:r w:rsidRPr="0031419A">
              <w:rPr>
                <w:rFonts w:asciiTheme="minorEastAsia" w:hAnsiTheme="minorEastAsia" w:cs="Times New Roman" w:hint="eastAsia"/>
                <w:sz w:val="28"/>
                <w:szCs w:val="28"/>
              </w:rPr>
              <w:t>交易价格偏离度</w:t>
            </w:r>
            <w:r w:rsidR="00D45D1B" w:rsidRPr="0031419A">
              <w:rPr>
                <w:rFonts w:asciiTheme="minorEastAsia" w:hAnsiTheme="minorEastAsia" w:cs="Times New Roman" w:hint="eastAsia"/>
                <w:sz w:val="28"/>
                <w:szCs w:val="28"/>
              </w:rPr>
              <w:t>绝对值</w:t>
            </w:r>
          </w:p>
        </w:tc>
        <w:tc>
          <w:tcPr>
            <w:tcW w:w="1701" w:type="dxa"/>
            <w:tcBorders>
              <w:bottom w:val="single" w:sz="4" w:space="0" w:color="auto"/>
            </w:tcBorders>
            <w:vAlign w:val="center"/>
          </w:tcPr>
          <w:p w:rsidR="00C95532" w:rsidRPr="0031419A" w:rsidRDefault="00C95532" w:rsidP="0031419A">
            <w:pPr>
              <w:adjustRightInd w:val="0"/>
              <w:snapToGrid w:val="0"/>
              <w:jc w:val="center"/>
              <w:rPr>
                <w:rFonts w:asciiTheme="minorEastAsia" w:hAnsiTheme="minorEastAsia" w:cs="Times New Roman"/>
                <w:sz w:val="28"/>
                <w:szCs w:val="28"/>
              </w:rPr>
            </w:pPr>
            <w:r w:rsidRPr="0031419A">
              <w:rPr>
                <w:rFonts w:asciiTheme="minorEastAsia" w:hAnsiTheme="minorEastAsia" w:cs="Times New Roman" w:hint="eastAsia"/>
                <w:sz w:val="28"/>
                <w:szCs w:val="28"/>
              </w:rPr>
              <w:t>≤</w:t>
            </w:r>
            <w:r w:rsidR="00FA60F2" w:rsidRPr="0031419A">
              <w:rPr>
                <w:rFonts w:asciiTheme="minorEastAsia" w:hAnsiTheme="minorEastAsia" w:cs="Times New Roman"/>
                <w:sz w:val="28"/>
                <w:szCs w:val="28"/>
              </w:rPr>
              <w:t>0.</w:t>
            </w:r>
            <w:r w:rsidR="0031419A" w:rsidRPr="0031419A">
              <w:rPr>
                <w:rFonts w:asciiTheme="minorEastAsia" w:hAnsiTheme="minorEastAsia" w:cs="Times New Roman" w:hint="eastAsia"/>
                <w:sz w:val="28"/>
                <w:szCs w:val="28"/>
              </w:rPr>
              <w:t>15</w:t>
            </w:r>
            <w:r w:rsidR="00FA60F2" w:rsidRPr="0031419A">
              <w:rPr>
                <w:rFonts w:asciiTheme="minorEastAsia" w:hAnsiTheme="minorEastAsia" w:cs="Times New Roman"/>
                <w:sz w:val="28"/>
                <w:szCs w:val="28"/>
              </w:rPr>
              <w:t>%</w:t>
            </w:r>
          </w:p>
        </w:tc>
        <w:tc>
          <w:tcPr>
            <w:tcW w:w="3118" w:type="dxa"/>
            <w:tcBorders>
              <w:bottom w:val="single" w:sz="4" w:space="0" w:color="auto"/>
            </w:tcBorders>
            <w:vAlign w:val="center"/>
          </w:tcPr>
          <w:p w:rsidR="00C95532" w:rsidRPr="0031419A" w:rsidRDefault="00C95532" w:rsidP="00ED1466">
            <w:pPr>
              <w:adjustRightInd w:val="0"/>
              <w:snapToGrid w:val="0"/>
              <w:jc w:val="center"/>
              <w:rPr>
                <w:rFonts w:asciiTheme="minorEastAsia" w:hAnsiTheme="minorEastAsia" w:cs="Times New Roman"/>
                <w:sz w:val="28"/>
                <w:szCs w:val="28"/>
              </w:rPr>
            </w:pPr>
            <w:r w:rsidRPr="0031419A">
              <w:rPr>
                <w:rFonts w:asciiTheme="minorEastAsia" w:hAnsiTheme="minorEastAsia" w:cs="Times New Roman" w:hint="eastAsia"/>
                <w:sz w:val="28"/>
                <w:szCs w:val="28"/>
              </w:rPr>
              <w:t>≤1.5%</w:t>
            </w:r>
          </w:p>
        </w:tc>
      </w:tr>
    </w:tbl>
    <w:p w:rsidR="006A1724" w:rsidRPr="007672DA" w:rsidRDefault="00910A0A" w:rsidP="002E04D0">
      <w:pPr>
        <w:spacing w:line="560" w:lineRule="exact"/>
        <w:ind w:firstLineChars="200" w:firstLine="643"/>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7.</w:t>
      </w:r>
      <w:r w:rsidR="006A1724" w:rsidRPr="007672DA">
        <w:rPr>
          <w:rFonts w:ascii="仿宋_GB2312" w:eastAsia="仿宋_GB2312" w:hAnsi="Calibri" w:cs="Times New Roman" w:hint="eastAsia"/>
          <w:b/>
          <w:sz w:val="32"/>
          <w:szCs w:val="32"/>
        </w:rPr>
        <w:t>单</w:t>
      </w:r>
      <w:proofErr w:type="gramStart"/>
      <w:r w:rsidR="006A1724" w:rsidRPr="007672DA">
        <w:rPr>
          <w:rFonts w:ascii="仿宋_GB2312" w:eastAsia="仿宋_GB2312" w:hAnsi="Calibri" w:cs="Times New Roman" w:hint="eastAsia"/>
          <w:b/>
          <w:sz w:val="32"/>
          <w:szCs w:val="32"/>
        </w:rPr>
        <w:t>券</w:t>
      </w:r>
      <w:proofErr w:type="gramEnd"/>
      <w:r w:rsidR="006A1724" w:rsidRPr="007672DA">
        <w:rPr>
          <w:rFonts w:ascii="仿宋_GB2312" w:eastAsia="仿宋_GB2312" w:hAnsi="Calibri" w:cs="Times New Roman" w:hint="eastAsia"/>
          <w:b/>
          <w:sz w:val="32"/>
          <w:szCs w:val="32"/>
        </w:rPr>
        <w:t>止损限额</w:t>
      </w:r>
    </w:p>
    <w:tbl>
      <w:tblPr>
        <w:tblStyle w:val="a3"/>
        <w:tblW w:w="9217" w:type="dxa"/>
        <w:jc w:val="center"/>
        <w:tblInd w:w="-642" w:type="dxa"/>
        <w:tblLayout w:type="fixed"/>
        <w:tblLook w:val="04A0" w:firstRow="1" w:lastRow="0" w:firstColumn="1" w:lastColumn="0" w:noHBand="0" w:noVBand="1"/>
      </w:tblPr>
      <w:tblGrid>
        <w:gridCol w:w="2623"/>
        <w:gridCol w:w="1890"/>
        <w:gridCol w:w="1529"/>
        <w:gridCol w:w="1474"/>
        <w:gridCol w:w="1701"/>
      </w:tblGrid>
      <w:tr w:rsidR="006A1724" w:rsidRPr="007672DA" w:rsidTr="006A1724">
        <w:trPr>
          <w:jc w:val="center"/>
        </w:trPr>
        <w:tc>
          <w:tcPr>
            <w:tcW w:w="2623" w:type="dxa"/>
            <w:vAlign w:val="center"/>
          </w:tcPr>
          <w:p w:rsidR="006A1724" w:rsidRPr="007672DA" w:rsidRDefault="006A1724" w:rsidP="00782110">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b/>
                <w:sz w:val="28"/>
                <w:szCs w:val="28"/>
              </w:rPr>
              <w:t>债券名称</w:t>
            </w:r>
          </w:p>
        </w:tc>
        <w:tc>
          <w:tcPr>
            <w:tcW w:w="1890" w:type="dxa"/>
          </w:tcPr>
          <w:p w:rsidR="006A1724" w:rsidRPr="007672DA" w:rsidRDefault="006A1724" w:rsidP="00782110">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业务部门</w:t>
            </w:r>
          </w:p>
        </w:tc>
        <w:tc>
          <w:tcPr>
            <w:tcW w:w="1529" w:type="dxa"/>
            <w:vAlign w:val="center"/>
          </w:tcPr>
          <w:p w:rsidR="006A1724" w:rsidRPr="007672DA" w:rsidRDefault="006A1724" w:rsidP="00782110">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指标值</w:t>
            </w:r>
          </w:p>
        </w:tc>
        <w:tc>
          <w:tcPr>
            <w:tcW w:w="1474" w:type="dxa"/>
            <w:vAlign w:val="center"/>
          </w:tcPr>
          <w:p w:rsidR="006A1724" w:rsidRPr="007672DA" w:rsidRDefault="006A1724" w:rsidP="00782110">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b/>
                <w:sz w:val="28"/>
                <w:szCs w:val="28"/>
              </w:rPr>
              <w:t>指标要求</w:t>
            </w:r>
          </w:p>
        </w:tc>
        <w:tc>
          <w:tcPr>
            <w:tcW w:w="1701" w:type="dxa"/>
          </w:tcPr>
          <w:p w:rsidR="006A1724" w:rsidRPr="007672DA" w:rsidRDefault="006A1724" w:rsidP="00782110">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备注</w:t>
            </w:r>
          </w:p>
        </w:tc>
      </w:tr>
      <w:tr w:rsidR="006A1724" w:rsidRPr="007672DA" w:rsidTr="006A1724">
        <w:trPr>
          <w:jc w:val="center"/>
        </w:trPr>
        <w:tc>
          <w:tcPr>
            <w:tcW w:w="2623" w:type="dxa"/>
            <w:tcBorders>
              <w:bottom w:val="single" w:sz="4" w:space="0" w:color="auto"/>
            </w:tcBorders>
            <w:vAlign w:val="center"/>
          </w:tcPr>
          <w:p w:rsidR="006A1724" w:rsidRPr="007672DA" w:rsidRDefault="006A1724" w:rsidP="00782110">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16</w:t>
            </w:r>
            <w:proofErr w:type="gramStart"/>
            <w:r w:rsidRPr="007672DA">
              <w:rPr>
                <w:rFonts w:asciiTheme="minorEastAsia" w:hAnsiTheme="minorEastAsia" w:cs="Times New Roman" w:hint="eastAsia"/>
                <w:sz w:val="28"/>
                <w:szCs w:val="28"/>
              </w:rPr>
              <w:t>青国投</w:t>
            </w:r>
            <w:proofErr w:type="gramEnd"/>
            <w:r w:rsidRPr="007672DA">
              <w:rPr>
                <w:rFonts w:asciiTheme="minorEastAsia" w:hAnsiTheme="minorEastAsia" w:cs="Times New Roman" w:hint="eastAsia"/>
                <w:sz w:val="28"/>
                <w:szCs w:val="28"/>
              </w:rPr>
              <w:t>MTN001</w:t>
            </w:r>
          </w:p>
        </w:tc>
        <w:tc>
          <w:tcPr>
            <w:tcW w:w="1890" w:type="dxa"/>
            <w:tcBorders>
              <w:bottom w:val="single" w:sz="4" w:space="0" w:color="auto"/>
            </w:tcBorders>
          </w:tcPr>
          <w:p w:rsidR="006A1724" w:rsidRPr="007672DA" w:rsidRDefault="006A1724" w:rsidP="00782110">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理财事业部</w:t>
            </w:r>
          </w:p>
        </w:tc>
        <w:tc>
          <w:tcPr>
            <w:tcW w:w="1529" w:type="dxa"/>
            <w:tcBorders>
              <w:bottom w:val="single" w:sz="4" w:space="0" w:color="auto"/>
            </w:tcBorders>
            <w:vAlign w:val="center"/>
          </w:tcPr>
          <w:p w:rsidR="006A1724" w:rsidRPr="007672DA" w:rsidRDefault="005F475E" w:rsidP="00D25F2E">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53.14</w:t>
            </w:r>
            <w:r w:rsidR="002B565E" w:rsidRPr="007672DA">
              <w:rPr>
                <w:rFonts w:asciiTheme="minorEastAsia" w:hAnsiTheme="minorEastAsia" w:cs="Times New Roman"/>
                <w:sz w:val="28"/>
                <w:szCs w:val="28"/>
              </w:rPr>
              <w:t>%</w:t>
            </w:r>
          </w:p>
        </w:tc>
        <w:tc>
          <w:tcPr>
            <w:tcW w:w="1474" w:type="dxa"/>
            <w:tcBorders>
              <w:bottom w:val="single" w:sz="4" w:space="0" w:color="auto"/>
            </w:tcBorders>
            <w:vAlign w:val="center"/>
          </w:tcPr>
          <w:p w:rsidR="006A1724" w:rsidRPr="007672DA" w:rsidRDefault="006A1724" w:rsidP="00782110">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≤16%</w:t>
            </w:r>
          </w:p>
        </w:tc>
        <w:tc>
          <w:tcPr>
            <w:tcW w:w="1701" w:type="dxa"/>
            <w:tcBorders>
              <w:bottom w:val="single" w:sz="4" w:space="0" w:color="auto"/>
            </w:tcBorders>
          </w:tcPr>
          <w:p w:rsidR="006A1724" w:rsidRPr="007672DA" w:rsidRDefault="008E30FC" w:rsidP="00782110">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已上会审议</w:t>
            </w:r>
          </w:p>
        </w:tc>
      </w:tr>
      <w:tr w:rsidR="00A6525E" w:rsidRPr="007672DA" w:rsidTr="008738B6">
        <w:trPr>
          <w:jc w:val="center"/>
        </w:trPr>
        <w:tc>
          <w:tcPr>
            <w:tcW w:w="9217" w:type="dxa"/>
            <w:gridSpan w:val="5"/>
            <w:tcBorders>
              <w:left w:val="nil"/>
              <w:bottom w:val="nil"/>
              <w:right w:val="nil"/>
            </w:tcBorders>
            <w:vAlign w:val="center"/>
          </w:tcPr>
          <w:p w:rsidR="00A6525E" w:rsidRPr="007672DA" w:rsidRDefault="00A6525E" w:rsidP="006A1724">
            <w:pPr>
              <w:adjustRightInd w:val="0"/>
              <w:snapToGrid w:val="0"/>
              <w:rPr>
                <w:rFonts w:ascii="仿宋" w:eastAsia="仿宋" w:hAnsi="仿宋" w:cs="宋体"/>
                <w:color w:val="000000"/>
                <w:kern w:val="0"/>
                <w:sz w:val="24"/>
              </w:rPr>
            </w:pPr>
            <w:r w:rsidRPr="007672DA">
              <w:rPr>
                <w:rFonts w:ascii="仿宋" w:eastAsia="仿宋" w:hAnsi="仿宋" w:cs="宋体" w:hint="eastAsia"/>
                <w:color w:val="000000"/>
                <w:kern w:val="0"/>
                <w:sz w:val="24"/>
              </w:rPr>
              <w:t>数据来源：理财资产管理系统</w:t>
            </w:r>
            <w:r w:rsidR="001A717C" w:rsidRPr="007672DA">
              <w:rPr>
                <w:rFonts w:ascii="仿宋" w:eastAsia="仿宋" w:hAnsi="仿宋" w:cs="宋体" w:hint="eastAsia"/>
                <w:color w:val="000000"/>
                <w:kern w:val="0"/>
                <w:sz w:val="24"/>
                <w:szCs w:val="24"/>
              </w:rPr>
              <w:t>、兆</w:t>
            </w:r>
            <w:proofErr w:type="gramStart"/>
            <w:r w:rsidR="001A717C" w:rsidRPr="007672DA">
              <w:rPr>
                <w:rFonts w:ascii="仿宋" w:eastAsia="仿宋" w:hAnsi="仿宋" w:cs="宋体" w:hint="eastAsia"/>
                <w:color w:val="000000"/>
                <w:kern w:val="0"/>
                <w:sz w:val="24"/>
                <w:szCs w:val="24"/>
              </w:rPr>
              <w:t>尹</w:t>
            </w:r>
            <w:proofErr w:type="gramEnd"/>
            <w:r w:rsidR="001A717C" w:rsidRPr="007672DA">
              <w:rPr>
                <w:rFonts w:ascii="仿宋" w:eastAsia="仿宋" w:hAnsi="仿宋" w:cs="宋体" w:hint="eastAsia"/>
                <w:color w:val="000000"/>
                <w:kern w:val="0"/>
                <w:sz w:val="24"/>
                <w:szCs w:val="24"/>
              </w:rPr>
              <w:t>系统</w:t>
            </w:r>
            <w:r w:rsidRPr="007672DA">
              <w:rPr>
                <w:rFonts w:ascii="仿宋" w:eastAsia="仿宋" w:hAnsi="仿宋" w:cs="宋体" w:hint="eastAsia"/>
                <w:color w:val="000000"/>
                <w:kern w:val="0"/>
                <w:sz w:val="24"/>
              </w:rPr>
              <w:t>、COMSTAR系统</w:t>
            </w:r>
            <w:r w:rsidR="0022695A" w:rsidRPr="007672DA">
              <w:rPr>
                <w:rFonts w:ascii="仿宋" w:eastAsia="仿宋" w:hAnsi="仿宋" w:cs="宋体" w:hint="eastAsia"/>
                <w:color w:val="000000"/>
                <w:kern w:val="0"/>
                <w:sz w:val="24"/>
              </w:rPr>
              <w:t>、</w:t>
            </w:r>
            <w:r w:rsidR="0022695A" w:rsidRPr="007672DA">
              <w:rPr>
                <w:rFonts w:ascii="仿宋" w:eastAsia="仿宋" w:hAnsi="仿宋" w:cs="宋体" w:hint="eastAsia"/>
                <w:color w:val="000000"/>
                <w:kern w:val="0"/>
                <w:sz w:val="24"/>
                <w:szCs w:val="24"/>
              </w:rPr>
              <w:t>资金业务管理系统，尚未</w:t>
            </w:r>
            <w:proofErr w:type="gramStart"/>
            <w:r w:rsidR="0022695A" w:rsidRPr="007672DA">
              <w:rPr>
                <w:rFonts w:ascii="仿宋" w:eastAsia="仿宋" w:hAnsi="仿宋" w:cs="宋体" w:hint="eastAsia"/>
                <w:color w:val="000000"/>
                <w:kern w:val="0"/>
                <w:sz w:val="24"/>
                <w:szCs w:val="24"/>
              </w:rPr>
              <w:t>涵盖省联社</w:t>
            </w:r>
            <w:proofErr w:type="gramEnd"/>
            <w:r w:rsidR="0022695A" w:rsidRPr="007672DA">
              <w:rPr>
                <w:rFonts w:ascii="仿宋" w:eastAsia="仿宋" w:hAnsi="仿宋" w:cs="宋体" w:hint="eastAsia"/>
                <w:color w:val="000000"/>
                <w:kern w:val="0"/>
                <w:sz w:val="24"/>
                <w:szCs w:val="24"/>
              </w:rPr>
              <w:t>资金统一平台数据</w:t>
            </w:r>
          </w:p>
          <w:p w:rsidR="00A6525E" w:rsidRPr="007672DA" w:rsidRDefault="00A6525E" w:rsidP="006A1724">
            <w:pPr>
              <w:adjustRightInd w:val="0"/>
              <w:snapToGrid w:val="0"/>
              <w:rPr>
                <w:rFonts w:ascii="仿宋" w:eastAsia="仿宋" w:hAnsi="仿宋" w:cs="宋体"/>
                <w:color w:val="000000"/>
                <w:kern w:val="0"/>
                <w:sz w:val="24"/>
              </w:rPr>
            </w:pPr>
            <w:r w:rsidRPr="007672DA">
              <w:rPr>
                <w:rFonts w:ascii="仿宋" w:eastAsia="仿宋" w:hAnsi="仿宋" w:cs="宋体" w:hint="eastAsia"/>
                <w:color w:val="000000"/>
                <w:kern w:val="0"/>
                <w:sz w:val="24"/>
              </w:rPr>
              <w:t>注：17</w:t>
            </w:r>
            <w:proofErr w:type="gramStart"/>
            <w:r w:rsidRPr="007672DA">
              <w:rPr>
                <w:rFonts w:ascii="仿宋" w:eastAsia="仿宋" w:hAnsi="仿宋" w:cs="宋体" w:hint="eastAsia"/>
                <w:color w:val="000000"/>
                <w:kern w:val="0"/>
                <w:sz w:val="24"/>
              </w:rPr>
              <w:t>平租</w:t>
            </w:r>
            <w:proofErr w:type="gramEnd"/>
            <w:r w:rsidRPr="007672DA">
              <w:rPr>
                <w:rFonts w:ascii="仿宋" w:eastAsia="仿宋" w:hAnsi="仿宋" w:cs="宋体" w:hint="eastAsia"/>
                <w:color w:val="000000"/>
                <w:kern w:val="0"/>
                <w:sz w:val="24"/>
              </w:rPr>
              <w:t>B</w:t>
            </w:r>
            <w:r w:rsidR="00794C16" w:rsidRPr="007672DA">
              <w:rPr>
                <w:rFonts w:ascii="仿宋" w:eastAsia="仿宋" w:hAnsi="仿宋" w:cs="宋体" w:hint="eastAsia"/>
                <w:color w:val="000000"/>
                <w:kern w:val="0"/>
                <w:sz w:val="24"/>
              </w:rPr>
              <w:t>、21</w:t>
            </w:r>
            <w:proofErr w:type="gramStart"/>
            <w:r w:rsidR="00794C16" w:rsidRPr="007672DA">
              <w:rPr>
                <w:rFonts w:ascii="仿宋" w:eastAsia="仿宋" w:hAnsi="仿宋" w:cs="宋体" w:hint="eastAsia"/>
                <w:color w:val="000000"/>
                <w:kern w:val="0"/>
                <w:sz w:val="24"/>
              </w:rPr>
              <w:t>鑫</w:t>
            </w:r>
            <w:proofErr w:type="gramEnd"/>
            <w:r w:rsidR="00794C16" w:rsidRPr="007672DA">
              <w:rPr>
                <w:rFonts w:ascii="仿宋" w:eastAsia="仿宋" w:hAnsi="仿宋" w:cs="宋体" w:hint="eastAsia"/>
                <w:color w:val="000000"/>
                <w:kern w:val="0"/>
                <w:sz w:val="24"/>
              </w:rPr>
              <w:t>乾1A</w:t>
            </w:r>
            <w:r w:rsidRPr="007672DA">
              <w:rPr>
                <w:rFonts w:ascii="仿宋" w:eastAsia="仿宋" w:hAnsi="仿宋" w:cs="宋体" w:hint="eastAsia"/>
                <w:color w:val="000000"/>
                <w:kern w:val="0"/>
                <w:sz w:val="24"/>
              </w:rPr>
              <w:t>无估值数据，暂不计算止损限额</w:t>
            </w:r>
          </w:p>
          <w:p w:rsidR="00A6525E" w:rsidRPr="007672DA" w:rsidRDefault="00A6525E" w:rsidP="006A1724">
            <w:pPr>
              <w:adjustRightInd w:val="0"/>
              <w:snapToGrid w:val="0"/>
              <w:rPr>
                <w:rFonts w:ascii="仿宋" w:eastAsia="仿宋" w:hAnsi="仿宋" w:cs="宋体"/>
                <w:color w:val="000000"/>
                <w:kern w:val="0"/>
                <w:sz w:val="24"/>
              </w:rPr>
            </w:pPr>
            <w:r w:rsidRPr="007672DA">
              <w:rPr>
                <w:rFonts w:ascii="仿宋" w:eastAsia="仿宋" w:hAnsi="仿宋" w:cs="宋体" w:hint="eastAsia"/>
                <w:color w:val="000000"/>
                <w:kern w:val="0"/>
                <w:sz w:val="24"/>
              </w:rPr>
              <w:t>注：违约债券不再更新估值数据，故不再计算止损限额</w:t>
            </w:r>
          </w:p>
        </w:tc>
      </w:tr>
    </w:tbl>
    <w:p w:rsidR="00597A9A" w:rsidRPr="007672DA" w:rsidRDefault="006A1724" w:rsidP="002E04D0">
      <w:pPr>
        <w:spacing w:line="560" w:lineRule="exact"/>
        <w:ind w:firstLineChars="200" w:firstLine="643"/>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8.</w:t>
      </w:r>
      <w:r w:rsidR="00D63925" w:rsidRPr="007672DA">
        <w:rPr>
          <w:rFonts w:ascii="仿宋_GB2312" w:eastAsia="仿宋_GB2312" w:hAnsi="Calibri" w:cs="Times New Roman" w:hint="eastAsia"/>
          <w:b/>
          <w:sz w:val="32"/>
          <w:szCs w:val="32"/>
        </w:rPr>
        <w:t>信用风险限额</w:t>
      </w:r>
    </w:p>
    <w:tbl>
      <w:tblPr>
        <w:tblStyle w:val="a3"/>
        <w:tblW w:w="0" w:type="auto"/>
        <w:jc w:val="center"/>
        <w:tblInd w:w="1" w:type="dxa"/>
        <w:tblLook w:val="04A0" w:firstRow="1" w:lastRow="0" w:firstColumn="1" w:lastColumn="0" w:noHBand="0" w:noVBand="1"/>
      </w:tblPr>
      <w:tblGrid>
        <w:gridCol w:w="3837"/>
        <w:gridCol w:w="1417"/>
        <w:gridCol w:w="2432"/>
      </w:tblGrid>
      <w:tr w:rsidR="00D63925" w:rsidRPr="007672DA" w:rsidTr="00423AFC">
        <w:trPr>
          <w:jc w:val="center"/>
        </w:trPr>
        <w:tc>
          <w:tcPr>
            <w:tcW w:w="3837" w:type="dxa"/>
          </w:tcPr>
          <w:p w:rsidR="00D63925" w:rsidRPr="007672DA" w:rsidRDefault="00D63925" w:rsidP="00A55FC1">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b/>
                <w:sz w:val="28"/>
                <w:szCs w:val="28"/>
              </w:rPr>
              <w:t>指标名称</w:t>
            </w:r>
          </w:p>
        </w:tc>
        <w:tc>
          <w:tcPr>
            <w:tcW w:w="1417" w:type="dxa"/>
          </w:tcPr>
          <w:p w:rsidR="00D63925" w:rsidRPr="007672DA" w:rsidRDefault="00D63925" w:rsidP="00A55FC1">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b/>
                <w:sz w:val="28"/>
                <w:szCs w:val="28"/>
              </w:rPr>
              <w:t>指标值</w:t>
            </w:r>
          </w:p>
        </w:tc>
        <w:tc>
          <w:tcPr>
            <w:tcW w:w="2432" w:type="dxa"/>
          </w:tcPr>
          <w:p w:rsidR="00D63925" w:rsidRPr="007672DA" w:rsidRDefault="00D63925" w:rsidP="00A55FC1">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b/>
                <w:sz w:val="28"/>
                <w:szCs w:val="28"/>
              </w:rPr>
              <w:t>指标要求</w:t>
            </w:r>
          </w:p>
        </w:tc>
      </w:tr>
      <w:tr w:rsidR="00D63925" w:rsidRPr="007672DA" w:rsidTr="00423AFC">
        <w:trPr>
          <w:jc w:val="center"/>
        </w:trPr>
        <w:tc>
          <w:tcPr>
            <w:tcW w:w="3837" w:type="dxa"/>
            <w:tcBorders>
              <w:bottom w:val="single" w:sz="4" w:space="0" w:color="auto"/>
            </w:tcBorders>
          </w:tcPr>
          <w:p w:rsidR="00D63925" w:rsidRPr="007672DA" w:rsidRDefault="00D63925" w:rsidP="00A55FC1">
            <w:pPr>
              <w:adjustRightInd w:val="0"/>
              <w:snapToGrid w:val="0"/>
              <w:rPr>
                <w:rFonts w:asciiTheme="minorEastAsia" w:hAnsiTheme="minorEastAsia" w:cs="Times New Roman"/>
                <w:sz w:val="28"/>
                <w:szCs w:val="28"/>
              </w:rPr>
            </w:pPr>
            <w:r w:rsidRPr="007672DA">
              <w:rPr>
                <w:rFonts w:asciiTheme="minorEastAsia" w:hAnsiTheme="minorEastAsia" w:cs="Times New Roman"/>
                <w:sz w:val="28"/>
                <w:szCs w:val="28"/>
              </w:rPr>
              <w:t>非金融企业债券</w:t>
            </w:r>
            <w:r w:rsidR="00423AFC" w:rsidRPr="007672DA">
              <w:rPr>
                <w:rFonts w:asciiTheme="minorEastAsia" w:hAnsiTheme="minorEastAsia" w:cs="Times New Roman" w:hint="eastAsia"/>
                <w:sz w:val="28"/>
                <w:szCs w:val="28"/>
              </w:rPr>
              <w:t>单</w:t>
            </w:r>
            <w:proofErr w:type="gramStart"/>
            <w:r w:rsidR="00423AFC" w:rsidRPr="007672DA">
              <w:rPr>
                <w:rFonts w:asciiTheme="minorEastAsia" w:hAnsiTheme="minorEastAsia" w:cs="Times New Roman" w:hint="eastAsia"/>
                <w:sz w:val="28"/>
                <w:szCs w:val="28"/>
              </w:rPr>
              <w:t>券</w:t>
            </w:r>
            <w:proofErr w:type="gramEnd"/>
            <w:r w:rsidRPr="007672DA">
              <w:rPr>
                <w:rFonts w:asciiTheme="minorEastAsia" w:hAnsiTheme="minorEastAsia" w:cs="Times New Roman"/>
                <w:sz w:val="28"/>
                <w:szCs w:val="28"/>
              </w:rPr>
              <w:t>集中度</w:t>
            </w:r>
          </w:p>
        </w:tc>
        <w:tc>
          <w:tcPr>
            <w:tcW w:w="1417" w:type="dxa"/>
            <w:tcBorders>
              <w:bottom w:val="single" w:sz="4" w:space="0" w:color="auto"/>
            </w:tcBorders>
            <w:vAlign w:val="center"/>
          </w:tcPr>
          <w:p w:rsidR="00D63925" w:rsidRPr="007672DA" w:rsidRDefault="00943945" w:rsidP="00455EE6">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w:t>
            </w:r>
            <w:r w:rsidR="00455EE6" w:rsidRPr="007672DA">
              <w:rPr>
                <w:rFonts w:asciiTheme="minorEastAsia" w:hAnsiTheme="minorEastAsia" w:cs="宋体" w:hint="eastAsia"/>
                <w:color w:val="000000"/>
                <w:kern w:val="0"/>
                <w:sz w:val="28"/>
                <w:szCs w:val="28"/>
              </w:rPr>
              <w:t>20</w:t>
            </w:r>
            <w:r w:rsidRPr="007672DA">
              <w:rPr>
                <w:rFonts w:asciiTheme="minorEastAsia" w:hAnsiTheme="minorEastAsia" w:cs="宋体"/>
                <w:color w:val="000000"/>
                <w:kern w:val="0"/>
                <w:sz w:val="28"/>
                <w:szCs w:val="28"/>
              </w:rPr>
              <w:t>%</w:t>
            </w:r>
          </w:p>
        </w:tc>
        <w:tc>
          <w:tcPr>
            <w:tcW w:w="2432" w:type="dxa"/>
            <w:tcBorders>
              <w:bottom w:val="single" w:sz="4" w:space="0" w:color="auto"/>
            </w:tcBorders>
            <w:vAlign w:val="center"/>
          </w:tcPr>
          <w:p w:rsidR="00D63925" w:rsidRPr="007672DA" w:rsidRDefault="00D63925" w:rsidP="00D63925">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≤30%</w:t>
            </w:r>
          </w:p>
        </w:tc>
      </w:tr>
      <w:tr w:rsidR="00D63925" w:rsidRPr="007672DA" w:rsidTr="00423AFC">
        <w:trPr>
          <w:jc w:val="center"/>
        </w:trPr>
        <w:tc>
          <w:tcPr>
            <w:tcW w:w="7686" w:type="dxa"/>
            <w:gridSpan w:val="3"/>
            <w:tcBorders>
              <w:left w:val="nil"/>
              <w:bottom w:val="nil"/>
              <w:right w:val="nil"/>
            </w:tcBorders>
            <w:vAlign w:val="center"/>
          </w:tcPr>
          <w:p w:rsidR="00D63925" w:rsidRPr="007672DA" w:rsidRDefault="00D63925" w:rsidP="00D63925">
            <w:pPr>
              <w:adjustRightInd w:val="0"/>
              <w:snapToGrid w:val="0"/>
              <w:rPr>
                <w:rFonts w:asciiTheme="minorEastAsia" w:hAnsiTheme="minorEastAsia" w:cs="Times New Roman"/>
                <w:sz w:val="28"/>
                <w:szCs w:val="28"/>
              </w:rPr>
            </w:pPr>
            <w:r w:rsidRPr="007672DA">
              <w:rPr>
                <w:rFonts w:ascii="仿宋" w:eastAsia="仿宋" w:hAnsi="仿宋" w:cs="宋体" w:hint="eastAsia"/>
                <w:color w:val="000000"/>
                <w:kern w:val="0"/>
                <w:sz w:val="24"/>
                <w:szCs w:val="28"/>
              </w:rPr>
              <w:t>备注：非金融企业债券集中度不含ABS</w:t>
            </w:r>
          </w:p>
        </w:tc>
      </w:tr>
    </w:tbl>
    <w:p w:rsidR="00B5386E" w:rsidRPr="005F475E" w:rsidRDefault="006A1724" w:rsidP="002E04D0">
      <w:pPr>
        <w:spacing w:line="560" w:lineRule="exact"/>
        <w:ind w:firstLineChars="200" w:firstLine="643"/>
        <w:rPr>
          <w:rFonts w:ascii="仿宋_GB2312" w:eastAsia="仿宋_GB2312" w:hAnsi="Calibri" w:cs="Times New Roman"/>
          <w:b/>
          <w:sz w:val="32"/>
          <w:szCs w:val="32"/>
        </w:rPr>
      </w:pPr>
      <w:r w:rsidRPr="005F475E">
        <w:rPr>
          <w:rFonts w:ascii="仿宋_GB2312" w:eastAsia="仿宋_GB2312" w:hAnsi="Calibri" w:cs="Times New Roman" w:hint="eastAsia"/>
          <w:b/>
          <w:sz w:val="32"/>
          <w:szCs w:val="32"/>
        </w:rPr>
        <w:t>9</w:t>
      </w:r>
      <w:r w:rsidR="00B5386E" w:rsidRPr="005F475E">
        <w:rPr>
          <w:rFonts w:ascii="仿宋_GB2312" w:eastAsia="仿宋_GB2312" w:hAnsi="Calibri" w:cs="Times New Roman" w:hint="eastAsia"/>
          <w:b/>
          <w:sz w:val="32"/>
          <w:szCs w:val="32"/>
        </w:rPr>
        <w:t>.匿名客户集中度</w:t>
      </w:r>
    </w:p>
    <w:tbl>
      <w:tblPr>
        <w:tblStyle w:val="a3"/>
        <w:tblW w:w="7903" w:type="dxa"/>
        <w:jc w:val="center"/>
        <w:tblInd w:w="5" w:type="dxa"/>
        <w:tblLook w:val="04A0" w:firstRow="1" w:lastRow="0" w:firstColumn="1" w:lastColumn="0" w:noHBand="0" w:noVBand="1"/>
      </w:tblPr>
      <w:tblGrid>
        <w:gridCol w:w="2285"/>
        <w:gridCol w:w="3030"/>
        <w:gridCol w:w="2588"/>
      </w:tblGrid>
      <w:tr w:rsidR="008B4040" w:rsidRPr="005F475E" w:rsidTr="001A717C">
        <w:trPr>
          <w:trHeight w:val="270"/>
          <w:jc w:val="center"/>
        </w:trPr>
        <w:tc>
          <w:tcPr>
            <w:tcW w:w="2285" w:type="dxa"/>
            <w:tcBorders>
              <w:top w:val="nil"/>
              <w:left w:val="nil"/>
              <w:right w:val="nil"/>
            </w:tcBorders>
          </w:tcPr>
          <w:p w:rsidR="008B4040" w:rsidRPr="005F475E" w:rsidRDefault="008B4040" w:rsidP="00B5386E">
            <w:pPr>
              <w:widowControl/>
              <w:jc w:val="right"/>
              <w:rPr>
                <w:rFonts w:ascii="仿宋_GB2312" w:eastAsia="仿宋_GB2312" w:hAnsi="Calibri" w:cs="Times New Roman"/>
                <w:sz w:val="24"/>
                <w:szCs w:val="32"/>
              </w:rPr>
            </w:pPr>
          </w:p>
        </w:tc>
        <w:tc>
          <w:tcPr>
            <w:tcW w:w="5618" w:type="dxa"/>
            <w:gridSpan w:val="2"/>
            <w:tcBorders>
              <w:top w:val="nil"/>
              <w:left w:val="nil"/>
              <w:right w:val="nil"/>
            </w:tcBorders>
            <w:noWrap/>
            <w:vAlign w:val="center"/>
          </w:tcPr>
          <w:p w:rsidR="008B4040" w:rsidRPr="005F475E" w:rsidRDefault="008B4040" w:rsidP="00B5386E">
            <w:pPr>
              <w:widowControl/>
              <w:jc w:val="right"/>
              <w:rPr>
                <w:rFonts w:ascii="宋体" w:eastAsia="宋体" w:hAnsi="宋体" w:cs="宋体"/>
                <w:color w:val="000000"/>
                <w:kern w:val="0"/>
                <w:sz w:val="22"/>
              </w:rPr>
            </w:pPr>
            <w:r w:rsidRPr="005F475E">
              <w:rPr>
                <w:rFonts w:ascii="仿宋_GB2312" w:eastAsia="仿宋_GB2312" w:hAnsi="Calibri" w:cs="Times New Roman" w:hint="eastAsia"/>
                <w:sz w:val="24"/>
                <w:szCs w:val="32"/>
              </w:rPr>
              <w:t>单位：万元</w:t>
            </w:r>
          </w:p>
        </w:tc>
      </w:tr>
      <w:tr w:rsidR="00041D28" w:rsidRPr="005F475E" w:rsidTr="001A717C">
        <w:trPr>
          <w:trHeight w:val="270"/>
          <w:jc w:val="center"/>
        </w:trPr>
        <w:tc>
          <w:tcPr>
            <w:tcW w:w="5315" w:type="dxa"/>
            <w:gridSpan w:val="2"/>
            <w:vAlign w:val="center"/>
          </w:tcPr>
          <w:p w:rsidR="00041D28" w:rsidRPr="005F475E" w:rsidRDefault="00041D28" w:rsidP="00B5386E">
            <w:pPr>
              <w:widowControl/>
              <w:adjustRightInd w:val="0"/>
              <w:snapToGrid w:val="0"/>
              <w:jc w:val="center"/>
              <w:rPr>
                <w:rFonts w:ascii="宋体" w:eastAsia="宋体" w:hAnsi="宋体" w:cs="宋体"/>
                <w:b/>
                <w:color w:val="000000"/>
                <w:kern w:val="0"/>
                <w:sz w:val="28"/>
                <w:szCs w:val="28"/>
              </w:rPr>
            </w:pPr>
            <w:r w:rsidRPr="005F475E">
              <w:rPr>
                <w:rFonts w:ascii="宋体" w:eastAsia="宋体" w:hAnsi="宋体" w:cs="宋体" w:hint="eastAsia"/>
                <w:b/>
                <w:color w:val="000000"/>
                <w:kern w:val="0"/>
                <w:sz w:val="28"/>
                <w:szCs w:val="28"/>
              </w:rPr>
              <w:t>类别</w:t>
            </w:r>
          </w:p>
        </w:tc>
        <w:tc>
          <w:tcPr>
            <w:tcW w:w="2588" w:type="dxa"/>
            <w:noWrap/>
          </w:tcPr>
          <w:p w:rsidR="00041D28" w:rsidRPr="005F475E" w:rsidRDefault="00041D28" w:rsidP="00B5386E">
            <w:pPr>
              <w:widowControl/>
              <w:adjustRightInd w:val="0"/>
              <w:snapToGrid w:val="0"/>
              <w:jc w:val="center"/>
              <w:rPr>
                <w:rFonts w:ascii="宋体" w:eastAsia="宋体" w:hAnsi="宋体" w:cs="宋体"/>
                <w:b/>
                <w:color w:val="000000"/>
                <w:kern w:val="0"/>
                <w:sz w:val="28"/>
                <w:szCs w:val="28"/>
              </w:rPr>
            </w:pPr>
            <w:r w:rsidRPr="005F475E">
              <w:rPr>
                <w:rFonts w:ascii="宋体" w:eastAsia="宋体" w:hAnsi="宋体" w:cs="宋体" w:hint="eastAsia"/>
                <w:b/>
                <w:color w:val="000000"/>
                <w:kern w:val="0"/>
                <w:sz w:val="28"/>
                <w:szCs w:val="28"/>
              </w:rPr>
              <w:t>金额</w:t>
            </w:r>
          </w:p>
        </w:tc>
      </w:tr>
      <w:tr w:rsidR="00B515CC" w:rsidRPr="005F475E" w:rsidTr="001A717C">
        <w:trPr>
          <w:trHeight w:val="270"/>
          <w:jc w:val="center"/>
        </w:trPr>
        <w:tc>
          <w:tcPr>
            <w:tcW w:w="2285" w:type="dxa"/>
            <w:vMerge w:val="restart"/>
            <w:vAlign w:val="center"/>
          </w:tcPr>
          <w:p w:rsidR="00B515CC" w:rsidRPr="005F475E" w:rsidRDefault="00B515CC" w:rsidP="008B4040">
            <w:pPr>
              <w:widowControl/>
              <w:adjustRightInd w:val="0"/>
              <w:snapToGrid w:val="0"/>
              <w:jc w:val="center"/>
              <w:rPr>
                <w:rFonts w:ascii="宋体" w:eastAsia="宋体" w:hAnsi="宋体" w:cs="宋体"/>
                <w:color w:val="000000"/>
                <w:kern w:val="0"/>
                <w:sz w:val="28"/>
                <w:szCs w:val="28"/>
              </w:rPr>
            </w:pPr>
            <w:r w:rsidRPr="005F475E">
              <w:rPr>
                <w:rFonts w:ascii="宋体" w:eastAsia="宋体" w:hAnsi="宋体" w:cs="宋体" w:hint="eastAsia"/>
                <w:color w:val="000000"/>
                <w:kern w:val="0"/>
                <w:sz w:val="28"/>
                <w:szCs w:val="28"/>
              </w:rPr>
              <w:t>细分类别</w:t>
            </w:r>
          </w:p>
        </w:tc>
        <w:tc>
          <w:tcPr>
            <w:tcW w:w="3030" w:type="dxa"/>
            <w:noWrap/>
            <w:hideMark/>
          </w:tcPr>
          <w:p w:rsidR="00B515CC" w:rsidRPr="005F475E" w:rsidRDefault="00B515CC" w:rsidP="00B5386E">
            <w:pPr>
              <w:widowControl/>
              <w:adjustRightInd w:val="0"/>
              <w:snapToGrid w:val="0"/>
              <w:jc w:val="center"/>
              <w:rPr>
                <w:rFonts w:ascii="宋体" w:eastAsia="宋体" w:hAnsi="宋体" w:cs="宋体"/>
                <w:color w:val="000000"/>
                <w:kern w:val="0"/>
                <w:sz w:val="28"/>
                <w:szCs w:val="28"/>
              </w:rPr>
            </w:pPr>
            <w:proofErr w:type="gramStart"/>
            <w:r w:rsidRPr="005F475E">
              <w:rPr>
                <w:rFonts w:ascii="宋体" w:eastAsia="宋体" w:hAnsi="宋体" w:cs="宋体" w:hint="eastAsia"/>
                <w:color w:val="000000"/>
                <w:kern w:val="0"/>
                <w:sz w:val="28"/>
                <w:szCs w:val="28"/>
              </w:rPr>
              <w:t>华融优</w:t>
            </w:r>
            <w:proofErr w:type="gramEnd"/>
            <w:r w:rsidRPr="005F475E">
              <w:rPr>
                <w:rFonts w:ascii="宋体" w:eastAsia="宋体" w:hAnsi="宋体" w:cs="宋体" w:hint="eastAsia"/>
                <w:color w:val="000000"/>
                <w:kern w:val="0"/>
                <w:sz w:val="28"/>
                <w:szCs w:val="28"/>
              </w:rPr>
              <w:t>智</w:t>
            </w:r>
          </w:p>
        </w:tc>
        <w:tc>
          <w:tcPr>
            <w:tcW w:w="2588" w:type="dxa"/>
            <w:noWrap/>
            <w:vAlign w:val="center"/>
            <w:hideMark/>
          </w:tcPr>
          <w:p w:rsidR="00B515CC" w:rsidRPr="005F475E" w:rsidRDefault="006B5ED7" w:rsidP="006B5ED7">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3</w:t>
            </w:r>
            <w:r w:rsidR="009F44FC" w:rsidRPr="005F475E">
              <w:rPr>
                <w:rFonts w:asciiTheme="minorEastAsia" w:hAnsiTheme="minorEastAsia" w:cs="Times New Roman" w:hint="eastAsia"/>
                <w:sz w:val="28"/>
                <w:szCs w:val="28"/>
              </w:rPr>
              <w:t>,</w:t>
            </w:r>
            <w:r w:rsidRPr="005F475E">
              <w:rPr>
                <w:rFonts w:asciiTheme="minorEastAsia" w:hAnsiTheme="minorEastAsia" w:cs="Times New Roman" w:hint="eastAsia"/>
                <w:sz w:val="28"/>
                <w:szCs w:val="28"/>
              </w:rPr>
              <w:t>373</w:t>
            </w:r>
            <w:r w:rsidR="00F042A4" w:rsidRPr="005F475E">
              <w:rPr>
                <w:rFonts w:asciiTheme="minorEastAsia" w:hAnsiTheme="minorEastAsia" w:cs="Times New Roman" w:hint="eastAsia"/>
                <w:sz w:val="28"/>
                <w:szCs w:val="28"/>
              </w:rPr>
              <w:t>.</w:t>
            </w:r>
            <w:r w:rsidRPr="005F475E">
              <w:rPr>
                <w:rFonts w:asciiTheme="minorEastAsia" w:hAnsiTheme="minorEastAsia" w:cs="Times New Roman" w:hint="eastAsia"/>
                <w:sz w:val="28"/>
                <w:szCs w:val="28"/>
              </w:rPr>
              <w:t>26</w:t>
            </w:r>
          </w:p>
        </w:tc>
      </w:tr>
      <w:tr w:rsidR="00B515CC" w:rsidRPr="005F475E" w:rsidTr="001A717C">
        <w:trPr>
          <w:trHeight w:val="270"/>
          <w:jc w:val="center"/>
        </w:trPr>
        <w:tc>
          <w:tcPr>
            <w:tcW w:w="2285" w:type="dxa"/>
            <w:vMerge/>
            <w:vAlign w:val="center"/>
          </w:tcPr>
          <w:p w:rsidR="00B515CC" w:rsidRPr="005F475E" w:rsidRDefault="00B515CC" w:rsidP="008B4040">
            <w:pPr>
              <w:widowControl/>
              <w:adjustRightInd w:val="0"/>
              <w:snapToGrid w:val="0"/>
              <w:jc w:val="center"/>
              <w:rPr>
                <w:rFonts w:ascii="宋体" w:eastAsia="宋体" w:hAnsi="宋体" w:cs="宋体"/>
                <w:color w:val="000000"/>
                <w:kern w:val="0"/>
                <w:sz w:val="28"/>
                <w:szCs w:val="28"/>
              </w:rPr>
            </w:pPr>
          </w:p>
        </w:tc>
        <w:tc>
          <w:tcPr>
            <w:tcW w:w="3030" w:type="dxa"/>
            <w:noWrap/>
          </w:tcPr>
          <w:p w:rsidR="00B515CC" w:rsidRPr="005F475E" w:rsidRDefault="00B515CC" w:rsidP="00B5386E">
            <w:pPr>
              <w:widowControl/>
              <w:adjustRightInd w:val="0"/>
              <w:snapToGrid w:val="0"/>
              <w:jc w:val="center"/>
              <w:rPr>
                <w:rFonts w:ascii="宋体" w:eastAsia="宋体" w:hAnsi="宋体" w:cs="宋体"/>
                <w:color w:val="000000"/>
                <w:kern w:val="0"/>
                <w:sz w:val="28"/>
                <w:szCs w:val="28"/>
              </w:rPr>
            </w:pPr>
            <w:r w:rsidRPr="005F475E">
              <w:rPr>
                <w:rFonts w:ascii="宋体" w:eastAsia="宋体" w:hAnsi="宋体" w:cs="宋体" w:hint="eastAsia"/>
                <w:color w:val="000000"/>
                <w:kern w:val="0"/>
                <w:sz w:val="28"/>
                <w:szCs w:val="28"/>
              </w:rPr>
              <w:t>货币基金</w:t>
            </w:r>
          </w:p>
        </w:tc>
        <w:tc>
          <w:tcPr>
            <w:tcW w:w="2588" w:type="dxa"/>
            <w:noWrap/>
            <w:vAlign w:val="center"/>
          </w:tcPr>
          <w:p w:rsidR="00B515CC" w:rsidRPr="005F475E" w:rsidRDefault="00D25F2E" w:rsidP="0058445A">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sz w:val="28"/>
                <w:szCs w:val="28"/>
              </w:rPr>
              <w:t>117,692.08</w:t>
            </w:r>
          </w:p>
        </w:tc>
      </w:tr>
      <w:tr w:rsidR="00B515CC" w:rsidRPr="005F475E" w:rsidTr="001A717C">
        <w:trPr>
          <w:trHeight w:val="270"/>
          <w:jc w:val="center"/>
        </w:trPr>
        <w:tc>
          <w:tcPr>
            <w:tcW w:w="2285" w:type="dxa"/>
            <w:vMerge/>
          </w:tcPr>
          <w:p w:rsidR="00B515CC" w:rsidRPr="005F475E" w:rsidRDefault="00B515CC" w:rsidP="00B5386E">
            <w:pPr>
              <w:widowControl/>
              <w:adjustRightInd w:val="0"/>
              <w:snapToGrid w:val="0"/>
              <w:jc w:val="center"/>
              <w:rPr>
                <w:rFonts w:ascii="宋体" w:eastAsia="宋体" w:hAnsi="宋体" w:cs="宋体"/>
                <w:color w:val="000000"/>
                <w:kern w:val="0"/>
                <w:sz w:val="28"/>
                <w:szCs w:val="28"/>
              </w:rPr>
            </w:pPr>
          </w:p>
        </w:tc>
        <w:tc>
          <w:tcPr>
            <w:tcW w:w="3030" w:type="dxa"/>
            <w:noWrap/>
            <w:hideMark/>
          </w:tcPr>
          <w:p w:rsidR="00B515CC" w:rsidRPr="005F475E" w:rsidRDefault="00B515CC" w:rsidP="00B5386E">
            <w:pPr>
              <w:widowControl/>
              <w:adjustRightInd w:val="0"/>
              <w:snapToGrid w:val="0"/>
              <w:jc w:val="center"/>
              <w:rPr>
                <w:rFonts w:ascii="宋体" w:eastAsia="宋体" w:hAnsi="宋体" w:cs="宋体"/>
                <w:color w:val="000000"/>
                <w:kern w:val="0"/>
                <w:sz w:val="28"/>
                <w:szCs w:val="28"/>
              </w:rPr>
            </w:pPr>
            <w:r w:rsidRPr="005F475E">
              <w:rPr>
                <w:rFonts w:ascii="宋体" w:eastAsia="宋体" w:hAnsi="宋体" w:cs="宋体" w:hint="eastAsia"/>
                <w:color w:val="000000"/>
                <w:kern w:val="0"/>
                <w:sz w:val="28"/>
                <w:szCs w:val="28"/>
              </w:rPr>
              <w:t>资产支持证券</w:t>
            </w:r>
          </w:p>
        </w:tc>
        <w:tc>
          <w:tcPr>
            <w:tcW w:w="2588" w:type="dxa"/>
            <w:noWrap/>
            <w:vAlign w:val="center"/>
            <w:hideMark/>
          </w:tcPr>
          <w:p w:rsidR="00B515CC" w:rsidRPr="005F475E" w:rsidRDefault="00D25F2E" w:rsidP="003853F4">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sz w:val="28"/>
                <w:szCs w:val="28"/>
              </w:rPr>
              <w:t>5,700.00</w:t>
            </w:r>
          </w:p>
        </w:tc>
      </w:tr>
      <w:tr w:rsidR="00B515CC" w:rsidRPr="005F475E" w:rsidTr="001A717C">
        <w:trPr>
          <w:trHeight w:val="270"/>
          <w:jc w:val="center"/>
        </w:trPr>
        <w:tc>
          <w:tcPr>
            <w:tcW w:w="5315" w:type="dxa"/>
            <w:gridSpan w:val="2"/>
          </w:tcPr>
          <w:p w:rsidR="00B515CC" w:rsidRPr="005F475E" w:rsidRDefault="00B515CC" w:rsidP="00B5386E">
            <w:pPr>
              <w:widowControl/>
              <w:adjustRightInd w:val="0"/>
              <w:snapToGrid w:val="0"/>
              <w:jc w:val="center"/>
              <w:rPr>
                <w:rFonts w:ascii="宋体" w:eastAsia="宋体" w:hAnsi="宋体" w:cs="宋体"/>
                <w:color w:val="000000"/>
                <w:kern w:val="0"/>
                <w:sz w:val="28"/>
                <w:szCs w:val="28"/>
              </w:rPr>
            </w:pPr>
            <w:r w:rsidRPr="005F475E">
              <w:rPr>
                <w:rFonts w:ascii="宋体" w:eastAsia="宋体" w:hAnsi="宋体" w:cs="宋体" w:hint="eastAsia"/>
                <w:color w:val="000000"/>
                <w:kern w:val="0"/>
                <w:sz w:val="28"/>
                <w:szCs w:val="28"/>
              </w:rPr>
              <w:t>合计</w:t>
            </w:r>
          </w:p>
        </w:tc>
        <w:tc>
          <w:tcPr>
            <w:tcW w:w="2588" w:type="dxa"/>
            <w:noWrap/>
            <w:vAlign w:val="center"/>
            <w:hideMark/>
          </w:tcPr>
          <w:p w:rsidR="00B515CC" w:rsidRPr="005F475E" w:rsidRDefault="006B5ED7" w:rsidP="003853F4">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sz w:val="28"/>
                <w:szCs w:val="28"/>
              </w:rPr>
              <w:t>126,765.34</w:t>
            </w:r>
          </w:p>
        </w:tc>
      </w:tr>
      <w:tr w:rsidR="00B515CC" w:rsidRPr="005F475E" w:rsidTr="001A717C">
        <w:trPr>
          <w:trHeight w:val="270"/>
          <w:jc w:val="center"/>
        </w:trPr>
        <w:tc>
          <w:tcPr>
            <w:tcW w:w="5315" w:type="dxa"/>
            <w:gridSpan w:val="2"/>
          </w:tcPr>
          <w:p w:rsidR="00B515CC" w:rsidRPr="005F475E" w:rsidRDefault="00B515CC" w:rsidP="00B5386E">
            <w:pPr>
              <w:widowControl/>
              <w:adjustRightInd w:val="0"/>
              <w:snapToGrid w:val="0"/>
              <w:jc w:val="center"/>
              <w:rPr>
                <w:rFonts w:ascii="宋体" w:eastAsia="宋体" w:hAnsi="宋体" w:cs="宋体"/>
                <w:color w:val="000000"/>
                <w:kern w:val="0"/>
                <w:sz w:val="28"/>
                <w:szCs w:val="28"/>
              </w:rPr>
            </w:pPr>
            <w:r w:rsidRPr="005F475E">
              <w:rPr>
                <w:rFonts w:ascii="宋体" w:eastAsia="宋体" w:hAnsi="宋体" w:cs="宋体" w:hint="eastAsia"/>
                <w:color w:val="000000"/>
                <w:kern w:val="0"/>
                <w:sz w:val="28"/>
                <w:szCs w:val="28"/>
              </w:rPr>
              <w:t>一级资本净额</w:t>
            </w:r>
          </w:p>
        </w:tc>
        <w:tc>
          <w:tcPr>
            <w:tcW w:w="2588" w:type="dxa"/>
            <w:noWrap/>
            <w:vAlign w:val="center"/>
            <w:hideMark/>
          </w:tcPr>
          <w:p w:rsidR="00B515CC" w:rsidRPr="005F475E" w:rsidRDefault="006B5ED7" w:rsidP="0058445A">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sz w:val="28"/>
                <w:szCs w:val="28"/>
              </w:rPr>
              <w:t>1,008,200.00</w:t>
            </w:r>
          </w:p>
        </w:tc>
      </w:tr>
      <w:tr w:rsidR="00B515CC" w:rsidRPr="005F475E" w:rsidTr="001A717C">
        <w:trPr>
          <w:trHeight w:val="270"/>
          <w:jc w:val="center"/>
        </w:trPr>
        <w:tc>
          <w:tcPr>
            <w:tcW w:w="5315" w:type="dxa"/>
            <w:gridSpan w:val="2"/>
          </w:tcPr>
          <w:p w:rsidR="00B515CC" w:rsidRPr="005F475E" w:rsidRDefault="00B515CC" w:rsidP="00B5386E">
            <w:pPr>
              <w:widowControl/>
              <w:adjustRightInd w:val="0"/>
              <w:snapToGrid w:val="0"/>
              <w:jc w:val="center"/>
              <w:rPr>
                <w:rFonts w:ascii="宋体" w:eastAsia="宋体" w:hAnsi="宋体" w:cs="宋体"/>
                <w:b/>
                <w:color w:val="000000"/>
                <w:kern w:val="0"/>
                <w:sz w:val="28"/>
                <w:szCs w:val="28"/>
              </w:rPr>
            </w:pPr>
            <w:r w:rsidRPr="005F475E">
              <w:rPr>
                <w:rFonts w:ascii="宋体" w:eastAsia="宋体" w:hAnsi="宋体" w:cs="宋体" w:hint="eastAsia"/>
                <w:b/>
                <w:color w:val="000000"/>
                <w:kern w:val="0"/>
                <w:sz w:val="28"/>
                <w:szCs w:val="28"/>
              </w:rPr>
              <w:t>占比</w:t>
            </w:r>
          </w:p>
        </w:tc>
        <w:tc>
          <w:tcPr>
            <w:tcW w:w="2588" w:type="dxa"/>
            <w:noWrap/>
            <w:vAlign w:val="center"/>
            <w:hideMark/>
          </w:tcPr>
          <w:p w:rsidR="00B515CC" w:rsidRPr="005F475E" w:rsidRDefault="006B5ED7" w:rsidP="00122FA3">
            <w:pPr>
              <w:adjustRightInd w:val="0"/>
              <w:snapToGrid w:val="0"/>
              <w:jc w:val="center"/>
              <w:rPr>
                <w:rFonts w:asciiTheme="minorEastAsia" w:hAnsiTheme="minorEastAsia" w:cs="Times New Roman"/>
                <w:b/>
                <w:sz w:val="28"/>
                <w:szCs w:val="28"/>
              </w:rPr>
            </w:pPr>
            <w:r w:rsidRPr="005F475E">
              <w:rPr>
                <w:rFonts w:asciiTheme="minorEastAsia" w:hAnsiTheme="minorEastAsia" w:cs="Times New Roman"/>
                <w:b/>
                <w:sz w:val="28"/>
                <w:szCs w:val="28"/>
              </w:rPr>
              <w:t>12.57%</w:t>
            </w:r>
          </w:p>
        </w:tc>
      </w:tr>
      <w:tr w:rsidR="00BD2338" w:rsidRPr="005F475E" w:rsidTr="001A717C">
        <w:trPr>
          <w:trHeight w:val="270"/>
          <w:jc w:val="center"/>
        </w:trPr>
        <w:tc>
          <w:tcPr>
            <w:tcW w:w="5315" w:type="dxa"/>
            <w:gridSpan w:val="2"/>
            <w:tcBorders>
              <w:bottom w:val="single" w:sz="4" w:space="0" w:color="auto"/>
            </w:tcBorders>
          </w:tcPr>
          <w:p w:rsidR="00BD2338" w:rsidRPr="005F475E" w:rsidRDefault="00BD2338" w:rsidP="00B5386E">
            <w:pPr>
              <w:widowControl/>
              <w:adjustRightInd w:val="0"/>
              <w:snapToGrid w:val="0"/>
              <w:jc w:val="center"/>
              <w:rPr>
                <w:rFonts w:ascii="宋体" w:eastAsia="宋体" w:hAnsi="宋体" w:cs="宋体"/>
                <w:color w:val="000000"/>
                <w:kern w:val="0"/>
                <w:sz w:val="28"/>
                <w:szCs w:val="28"/>
              </w:rPr>
            </w:pPr>
            <w:r w:rsidRPr="005F475E">
              <w:rPr>
                <w:rFonts w:ascii="宋体" w:eastAsia="宋体" w:hAnsi="宋体" w:cs="宋体" w:hint="eastAsia"/>
                <w:color w:val="000000"/>
                <w:kern w:val="0"/>
                <w:sz w:val="28"/>
                <w:szCs w:val="28"/>
              </w:rPr>
              <w:t>限额</w:t>
            </w:r>
          </w:p>
        </w:tc>
        <w:tc>
          <w:tcPr>
            <w:tcW w:w="2588" w:type="dxa"/>
            <w:tcBorders>
              <w:bottom w:val="single" w:sz="4" w:space="0" w:color="auto"/>
            </w:tcBorders>
            <w:noWrap/>
            <w:vAlign w:val="center"/>
            <w:hideMark/>
          </w:tcPr>
          <w:p w:rsidR="00BD2338" w:rsidRPr="005F475E" w:rsidRDefault="00BD2338" w:rsidP="00C16D76">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15%</w:t>
            </w:r>
          </w:p>
        </w:tc>
      </w:tr>
      <w:tr w:rsidR="008B4040" w:rsidRPr="005F475E" w:rsidTr="001A717C">
        <w:trPr>
          <w:trHeight w:val="270"/>
          <w:jc w:val="center"/>
        </w:trPr>
        <w:tc>
          <w:tcPr>
            <w:tcW w:w="7903" w:type="dxa"/>
            <w:gridSpan w:val="3"/>
            <w:tcBorders>
              <w:left w:val="nil"/>
              <w:bottom w:val="nil"/>
              <w:right w:val="nil"/>
            </w:tcBorders>
            <w:vAlign w:val="center"/>
          </w:tcPr>
          <w:p w:rsidR="008B4040" w:rsidRPr="005F475E" w:rsidRDefault="008B4040" w:rsidP="0022695A">
            <w:pPr>
              <w:widowControl/>
              <w:adjustRightInd w:val="0"/>
              <w:snapToGrid w:val="0"/>
              <w:rPr>
                <w:rFonts w:ascii="宋体" w:eastAsia="宋体" w:hAnsi="宋体" w:cs="宋体"/>
                <w:color w:val="000000"/>
                <w:kern w:val="0"/>
                <w:sz w:val="28"/>
                <w:szCs w:val="28"/>
              </w:rPr>
            </w:pPr>
            <w:r w:rsidRPr="005F475E">
              <w:rPr>
                <w:rFonts w:ascii="仿宋" w:eastAsia="仿宋" w:hAnsi="仿宋" w:cs="宋体" w:hint="eastAsia"/>
                <w:color w:val="000000"/>
                <w:kern w:val="0"/>
                <w:sz w:val="24"/>
              </w:rPr>
              <w:t>数据来源：理财资产管理系统</w:t>
            </w:r>
            <w:r w:rsidR="001A717C" w:rsidRPr="005F475E">
              <w:rPr>
                <w:rFonts w:ascii="仿宋" w:eastAsia="仿宋" w:hAnsi="仿宋" w:cs="宋体" w:hint="eastAsia"/>
                <w:color w:val="000000"/>
                <w:kern w:val="0"/>
                <w:sz w:val="24"/>
                <w:szCs w:val="24"/>
              </w:rPr>
              <w:t>、兆</w:t>
            </w:r>
            <w:proofErr w:type="gramStart"/>
            <w:r w:rsidR="001A717C" w:rsidRPr="005F475E">
              <w:rPr>
                <w:rFonts w:ascii="仿宋" w:eastAsia="仿宋" w:hAnsi="仿宋" w:cs="宋体" w:hint="eastAsia"/>
                <w:color w:val="000000"/>
                <w:kern w:val="0"/>
                <w:sz w:val="24"/>
                <w:szCs w:val="24"/>
              </w:rPr>
              <w:t>尹</w:t>
            </w:r>
            <w:proofErr w:type="gramEnd"/>
            <w:r w:rsidR="001A717C" w:rsidRPr="005F475E">
              <w:rPr>
                <w:rFonts w:ascii="仿宋" w:eastAsia="仿宋" w:hAnsi="仿宋" w:cs="宋体" w:hint="eastAsia"/>
                <w:color w:val="000000"/>
                <w:kern w:val="0"/>
                <w:sz w:val="24"/>
                <w:szCs w:val="24"/>
              </w:rPr>
              <w:t>系统</w:t>
            </w:r>
            <w:r w:rsidRPr="005F475E">
              <w:rPr>
                <w:rFonts w:ascii="仿宋" w:eastAsia="仿宋" w:hAnsi="仿宋" w:cs="宋体" w:hint="eastAsia"/>
                <w:color w:val="000000"/>
                <w:kern w:val="0"/>
                <w:sz w:val="24"/>
              </w:rPr>
              <w:t>、COMSTAR系统</w:t>
            </w:r>
            <w:r w:rsidR="0022695A" w:rsidRPr="005F475E">
              <w:rPr>
                <w:rFonts w:ascii="仿宋" w:eastAsia="仿宋" w:hAnsi="仿宋" w:cs="宋体" w:hint="eastAsia"/>
                <w:color w:val="000000"/>
                <w:kern w:val="0"/>
                <w:sz w:val="24"/>
              </w:rPr>
              <w:t>、</w:t>
            </w:r>
            <w:r w:rsidR="0022695A" w:rsidRPr="005F475E">
              <w:rPr>
                <w:rFonts w:ascii="仿宋" w:eastAsia="仿宋" w:hAnsi="仿宋" w:cs="宋体" w:hint="eastAsia"/>
                <w:color w:val="000000"/>
                <w:kern w:val="0"/>
                <w:sz w:val="24"/>
                <w:szCs w:val="24"/>
              </w:rPr>
              <w:t>资金业务管理系统，尚未</w:t>
            </w:r>
            <w:proofErr w:type="gramStart"/>
            <w:r w:rsidR="0022695A" w:rsidRPr="005F475E">
              <w:rPr>
                <w:rFonts w:ascii="仿宋" w:eastAsia="仿宋" w:hAnsi="仿宋" w:cs="宋体" w:hint="eastAsia"/>
                <w:color w:val="000000"/>
                <w:kern w:val="0"/>
                <w:sz w:val="24"/>
                <w:szCs w:val="24"/>
              </w:rPr>
              <w:t>涵盖省联社</w:t>
            </w:r>
            <w:proofErr w:type="gramEnd"/>
            <w:r w:rsidR="0022695A" w:rsidRPr="005F475E">
              <w:rPr>
                <w:rFonts w:ascii="仿宋" w:eastAsia="仿宋" w:hAnsi="仿宋" w:cs="宋体" w:hint="eastAsia"/>
                <w:color w:val="000000"/>
                <w:kern w:val="0"/>
                <w:sz w:val="24"/>
                <w:szCs w:val="24"/>
              </w:rPr>
              <w:t>资金统一平台数据</w:t>
            </w:r>
          </w:p>
        </w:tc>
      </w:tr>
      <w:tr w:rsidR="008B4040" w:rsidRPr="005F475E" w:rsidTr="001A717C">
        <w:trPr>
          <w:trHeight w:val="270"/>
          <w:jc w:val="center"/>
        </w:trPr>
        <w:tc>
          <w:tcPr>
            <w:tcW w:w="7903" w:type="dxa"/>
            <w:gridSpan w:val="3"/>
            <w:tcBorders>
              <w:top w:val="nil"/>
              <w:left w:val="nil"/>
              <w:bottom w:val="nil"/>
              <w:right w:val="nil"/>
            </w:tcBorders>
            <w:vAlign w:val="center"/>
          </w:tcPr>
          <w:p w:rsidR="008B4040" w:rsidRPr="005F475E" w:rsidRDefault="008B4040" w:rsidP="00A32E73">
            <w:pPr>
              <w:widowControl/>
              <w:adjustRightInd w:val="0"/>
              <w:snapToGrid w:val="0"/>
              <w:rPr>
                <w:rFonts w:ascii="仿宋" w:eastAsia="仿宋" w:hAnsi="仿宋" w:cs="宋体"/>
                <w:color w:val="000000"/>
                <w:kern w:val="0"/>
                <w:sz w:val="24"/>
              </w:rPr>
            </w:pPr>
            <w:r w:rsidRPr="005F475E">
              <w:rPr>
                <w:rFonts w:ascii="仿宋" w:eastAsia="仿宋" w:hAnsi="仿宋" w:cs="宋体" w:hint="eastAsia"/>
                <w:color w:val="000000"/>
                <w:kern w:val="0"/>
                <w:sz w:val="24"/>
              </w:rPr>
              <w:t>备注1：一级资本净额采用202</w:t>
            </w:r>
            <w:r w:rsidR="00A32E73" w:rsidRPr="005F475E">
              <w:rPr>
                <w:rFonts w:ascii="仿宋" w:eastAsia="仿宋" w:hAnsi="仿宋" w:cs="宋体" w:hint="eastAsia"/>
                <w:color w:val="000000"/>
                <w:kern w:val="0"/>
                <w:sz w:val="24"/>
              </w:rPr>
              <w:t>1</w:t>
            </w:r>
            <w:r w:rsidRPr="005F475E">
              <w:rPr>
                <w:rFonts w:ascii="仿宋" w:eastAsia="仿宋" w:hAnsi="仿宋" w:cs="宋体" w:hint="eastAsia"/>
                <w:color w:val="000000"/>
                <w:kern w:val="0"/>
                <w:sz w:val="24"/>
              </w:rPr>
              <w:t>年</w:t>
            </w:r>
            <w:r w:rsidR="00A32E73" w:rsidRPr="005F475E">
              <w:rPr>
                <w:rFonts w:ascii="仿宋" w:eastAsia="仿宋" w:hAnsi="仿宋" w:cs="宋体" w:hint="eastAsia"/>
                <w:color w:val="000000"/>
                <w:kern w:val="0"/>
                <w:sz w:val="24"/>
              </w:rPr>
              <w:t>3</w:t>
            </w:r>
            <w:r w:rsidRPr="005F475E">
              <w:rPr>
                <w:rFonts w:ascii="仿宋" w:eastAsia="仿宋" w:hAnsi="仿宋" w:cs="宋体" w:hint="eastAsia"/>
                <w:color w:val="000000"/>
                <w:kern w:val="0"/>
                <w:sz w:val="24"/>
              </w:rPr>
              <w:t>月3</w:t>
            </w:r>
            <w:r w:rsidR="00550BF9" w:rsidRPr="005F475E">
              <w:rPr>
                <w:rFonts w:ascii="仿宋" w:eastAsia="仿宋" w:hAnsi="仿宋" w:cs="宋体" w:hint="eastAsia"/>
                <w:color w:val="000000"/>
                <w:kern w:val="0"/>
                <w:sz w:val="24"/>
              </w:rPr>
              <w:t>1</w:t>
            </w:r>
            <w:r w:rsidRPr="005F475E">
              <w:rPr>
                <w:rFonts w:ascii="仿宋" w:eastAsia="仿宋" w:hAnsi="仿宋" w:cs="宋体" w:hint="eastAsia"/>
                <w:color w:val="000000"/>
                <w:kern w:val="0"/>
                <w:sz w:val="24"/>
              </w:rPr>
              <w:t>日数据</w:t>
            </w:r>
          </w:p>
        </w:tc>
      </w:tr>
      <w:tr w:rsidR="008B4040" w:rsidRPr="005F475E" w:rsidTr="001A717C">
        <w:trPr>
          <w:trHeight w:val="270"/>
          <w:jc w:val="center"/>
        </w:trPr>
        <w:tc>
          <w:tcPr>
            <w:tcW w:w="7903" w:type="dxa"/>
            <w:gridSpan w:val="3"/>
            <w:tcBorders>
              <w:top w:val="nil"/>
              <w:left w:val="nil"/>
              <w:bottom w:val="nil"/>
              <w:right w:val="nil"/>
            </w:tcBorders>
            <w:vAlign w:val="center"/>
          </w:tcPr>
          <w:p w:rsidR="008B4040" w:rsidRPr="005F475E" w:rsidRDefault="008B4040" w:rsidP="00E85891">
            <w:pPr>
              <w:widowControl/>
              <w:adjustRightInd w:val="0"/>
              <w:snapToGrid w:val="0"/>
              <w:rPr>
                <w:rFonts w:ascii="仿宋" w:eastAsia="仿宋" w:hAnsi="仿宋" w:cs="宋体"/>
                <w:color w:val="000000"/>
                <w:kern w:val="0"/>
                <w:sz w:val="24"/>
              </w:rPr>
            </w:pPr>
            <w:r w:rsidRPr="005F475E">
              <w:rPr>
                <w:rFonts w:ascii="仿宋" w:eastAsia="仿宋" w:hAnsi="仿宋" w:cs="宋体" w:hint="eastAsia"/>
                <w:color w:val="000000"/>
                <w:kern w:val="0"/>
                <w:sz w:val="24"/>
              </w:rPr>
              <w:t>备注</w:t>
            </w:r>
            <w:r w:rsidR="00E85891" w:rsidRPr="005F475E">
              <w:rPr>
                <w:rFonts w:ascii="仿宋" w:eastAsia="仿宋" w:hAnsi="仿宋" w:cs="宋体" w:hint="eastAsia"/>
                <w:color w:val="000000"/>
                <w:kern w:val="0"/>
                <w:sz w:val="24"/>
              </w:rPr>
              <w:t>2</w:t>
            </w:r>
            <w:r w:rsidRPr="005F475E">
              <w:rPr>
                <w:rFonts w:ascii="仿宋" w:eastAsia="仿宋" w:hAnsi="仿宋" w:cs="宋体" w:hint="eastAsia"/>
                <w:color w:val="000000"/>
                <w:kern w:val="0"/>
                <w:sz w:val="24"/>
              </w:rPr>
              <w:t>：货币基金、资产支持证券计算依据WIND分类数据，与人工识别可能存在差异，计算结果供参考</w:t>
            </w:r>
          </w:p>
        </w:tc>
      </w:tr>
    </w:tbl>
    <w:p w:rsidR="00192DAB" w:rsidRPr="007672DA" w:rsidRDefault="00192DAB" w:rsidP="002E04D0">
      <w:pPr>
        <w:spacing w:line="560" w:lineRule="exact"/>
        <w:ind w:firstLineChars="200" w:firstLine="643"/>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10.沪深300ETF</w:t>
      </w:r>
    </w:p>
    <w:p w:rsidR="005B1EAF" w:rsidRPr="007672DA" w:rsidRDefault="005B1EAF" w:rsidP="005B1EAF">
      <w:pPr>
        <w:wordWrap w:val="0"/>
        <w:ind w:firstLineChars="200" w:firstLine="480"/>
        <w:jc w:val="right"/>
        <w:rPr>
          <w:rFonts w:ascii="仿宋_GB2312" w:eastAsia="仿宋_GB2312" w:hAnsi="Calibri" w:cs="Times New Roman"/>
          <w:b/>
          <w:sz w:val="32"/>
          <w:szCs w:val="32"/>
        </w:rPr>
      </w:pPr>
      <w:r w:rsidRPr="007672DA">
        <w:rPr>
          <w:rFonts w:ascii="仿宋_GB2312" w:eastAsia="仿宋_GB2312" w:hAnsi="Calibri" w:cs="Times New Roman" w:hint="eastAsia"/>
          <w:sz w:val="24"/>
          <w:szCs w:val="32"/>
        </w:rPr>
        <w:t>单位：亿元、年</w:t>
      </w:r>
    </w:p>
    <w:tbl>
      <w:tblPr>
        <w:tblStyle w:val="a3"/>
        <w:tblW w:w="0" w:type="auto"/>
        <w:tblLayout w:type="fixed"/>
        <w:tblLook w:val="04A0" w:firstRow="1" w:lastRow="0" w:firstColumn="1" w:lastColumn="0" w:noHBand="0" w:noVBand="1"/>
      </w:tblPr>
      <w:tblGrid>
        <w:gridCol w:w="3436"/>
        <w:gridCol w:w="2545"/>
        <w:gridCol w:w="2541"/>
      </w:tblGrid>
      <w:tr w:rsidR="005B1EAF" w:rsidRPr="007672DA" w:rsidTr="00045135">
        <w:trPr>
          <w:trHeight w:val="270"/>
        </w:trPr>
        <w:tc>
          <w:tcPr>
            <w:tcW w:w="3436" w:type="dxa"/>
            <w:noWrap/>
            <w:hideMark/>
          </w:tcPr>
          <w:p w:rsidR="005B1EAF" w:rsidRPr="007672DA" w:rsidRDefault="005B1EAF" w:rsidP="00045135">
            <w:pPr>
              <w:widowControl/>
              <w:adjustRightInd w:val="0"/>
              <w:snapToGrid w:val="0"/>
              <w:jc w:val="center"/>
              <w:rPr>
                <w:rFonts w:ascii="宋体" w:eastAsia="宋体" w:hAnsi="宋体" w:cs="宋体"/>
                <w:b/>
                <w:color w:val="000000"/>
                <w:kern w:val="0"/>
                <w:sz w:val="28"/>
              </w:rPr>
            </w:pPr>
            <w:r w:rsidRPr="007672DA">
              <w:rPr>
                <w:rFonts w:ascii="宋体" w:eastAsia="宋体" w:hAnsi="宋体" w:cs="宋体" w:hint="eastAsia"/>
                <w:b/>
                <w:color w:val="000000"/>
                <w:kern w:val="0"/>
                <w:sz w:val="28"/>
              </w:rPr>
              <w:t>指标名称</w:t>
            </w:r>
          </w:p>
        </w:tc>
        <w:tc>
          <w:tcPr>
            <w:tcW w:w="2545" w:type="dxa"/>
            <w:tcBorders>
              <w:bottom w:val="single" w:sz="4" w:space="0" w:color="auto"/>
            </w:tcBorders>
            <w:noWrap/>
            <w:hideMark/>
          </w:tcPr>
          <w:p w:rsidR="005B1EAF" w:rsidRPr="007672DA" w:rsidRDefault="005B1EAF" w:rsidP="00045135">
            <w:pPr>
              <w:widowControl/>
              <w:adjustRightInd w:val="0"/>
              <w:snapToGrid w:val="0"/>
              <w:jc w:val="center"/>
              <w:rPr>
                <w:rFonts w:ascii="宋体" w:eastAsia="宋体" w:hAnsi="宋体" w:cs="宋体"/>
                <w:b/>
                <w:color w:val="000000"/>
                <w:kern w:val="0"/>
                <w:sz w:val="28"/>
              </w:rPr>
            </w:pPr>
            <w:r w:rsidRPr="007672DA">
              <w:rPr>
                <w:rFonts w:ascii="宋体" w:eastAsia="宋体" w:hAnsi="宋体" w:cs="宋体" w:hint="eastAsia"/>
                <w:b/>
                <w:color w:val="000000"/>
                <w:kern w:val="0"/>
                <w:sz w:val="28"/>
              </w:rPr>
              <w:t>实际值</w:t>
            </w:r>
          </w:p>
        </w:tc>
        <w:tc>
          <w:tcPr>
            <w:tcW w:w="2541" w:type="dxa"/>
          </w:tcPr>
          <w:p w:rsidR="005B1EAF" w:rsidRPr="007672DA" w:rsidRDefault="005B1EAF" w:rsidP="00045135">
            <w:pPr>
              <w:widowControl/>
              <w:adjustRightInd w:val="0"/>
              <w:snapToGrid w:val="0"/>
              <w:jc w:val="center"/>
              <w:rPr>
                <w:rFonts w:ascii="宋体" w:eastAsia="宋体" w:hAnsi="宋体" w:cs="宋体"/>
                <w:b/>
                <w:color w:val="000000"/>
                <w:kern w:val="0"/>
                <w:sz w:val="28"/>
              </w:rPr>
            </w:pPr>
            <w:r w:rsidRPr="007672DA">
              <w:rPr>
                <w:rFonts w:ascii="宋体" w:eastAsia="宋体" w:hAnsi="宋体" w:cs="宋体" w:hint="eastAsia"/>
                <w:b/>
                <w:color w:val="000000"/>
                <w:kern w:val="0"/>
                <w:sz w:val="28"/>
              </w:rPr>
              <w:t>审批条件</w:t>
            </w:r>
          </w:p>
        </w:tc>
      </w:tr>
      <w:tr w:rsidR="005B1EAF" w:rsidRPr="007672DA" w:rsidTr="00045135">
        <w:trPr>
          <w:trHeight w:val="270"/>
        </w:trPr>
        <w:tc>
          <w:tcPr>
            <w:tcW w:w="3436" w:type="dxa"/>
            <w:noWrap/>
            <w:hideMark/>
          </w:tcPr>
          <w:p w:rsidR="005B1EAF" w:rsidRPr="007672DA" w:rsidRDefault="005B1EAF" w:rsidP="00045135">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沪深300ETF持仓总额</w:t>
            </w:r>
          </w:p>
        </w:tc>
        <w:tc>
          <w:tcPr>
            <w:tcW w:w="2545" w:type="dxa"/>
            <w:noWrap/>
            <w:vAlign w:val="center"/>
            <w:hideMark/>
          </w:tcPr>
          <w:p w:rsidR="005B1EAF" w:rsidRPr="007672DA" w:rsidRDefault="005F475E" w:rsidP="00D25F2E">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0.0</w:t>
            </w:r>
            <w:r w:rsidR="00D25F2E" w:rsidRPr="007672DA">
              <w:rPr>
                <w:rFonts w:ascii="宋体" w:eastAsia="宋体" w:hAnsi="宋体" w:cs="宋体" w:hint="eastAsia"/>
                <w:color w:val="000000"/>
                <w:kern w:val="0"/>
                <w:sz w:val="28"/>
              </w:rPr>
              <w:t>4</w:t>
            </w:r>
          </w:p>
        </w:tc>
        <w:tc>
          <w:tcPr>
            <w:tcW w:w="2541" w:type="dxa"/>
          </w:tcPr>
          <w:p w:rsidR="005B1EAF" w:rsidRPr="007672DA" w:rsidRDefault="005B1EAF" w:rsidP="00045135">
            <w:pPr>
              <w:widowControl/>
              <w:adjustRightInd w:val="0"/>
              <w:snapToGrid w:val="0"/>
              <w:jc w:val="center"/>
              <w:rPr>
                <w:rFonts w:ascii="宋体" w:eastAsia="宋体" w:hAnsi="宋体" w:cs="宋体"/>
                <w:color w:val="000000"/>
                <w:kern w:val="0"/>
                <w:sz w:val="28"/>
              </w:rPr>
            </w:pPr>
            <w:r w:rsidRPr="007672DA">
              <w:rPr>
                <w:rFonts w:asciiTheme="minorEastAsia" w:hAnsiTheme="minorEastAsia" w:cs="Times New Roman" w:hint="eastAsia"/>
                <w:sz w:val="28"/>
                <w:szCs w:val="28"/>
              </w:rPr>
              <w:t>≤3.00</w:t>
            </w:r>
          </w:p>
        </w:tc>
      </w:tr>
      <w:tr w:rsidR="005B1EAF" w:rsidRPr="007672DA" w:rsidTr="00045135">
        <w:trPr>
          <w:trHeight w:val="270"/>
        </w:trPr>
        <w:tc>
          <w:tcPr>
            <w:tcW w:w="3436" w:type="dxa"/>
            <w:noWrap/>
          </w:tcPr>
          <w:p w:rsidR="005B1EAF" w:rsidRPr="007672DA" w:rsidRDefault="005B1EAF" w:rsidP="00045135">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单笔沪深300ETF金额</w:t>
            </w:r>
          </w:p>
        </w:tc>
        <w:tc>
          <w:tcPr>
            <w:tcW w:w="2545" w:type="dxa"/>
            <w:tcBorders>
              <w:bottom w:val="single" w:sz="4" w:space="0" w:color="auto"/>
            </w:tcBorders>
            <w:noWrap/>
            <w:vAlign w:val="center"/>
          </w:tcPr>
          <w:p w:rsidR="005B1EAF" w:rsidRPr="007672DA" w:rsidRDefault="005B1EAF" w:rsidP="00045135">
            <w:pPr>
              <w:widowControl/>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≤0.30</w:t>
            </w:r>
          </w:p>
        </w:tc>
        <w:tc>
          <w:tcPr>
            <w:tcW w:w="2541" w:type="dxa"/>
          </w:tcPr>
          <w:p w:rsidR="005B1EAF" w:rsidRPr="007672DA" w:rsidRDefault="005B1EAF" w:rsidP="00045135">
            <w:pPr>
              <w:widowControl/>
              <w:adjustRightInd w:val="0"/>
              <w:snapToGrid w:val="0"/>
              <w:jc w:val="center"/>
              <w:rPr>
                <w:rFonts w:ascii="宋体" w:eastAsia="宋体" w:hAnsi="宋体" w:cs="宋体"/>
                <w:color w:val="000000"/>
                <w:kern w:val="0"/>
                <w:sz w:val="28"/>
              </w:rPr>
            </w:pPr>
            <w:r w:rsidRPr="007672DA">
              <w:rPr>
                <w:rFonts w:asciiTheme="minorEastAsia" w:hAnsiTheme="minorEastAsia" w:cs="Times New Roman" w:hint="eastAsia"/>
                <w:sz w:val="28"/>
                <w:szCs w:val="28"/>
              </w:rPr>
              <w:t>≤0.30</w:t>
            </w:r>
          </w:p>
        </w:tc>
      </w:tr>
      <w:tr w:rsidR="005B1EAF" w:rsidRPr="007672DA" w:rsidTr="00045135">
        <w:trPr>
          <w:trHeight w:val="270"/>
        </w:trPr>
        <w:tc>
          <w:tcPr>
            <w:tcW w:w="3436" w:type="dxa"/>
            <w:noWrap/>
          </w:tcPr>
          <w:p w:rsidR="005B1EAF" w:rsidRPr="007672DA" w:rsidRDefault="005B1EAF" w:rsidP="00045135">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单笔沪深300ETF持有期限</w:t>
            </w:r>
          </w:p>
        </w:tc>
        <w:tc>
          <w:tcPr>
            <w:tcW w:w="2545" w:type="dxa"/>
            <w:tcBorders>
              <w:bottom w:val="single" w:sz="4" w:space="0" w:color="auto"/>
            </w:tcBorders>
            <w:noWrap/>
            <w:vAlign w:val="center"/>
          </w:tcPr>
          <w:p w:rsidR="005B1EAF" w:rsidRPr="007672DA" w:rsidRDefault="005B1EAF" w:rsidP="00045135">
            <w:pPr>
              <w:widowControl/>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w:t>
            </w:r>
          </w:p>
        </w:tc>
        <w:tc>
          <w:tcPr>
            <w:tcW w:w="2541" w:type="dxa"/>
          </w:tcPr>
          <w:p w:rsidR="005B1EAF" w:rsidRPr="007672DA" w:rsidRDefault="005B1EAF" w:rsidP="00045135">
            <w:pPr>
              <w:widowControl/>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w:t>
            </w:r>
          </w:p>
        </w:tc>
      </w:tr>
      <w:tr w:rsidR="005B1EAF" w:rsidRPr="007672DA" w:rsidTr="00045135">
        <w:trPr>
          <w:trHeight w:val="270"/>
        </w:trPr>
        <w:tc>
          <w:tcPr>
            <w:tcW w:w="3436" w:type="dxa"/>
            <w:noWrap/>
          </w:tcPr>
          <w:p w:rsidR="005B1EAF" w:rsidRPr="007672DA" w:rsidRDefault="005B1EAF" w:rsidP="00045135">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单只理财持仓比例</w:t>
            </w:r>
          </w:p>
        </w:tc>
        <w:tc>
          <w:tcPr>
            <w:tcW w:w="2545" w:type="dxa"/>
            <w:tcBorders>
              <w:bottom w:val="single" w:sz="4" w:space="0" w:color="auto"/>
            </w:tcBorders>
            <w:noWrap/>
            <w:vAlign w:val="center"/>
          </w:tcPr>
          <w:p w:rsidR="005B1EAF" w:rsidRPr="007672DA" w:rsidRDefault="005B1EAF" w:rsidP="007672DA">
            <w:pPr>
              <w:widowControl/>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w:t>
            </w:r>
            <w:r w:rsidR="00E236B4" w:rsidRPr="007672DA">
              <w:rPr>
                <w:rFonts w:asciiTheme="minorEastAsia" w:hAnsiTheme="minorEastAsia" w:cs="Times New Roman" w:hint="eastAsia"/>
                <w:sz w:val="28"/>
                <w:szCs w:val="28"/>
              </w:rPr>
              <w:t>0.</w:t>
            </w:r>
            <w:r w:rsidR="007672DA" w:rsidRPr="007672DA">
              <w:rPr>
                <w:rFonts w:asciiTheme="minorEastAsia" w:hAnsiTheme="minorEastAsia" w:cs="Times New Roman" w:hint="eastAsia"/>
                <w:sz w:val="28"/>
                <w:szCs w:val="28"/>
              </w:rPr>
              <w:t>10</w:t>
            </w:r>
            <w:r w:rsidRPr="007672DA">
              <w:rPr>
                <w:rFonts w:asciiTheme="minorEastAsia" w:hAnsiTheme="minorEastAsia" w:cs="Times New Roman" w:hint="eastAsia"/>
                <w:sz w:val="28"/>
                <w:szCs w:val="28"/>
              </w:rPr>
              <w:t>%</w:t>
            </w:r>
          </w:p>
        </w:tc>
        <w:tc>
          <w:tcPr>
            <w:tcW w:w="2541" w:type="dxa"/>
          </w:tcPr>
          <w:p w:rsidR="005B1EAF" w:rsidRPr="007672DA" w:rsidRDefault="005B1EAF" w:rsidP="00045135">
            <w:pPr>
              <w:widowControl/>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≤净资产的5%</w:t>
            </w:r>
          </w:p>
        </w:tc>
      </w:tr>
      <w:tr w:rsidR="005B1EAF" w:rsidRPr="007672DA" w:rsidTr="00045135">
        <w:trPr>
          <w:trHeight w:val="270"/>
        </w:trPr>
        <w:tc>
          <w:tcPr>
            <w:tcW w:w="3436" w:type="dxa"/>
            <w:noWrap/>
          </w:tcPr>
          <w:p w:rsidR="005B1EAF" w:rsidRPr="007672DA" w:rsidRDefault="005B1EAF" w:rsidP="00045135">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浮亏比例</w:t>
            </w:r>
          </w:p>
        </w:tc>
        <w:tc>
          <w:tcPr>
            <w:tcW w:w="2545" w:type="dxa"/>
            <w:tcBorders>
              <w:bottom w:val="single" w:sz="4" w:space="0" w:color="auto"/>
            </w:tcBorders>
            <w:noWrap/>
            <w:vAlign w:val="center"/>
          </w:tcPr>
          <w:p w:rsidR="005B1EAF" w:rsidRPr="007672DA" w:rsidRDefault="00594A96" w:rsidP="005F475E">
            <w:pPr>
              <w:widowControl/>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w:t>
            </w:r>
            <w:r w:rsidR="005F475E" w:rsidRPr="007672DA">
              <w:rPr>
                <w:rFonts w:asciiTheme="minorEastAsia" w:hAnsiTheme="minorEastAsia" w:cs="Times New Roman" w:hint="eastAsia"/>
                <w:sz w:val="28"/>
                <w:szCs w:val="28"/>
              </w:rPr>
              <w:t>0.40</w:t>
            </w:r>
            <w:r w:rsidR="005B1EAF" w:rsidRPr="007672DA">
              <w:rPr>
                <w:rFonts w:asciiTheme="minorEastAsia" w:hAnsiTheme="minorEastAsia" w:cs="Times New Roman" w:hint="eastAsia"/>
                <w:sz w:val="28"/>
                <w:szCs w:val="28"/>
              </w:rPr>
              <w:t>%</w:t>
            </w:r>
          </w:p>
        </w:tc>
        <w:tc>
          <w:tcPr>
            <w:tcW w:w="2541" w:type="dxa"/>
          </w:tcPr>
          <w:p w:rsidR="005B1EAF" w:rsidRPr="007672DA" w:rsidRDefault="005B1EAF" w:rsidP="00045135">
            <w:pPr>
              <w:widowControl/>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≤10%</w:t>
            </w:r>
          </w:p>
        </w:tc>
      </w:tr>
      <w:tr w:rsidR="005B1EAF" w:rsidRPr="007672DA" w:rsidTr="00045135">
        <w:trPr>
          <w:trHeight w:val="270"/>
        </w:trPr>
        <w:tc>
          <w:tcPr>
            <w:tcW w:w="8522" w:type="dxa"/>
            <w:gridSpan w:val="3"/>
            <w:tcBorders>
              <w:left w:val="nil"/>
              <w:bottom w:val="nil"/>
              <w:right w:val="nil"/>
            </w:tcBorders>
            <w:noWrap/>
          </w:tcPr>
          <w:p w:rsidR="005B1EAF" w:rsidRPr="007672DA" w:rsidRDefault="005B1EAF" w:rsidP="00045135">
            <w:pPr>
              <w:widowControl/>
              <w:adjustRightInd w:val="0"/>
              <w:snapToGrid w:val="0"/>
              <w:jc w:val="left"/>
              <w:rPr>
                <w:rFonts w:ascii="仿宋" w:eastAsia="仿宋" w:hAnsi="仿宋" w:cs="宋体"/>
                <w:color w:val="000000"/>
                <w:kern w:val="0"/>
                <w:sz w:val="28"/>
              </w:rPr>
            </w:pPr>
            <w:r w:rsidRPr="007672DA">
              <w:rPr>
                <w:rFonts w:ascii="仿宋" w:eastAsia="仿宋" w:hAnsi="仿宋" w:cs="宋体" w:hint="eastAsia"/>
                <w:color w:val="000000"/>
                <w:kern w:val="0"/>
                <w:sz w:val="24"/>
              </w:rPr>
              <w:t>数据来源：理财资产管理系统</w:t>
            </w:r>
            <w:r w:rsidRPr="007672DA">
              <w:rPr>
                <w:rFonts w:ascii="仿宋" w:eastAsia="仿宋" w:hAnsi="仿宋" w:cs="宋体" w:hint="eastAsia"/>
                <w:color w:val="000000"/>
                <w:kern w:val="0"/>
                <w:sz w:val="24"/>
                <w:szCs w:val="24"/>
              </w:rPr>
              <w:t>、兆</w:t>
            </w:r>
            <w:proofErr w:type="gramStart"/>
            <w:r w:rsidRPr="007672DA">
              <w:rPr>
                <w:rFonts w:ascii="仿宋" w:eastAsia="仿宋" w:hAnsi="仿宋" w:cs="宋体" w:hint="eastAsia"/>
                <w:color w:val="000000"/>
                <w:kern w:val="0"/>
                <w:sz w:val="24"/>
                <w:szCs w:val="24"/>
              </w:rPr>
              <w:t>尹</w:t>
            </w:r>
            <w:proofErr w:type="gramEnd"/>
            <w:r w:rsidRPr="007672DA">
              <w:rPr>
                <w:rFonts w:ascii="仿宋" w:eastAsia="仿宋" w:hAnsi="仿宋" w:cs="宋体" w:hint="eastAsia"/>
                <w:color w:val="000000"/>
                <w:kern w:val="0"/>
                <w:sz w:val="24"/>
                <w:szCs w:val="24"/>
              </w:rPr>
              <w:t>系统</w:t>
            </w:r>
          </w:p>
        </w:tc>
      </w:tr>
    </w:tbl>
    <w:p w:rsidR="002E04D0" w:rsidRPr="0031419A" w:rsidRDefault="00164675" w:rsidP="002E04D0">
      <w:pPr>
        <w:spacing w:line="560" w:lineRule="exact"/>
        <w:ind w:firstLineChars="200" w:firstLine="643"/>
        <w:rPr>
          <w:rFonts w:ascii="仿宋_GB2312" w:eastAsia="仿宋_GB2312" w:hAnsi="Calibri" w:cs="Times New Roman"/>
          <w:b/>
          <w:sz w:val="32"/>
          <w:szCs w:val="32"/>
        </w:rPr>
      </w:pPr>
      <w:r w:rsidRPr="0031419A">
        <w:rPr>
          <w:rFonts w:ascii="仿宋_GB2312" w:eastAsia="仿宋_GB2312" w:hAnsi="Calibri" w:cs="Times New Roman" w:hint="eastAsia"/>
          <w:b/>
          <w:sz w:val="32"/>
          <w:szCs w:val="32"/>
        </w:rPr>
        <w:t>（</w:t>
      </w:r>
      <w:r w:rsidR="009E2131" w:rsidRPr="0031419A">
        <w:rPr>
          <w:rFonts w:ascii="仿宋_GB2312" w:eastAsia="仿宋_GB2312" w:hAnsi="Calibri" w:cs="Times New Roman" w:hint="eastAsia"/>
          <w:b/>
          <w:sz w:val="32"/>
          <w:szCs w:val="32"/>
        </w:rPr>
        <w:t>二</w:t>
      </w:r>
      <w:r w:rsidRPr="0031419A">
        <w:rPr>
          <w:rFonts w:ascii="仿宋_GB2312" w:eastAsia="仿宋_GB2312" w:hAnsi="Calibri" w:cs="Times New Roman" w:hint="eastAsia"/>
          <w:b/>
          <w:sz w:val="32"/>
          <w:szCs w:val="32"/>
        </w:rPr>
        <w:t>）</w:t>
      </w:r>
      <w:r w:rsidR="00E550BD" w:rsidRPr="0031419A">
        <w:rPr>
          <w:rFonts w:ascii="仿宋_GB2312" w:eastAsia="仿宋_GB2312" w:hAnsi="Calibri" w:cs="Times New Roman" w:hint="eastAsia"/>
          <w:b/>
          <w:sz w:val="32"/>
          <w:szCs w:val="32"/>
        </w:rPr>
        <w:t>交易</w:t>
      </w:r>
      <w:r w:rsidR="00E1535E" w:rsidRPr="0031419A">
        <w:rPr>
          <w:rFonts w:ascii="仿宋_GB2312" w:eastAsia="仿宋_GB2312" w:hAnsi="Calibri" w:cs="Times New Roman" w:hint="eastAsia"/>
          <w:b/>
          <w:sz w:val="32"/>
          <w:szCs w:val="32"/>
        </w:rPr>
        <w:t>行为</w:t>
      </w:r>
      <w:r w:rsidR="002E04D0" w:rsidRPr="0031419A">
        <w:rPr>
          <w:rFonts w:ascii="仿宋_GB2312" w:eastAsia="仿宋_GB2312" w:hAnsi="Calibri" w:cs="Times New Roman" w:hint="eastAsia"/>
          <w:b/>
          <w:sz w:val="32"/>
          <w:szCs w:val="32"/>
        </w:rPr>
        <w:t>监测</w:t>
      </w:r>
    </w:p>
    <w:p w:rsidR="002E04D0" w:rsidRPr="0031419A" w:rsidRDefault="00AD5871" w:rsidP="000E0811">
      <w:pPr>
        <w:spacing w:line="560" w:lineRule="exact"/>
        <w:ind w:firstLineChars="200" w:firstLine="643"/>
        <w:rPr>
          <w:rFonts w:ascii="仿宋_GB2312" w:eastAsia="仿宋_GB2312" w:hAnsi="Calibri" w:cs="Times New Roman"/>
          <w:b/>
          <w:sz w:val="32"/>
          <w:szCs w:val="32"/>
        </w:rPr>
      </w:pPr>
      <w:r w:rsidRPr="0031419A">
        <w:rPr>
          <w:rFonts w:ascii="仿宋_GB2312" w:eastAsia="仿宋_GB2312" w:hAnsi="Calibri" w:cs="Times New Roman" w:hint="eastAsia"/>
          <w:b/>
          <w:sz w:val="32"/>
          <w:szCs w:val="32"/>
        </w:rPr>
        <w:t>1</w:t>
      </w:r>
      <w:r w:rsidR="009D17AA" w:rsidRPr="0031419A">
        <w:rPr>
          <w:rFonts w:ascii="仿宋_GB2312" w:eastAsia="仿宋_GB2312" w:hAnsi="Calibri" w:cs="Times New Roman" w:hint="eastAsia"/>
          <w:b/>
          <w:sz w:val="32"/>
          <w:szCs w:val="32"/>
        </w:rPr>
        <w:t>.</w:t>
      </w:r>
      <w:r w:rsidR="00866599" w:rsidRPr="0031419A">
        <w:rPr>
          <w:rFonts w:ascii="仿宋_GB2312" w:eastAsia="仿宋_GB2312" w:hAnsi="Calibri" w:cs="Times New Roman" w:hint="eastAsia"/>
          <w:b/>
          <w:sz w:val="32"/>
          <w:szCs w:val="32"/>
        </w:rPr>
        <w:t>过</w:t>
      </w:r>
      <w:proofErr w:type="gramStart"/>
      <w:r w:rsidR="00866599" w:rsidRPr="0031419A">
        <w:rPr>
          <w:rFonts w:ascii="仿宋_GB2312" w:eastAsia="仿宋_GB2312" w:hAnsi="Calibri" w:cs="Times New Roman" w:hint="eastAsia"/>
          <w:b/>
          <w:sz w:val="32"/>
          <w:szCs w:val="32"/>
        </w:rPr>
        <w:t>券</w:t>
      </w:r>
      <w:proofErr w:type="gramEnd"/>
      <w:r w:rsidR="00866599" w:rsidRPr="0031419A">
        <w:rPr>
          <w:rFonts w:ascii="仿宋_GB2312" w:eastAsia="仿宋_GB2312" w:hAnsi="Calibri" w:cs="Times New Roman" w:hint="eastAsia"/>
          <w:b/>
          <w:sz w:val="32"/>
          <w:szCs w:val="32"/>
        </w:rPr>
        <w:t>交易</w:t>
      </w:r>
    </w:p>
    <w:p w:rsidR="00866599" w:rsidRPr="0031419A" w:rsidRDefault="008E4D4F" w:rsidP="008E4D4F">
      <w:pPr>
        <w:spacing w:line="560" w:lineRule="exact"/>
        <w:ind w:firstLineChars="200" w:firstLine="640"/>
        <w:rPr>
          <w:rFonts w:ascii="仿宋_GB2312" w:eastAsia="仿宋_GB2312" w:hAnsi="Calibri" w:cs="Times New Roman"/>
          <w:sz w:val="32"/>
          <w:szCs w:val="32"/>
        </w:rPr>
      </w:pPr>
      <w:r w:rsidRPr="0031419A">
        <w:rPr>
          <w:rFonts w:ascii="仿宋_GB2312" w:eastAsia="仿宋_GB2312" w:hAnsi="Calibri" w:cs="Times New Roman" w:hint="eastAsia"/>
          <w:sz w:val="32"/>
          <w:szCs w:val="32"/>
        </w:rPr>
        <w:t>本次监测对</w:t>
      </w:r>
      <w:r w:rsidR="00CB065D" w:rsidRPr="0031419A">
        <w:rPr>
          <w:rFonts w:ascii="仿宋_GB2312" w:eastAsia="仿宋_GB2312" w:hAnsi="Calibri" w:cs="Times New Roman" w:hint="eastAsia"/>
          <w:sz w:val="32"/>
          <w:szCs w:val="32"/>
        </w:rPr>
        <w:t>2021年</w:t>
      </w:r>
      <w:r w:rsidR="007672DA" w:rsidRPr="0031419A">
        <w:rPr>
          <w:rFonts w:ascii="仿宋_GB2312" w:eastAsia="仿宋_GB2312" w:hAnsi="Calibri" w:cs="Times New Roman" w:hint="eastAsia"/>
          <w:sz w:val="32"/>
          <w:szCs w:val="32"/>
        </w:rPr>
        <w:t>5</w:t>
      </w:r>
      <w:r w:rsidR="00CB065D" w:rsidRPr="0031419A">
        <w:rPr>
          <w:rFonts w:ascii="仿宋_GB2312" w:eastAsia="仿宋_GB2312" w:hAnsi="Calibri" w:cs="Times New Roman" w:hint="eastAsia"/>
          <w:sz w:val="32"/>
          <w:szCs w:val="32"/>
        </w:rPr>
        <w:t>月</w:t>
      </w:r>
      <w:r w:rsidR="007672DA" w:rsidRPr="0031419A">
        <w:rPr>
          <w:rFonts w:ascii="仿宋_GB2312" w:eastAsia="仿宋_GB2312" w:hAnsi="Calibri" w:cs="Times New Roman" w:hint="eastAsia"/>
          <w:sz w:val="32"/>
          <w:szCs w:val="32"/>
        </w:rPr>
        <w:t>6</w:t>
      </w:r>
      <w:r w:rsidR="00CB065D" w:rsidRPr="0031419A">
        <w:rPr>
          <w:rFonts w:ascii="仿宋_GB2312" w:eastAsia="仿宋_GB2312" w:hAnsi="Calibri" w:cs="Times New Roman" w:hint="eastAsia"/>
          <w:sz w:val="32"/>
          <w:szCs w:val="32"/>
        </w:rPr>
        <w:t>日至2021年</w:t>
      </w:r>
      <w:r w:rsidR="007672DA" w:rsidRPr="0031419A">
        <w:rPr>
          <w:rFonts w:ascii="仿宋_GB2312" w:eastAsia="仿宋_GB2312" w:hAnsi="Calibri" w:cs="Times New Roman" w:hint="eastAsia"/>
          <w:sz w:val="32"/>
          <w:szCs w:val="32"/>
        </w:rPr>
        <w:t>5</w:t>
      </w:r>
      <w:r w:rsidR="00CB065D" w:rsidRPr="0031419A">
        <w:rPr>
          <w:rFonts w:ascii="仿宋_GB2312" w:eastAsia="仿宋_GB2312" w:hAnsi="Calibri" w:cs="Times New Roman" w:hint="eastAsia"/>
          <w:sz w:val="32"/>
          <w:szCs w:val="32"/>
        </w:rPr>
        <w:t>月</w:t>
      </w:r>
      <w:r w:rsidR="007672DA" w:rsidRPr="0031419A">
        <w:rPr>
          <w:rFonts w:ascii="仿宋_GB2312" w:eastAsia="仿宋_GB2312" w:hAnsi="Calibri" w:cs="Times New Roman" w:hint="eastAsia"/>
          <w:sz w:val="32"/>
          <w:szCs w:val="32"/>
        </w:rPr>
        <w:t>8</w:t>
      </w:r>
      <w:r w:rsidR="00CB065D" w:rsidRPr="0031419A">
        <w:rPr>
          <w:rFonts w:ascii="仿宋_GB2312" w:eastAsia="仿宋_GB2312" w:hAnsi="Calibri" w:cs="Times New Roman" w:hint="eastAsia"/>
          <w:sz w:val="32"/>
          <w:szCs w:val="32"/>
        </w:rPr>
        <w:t>日</w:t>
      </w:r>
      <w:r w:rsidRPr="0031419A">
        <w:rPr>
          <w:rFonts w:ascii="仿宋_GB2312" w:eastAsia="仿宋_GB2312" w:hAnsi="Calibri" w:cs="Times New Roman" w:hint="eastAsia"/>
          <w:sz w:val="32"/>
          <w:szCs w:val="32"/>
        </w:rPr>
        <w:t>期间同业业务中心COMSTAR系统</w:t>
      </w:r>
      <w:r w:rsidR="00046CD6" w:rsidRPr="0031419A">
        <w:rPr>
          <w:rFonts w:ascii="仿宋_GB2312" w:eastAsia="仿宋_GB2312" w:hAnsi="Calibri" w:cs="Times New Roman" w:hint="eastAsia"/>
          <w:sz w:val="32"/>
          <w:szCs w:val="32"/>
        </w:rPr>
        <w:t>和</w:t>
      </w:r>
      <w:r w:rsidR="0022695A" w:rsidRPr="0031419A">
        <w:rPr>
          <w:rFonts w:ascii="仿宋_GB2312" w:eastAsia="仿宋_GB2312" w:hAnsi="Calibri" w:cs="Times New Roman" w:hint="eastAsia"/>
          <w:sz w:val="32"/>
          <w:szCs w:val="32"/>
        </w:rPr>
        <w:t>资金业务管理系统</w:t>
      </w:r>
      <w:r w:rsidR="001476BB" w:rsidRPr="0031419A">
        <w:rPr>
          <w:rFonts w:ascii="仿宋_GB2312" w:eastAsia="仿宋_GB2312" w:hAnsi="Calibri" w:cs="Times New Roman" w:hint="eastAsia"/>
          <w:sz w:val="32"/>
          <w:szCs w:val="32"/>
        </w:rPr>
        <w:t>，以及</w:t>
      </w:r>
      <w:r w:rsidR="0022695A" w:rsidRPr="0031419A">
        <w:rPr>
          <w:rFonts w:ascii="仿宋_GB2312" w:eastAsia="仿宋_GB2312" w:hAnsi="Calibri" w:cs="Times New Roman" w:hint="eastAsia"/>
          <w:sz w:val="32"/>
          <w:szCs w:val="32"/>
        </w:rPr>
        <w:t>理财资产管理系统</w:t>
      </w:r>
      <w:r w:rsidR="006C0063" w:rsidRPr="0031419A">
        <w:rPr>
          <w:rFonts w:ascii="仿宋_GB2312" w:eastAsia="仿宋_GB2312" w:hAnsi="Calibri" w:cs="Times New Roman" w:hint="eastAsia"/>
          <w:sz w:val="32"/>
          <w:szCs w:val="32"/>
        </w:rPr>
        <w:t>、兆</w:t>
      </w:r>
      <w:proofErr w:type="gramStart"/>
      <w:r w:rsidR="006C0063" w:rsidRPr="0031419A">
        <w:rPr>
          <w:rFonts w:ascii="仿宋_GB2312" w:eastAsia="仿宋_GB2312" w:hAnsi="Calibri" w:cs="Times New Roman" w:hint="eastAsia"/>
          <w:sz w:val="32"/>
          <w:szCs w:val="32"/>
        </w:rPr>
        <w:t>尹</w:t>
      </w:r>
      <w:proofErr w:type="gramEnd"/>
      <w:r w:rsidR="006C0063" w:rsidRPr="0031419A">
        <w:rPr>
          <w:rFonts w:ascii="仿宋_GB2312" w:eastAsia="仿宋_GB2312" w:hAnsi="Calibri" w:cs="Times New Roman" w:hint="eastAsia"/>
          <w:sz w:val="32"/>
          <w:szCs w:val="32"/>
        </w:rPr>
        <w:t>系统</w:t>
      </w:r>
      <w:r w:rsidRPr="0031419A">
        <w:rPr>
          <w:rFonts w:ascii="仿宋_GB2312" w:eastAsia="仿宋_GB2312" w:hAnsi="Calibri" w:cs="Times New Roman" w:hint="eastAsia"/>
          <w:sz w:val="32"/>
          <w:szCs w:val="32"/>
        </w:rPr>
        <w:t>中存在单日同一债券反向交易行为进行监测，</w:t>
      </w:r>
      <w:r w:rsidR="0046402A" w:rsidRPr="0031419A">
        <w:rPr>
          <w:rFonts w:ascii="仿宋_GB2312" w:eastAsia="仿宋_GB2312" w:hAnsi="Calibri" w:cs="Times New Roman" w:hint="eastAsia"/>
          <w:sz w:val="32"/>
          <w:szCs w:val="32"/>
        </w:rPr>
        <w:t>除理财转</w:t>
      </w:r>
      <w:proofErr w:type="gramStart"/>
      <w:r w:rsidR="0046402A" w:rsidRPr="0031419A">
        <w:rPr>
          <w:rFonts w:ascii="仿宋_GB2312" w:eastAsia="仿宋_GB2312" w:hAnsi="Calibri" w:cs="Times New Roman" w:hint="eastAsia"/>
          <w:sz w:val="32"/>
          <w:szCs w:val="32"/>
        </w:rPr>
        <w:t>仓交易</w:t>
      </w:r>
      <w:proofErr w:type="gramEnd"/>
      <w:r w:rsidR="0046402A" w:rsidRPr="0031419A">
        <w:rPr>
          <w:rFonts w:ascii="仿宋_GB2312" w:eastAsia="仿宋_GB2312" w:hAnsi="Calibri" w:cs="Times New Roman" w:hint="eastAsia"/>
          <w:sz w:val="32"/>
          <w:szCs w:val="32"/>
        </w:rPr>
        <w:t>外，</w:t>
      </w:r>
      <w:r w:rsidRPr="0031419A">
        <w:rPr>
          <w:rFonts w:ascii="仿宋_GB2312" w:eastAsia="仿宋_GB2312" w:hAnsi="Calibri" w:cs="Times New Roman" w:hint="eastAsia"/>
          <w:sz w:val="32"/>
          <w:szCs w:val="32"/>
        </w:rPr>
        <w:t>未发现新增监测事项。</w:t>
      </w:r>
    </w:p>
    <w:p w:rsidR="00866599" w:rsidRPr="0031419A" w:rsidRDefault="007260A8" w:rsidP="00866599">
      <w:pPr>
        <w:spacing w:line="560" w:lineRule="exact"/>
        <w:ind w:firstLineChars="200" w:firstLine="643"/>
        <w:rPr>
          <w:rFonts w:ascii="仿宋_GB2312" w:eastAsia="仿宋_GB2312" w:hAnsi="Calibri" w:cs="Times New Roman"/>
          <w:b/>
          <w:sz w:val="32"/>
          <w:szCs w:val="32"/>
        </w:rPr>
      </w:pPr>
      <w:r w:rsidRPr="0031419A">
        <w:rPr>
          <w:rFonts w:ascii="仿宋_GB2312" w:eastAsia="仿宋_GB2312" w:hAnsi="Calibri" w:cs="Times New Roman" w:hint="eastAsia"/>
          <w:b/>
          <w:sz w:val="32"/>
          <w:szCs w:val="32"/>
        </w:rPr>
        <w:t>2</w:t>
      </w:r>
      <w:r w:rsidR="00866599" w:rsidRPr="0031419A">
        <w:rPr>
          <w:rFonts w:ascii="仿宋_GB2312" w:eastAsia="仿宋_GB2312" w:hAnsi="Calibri" w:cs="Times New Roman" w:hint="eastAsia"/>
          <w:b/>
          <w:sz w:val="32"/>
          <w:szCs w:val="32"/>
        </w:rPr>
        <w:t>.</w:t>
      </w:r>
      <w:proofErr w:type="gramStart"/>
      <w:r w:rsidR="00866599" w:rsidRPr="0031419A">
        <w:rPr>
          <w:rFonts w:ascii="仿宋_GB2312" w:eastAsia="仿宋_GB2312" w:hAnsi="Calibri" w:cs="Times New Roman" w:hint="eastAsia"/>
          <w:b/>
          <w:sz w:val="32"/>
          <w:szCs w:val="32"/>
        </w:rPr>
        <w:t>代持交易</w:t>
      </w:r>
      <w:proofErr w:type="gramEnd"/>
    </w:p>
    <w:p w:rsidR="00F92E31" w:rsidRPr="0031419A" w:rsidRDefault="00B007AB" w:rsidP="00556E8D">
      <w:pPr>
        <w:spacing w:line="560" w:lineRule="exact"/>
        <w:ind w:firstLineChars="200" w:firstLine="640"/>
        <w:rPr>
          <w:rFonts w:ascii="仿宋_GB2312" w:eastAsia="仿宋_GB2312" w:hAnsi="Calibri" w:cs="Times New Roman"/>
          <w:sz w:val="32"/>
          <w:szCs w:val="32"/>
        </w:rPr>
      </w:pPr>
      <w:r w:rsidRPr="0031419A">
        <w:rPr>
          <w:rFonts w:ascii="仿宋_GB2312" w:eastAsia="仿宋_GB2312" w:hAnsi="Calibri" w:cs="Times New Roman" w:hint="eastAsia"/>
          <w:sz w:val="32"/>
          <w:szCs w:val="32"/>
        </w:rPr>
        <w:t>本次监测范围为COMSTAR系统</w:t>
      </w:r>
      <w:r w:rsidR="00046CD6" w:rsidRPr="0031419A">
        <w:rPr>
          <w:rFonts w:ascii="仿宋_GB2312" w:eastAsia="仿宋_GB2312" w:hAnsi="Calibri" w:cs="Times New Roman" w:hint="eastAsia"/>
          <w:sz w:val="32"/>
          <w:szCs w:val="32"/>
        </w:rPr>
        <w:t>和</w:t>
      </w:r>
      <w:r w:rsidR="0022695A" w:rsidRPr="0031419A">
        <w:rPr>
          <w:rFonts w:ascii="仿宋_GB2312" w:eastAsia="仿宋_GB2312" w:hAnsi="Calibri" w:cs="Times New Roman" w:hint="eastAsia"/>
          <w:sz w:val="32"/>
          <w:szCs w:val="32"/>
        </w:rPr>
        <w:t>资金业务管理系统</w:t>
      </w:r>
      <w:r w:rsidR="001476BB" w:rsidRPr="0031419A">
        <w:rPr>
          <w:rFonts w:ascii="仿宋_GB2312" w:eastAsia="仿宋_GB2312" w:hAnsi="Calibri" w:cs="Times New Roman" w:hint="eastAsia"/>
          <w:sz w:val="32"/>
          <w:szCs w:val="32"/>
        </w:rPr>
        <w:t>，以及</w:t>
      </w:r>
      <w:r w:rsidR="0022695A" w:rsidRPr="0031419A">
        <w:rPr>
          <w:rFonts w:ascii="仿宋_GB2312" w:eastAsia="仿宋_GB2312" w:hAnsi="Calibri" w:cs="Times New Roman" w:hint="eastAsia"/>
          <w:sz w:val="32"/>
          <w:szCs w:val="32"/>
        </w:rPr>
        <w:t>理财资产管理系统</w:t>
      </w:r>
      <w:r w:rsidR="006C0063" w:rsidRPr="0031419A">
        <w:rPr>
          <w:rFonts w:ascii="仿宋_GB2312" w:eastAsia="仿宋_GB2312" w:hAnsi="Calibri" w:cs="Times New Roman" w:hint="eastAsia"/>
          <w:sz w:val="32"/>
          <w:szCs w:val="32"/>
        </w:rPr>
        <w:t>、兆</w:t>
      </w:r>
      <w:proofErr w:type="gramStart"/>
      <w:r w:rsidR="006C0063" w:rsidRPr="0031419A">
        <w:rPr>
          <w:rFonts w:ascii="仿宋_GB2312" w:eastAsia="仿宋_GB2312" w:hAnsi="Calibri" w:cs="Times New Roman" w:hint="eastAsia"/>
          <w:sz w:val="32"/>
          <w:szCs w:val="32"/>
        </w:rPr>
        <w:t>尹</w:t>
      </w:r>
      <w:proofErr w:type="gramEnd"/>
      <w:r w:rsidR="006C0063" w:rsidRPr="0031419A">
        <w:rPr>
          <w:rFonts w:ascii="仿宋_GB2312" w:eastAsia="仿宋_GB2312" w:hAnsi="Calibri" w:cs="Times New Roman" w:hint="eastAsia"/>
          <w:sz w:val="32"/>
          <w:szCs w:val="32"/>
        </w:rPr>
        <w:t>系统</w:t>
      </w:r>
      <w:r w:rsidRPr="0031419A">
        <w:rPr>
          <w:rFonts w:ascii="仿宋_GB2312" w:eastAsia="仿宋_GB2312" w:hAnsi="Calibri" w:cs="Times New Roman" w:hint="eastAsia"/>
          <w:sz w:val="32"/>
          <w:szCs w:val="32"/>
        </w:rPr>
        <w:t>中</w:t>
      </w:r>
      <w:r w:rsidR="00C4321F" w:rsidRPr="0031419A">
        <w:rPr>
          <w:rFonts w:ascii="仿宋_GB2312" w:eastAsia="仿宋_GB2312" w:hAnsi="Calibri" w:cs="Times New Roman" w:hint="eastAsia"/>
          <w:sz w:val="32"/>
          <w:szCs w:val="32"/>
        </w:rPr>
        <w:t>2021年</w:t>
      </w:r>
      <w:r w:rsidR="007672DA" w:rsidRPr="0031419A">
        <w:rPr>
          <w:rFonts w:ascii="仿宋_GB2312" w:eastAsia="仿宋_GB2312" w:hAnsi="Calibri" w:cs="Times New Roman" w:hint="eastAsia"/>
          <w:sz w:val="32"/>
          <w:szCs w:val="32"/>
        </w:rPr>
        <w:t>5</w:t>
      </w:r>
      <w:r w:rsidR="00C4321F" w:rsidRPr="0031419A">
        <w:rPr>
          <w:rFonts w:ascii="仿宋_GB2312" w:eastAsia="仿宋_GB2312" w:hAnsi="Calibri" w:cs="Times New Roman" w:hint="eastAsia"/>
          <w:sz w:val="32"/>
          <w:szCs w:val="32"/>
        </w:rPr>
        <w:t>月</w:t>
      </w:r>
      <w:r w:rsidR="007672DA" w:rsidRPr="0031419A">
        <w:rPr>
          <w:rFonts w:ascii="仿宋_GB2312" w:eastAsia="仿宋_GB2312" w:hAnsi="Calibri" w:cs="Times New Roman" w:hint="eastAsia"/>
          <w:sz w:val="32"/>
          <w:szCs w:val="32"/>
        </w:rPr>
        <w:t>6</w:t>
      </w:r>
      <w:r w:rsidR="00C4321F" w:rsidRPr="0031419A">
        <w:rPr>
          <w:rFonts w:ascii="仿宋_GB2312" w:eastAsia="仿宋_GB2312" w:hAnsi="Calibri" w:cs="Times New Roman" w:hint="eastAsia"/>
          <w:sz w:val="32"/>
          <w:szCs w:val="32"/>
        </w:rPr>
        <w:t>日至2021年</w:t>
      </w:r>
      <w:r w:rsidR="007672DA" w:rsidRPr="0031419A">
        <w:rPr>
          <w:rFonts w:ascii="仿宋_GB2312" w:eastAsia="仿宋_GB2312" w:hAnsi="Calibri" w:cs="Times New Roman" w:hint="eastAsia"/>
          <w:sz w:val="32"/>
          <w:szCs w:val="32"/>
        </w:rPr>
        <w:t>5</w:t>
      </w:r>
      <w:r w:rsidR="00C4321F" w:rsidRPr="0031419A">
        <w:rPr>
          <w:rFonts w:ascii="仿宋_GB2312" w:eastAsia="仿宋_GB2312" w:hAnsi="Calibri" w:cs="Times New Roman" w:hint="eastAsia"/>
          <w:sz w:val="32"/>
          <w:szCs w:val="32"/>
        </w:rPr>
        <w:t>月</w:t>
      </w:r>
      <w:r w:rsidR="007672DA" w:rsidRPr="0031419A">
        <w:rPr>
          <w:rFonts w:ascii="仿宋_GB2312" w:eastAsia="仿宋_GB2312" w:hAnsi="Calibri" w:cs="Times New Roman" w:hint="eastAsia"/>
          <w:sz w:val="32"/>
          <w:szCs w:val="32"/>
        </w:rPr>
        <w:t>8</w:t>
      </w:r>
      <w:r w:rsidR="00C4321F" w:rsidRPr="0031419A">
        <w:rPr>
          <w:rFonts w:ascii="仿宋_GB2312" w:eastAsia="仿宋_GB2312" w:hAnsi="Calibri" w:cs="Times New Roman" w:hint="eastAsia"/>
          <w:sz w:val="32"/>
          <w:szCs w:val="32"/>
        </w:rPr>
        <w:t>日</w:t>
      </w:r>
      <w:r w:rsidRPr="0031419A">
        <w:rPr>
          <w:rFonts w:ascii="仿宋_GB2312" w:eastAsia="仿宋_GB2312" w:hAnsi="Calibri" w:cs="Times New Roman" w:hint="eastAsia"/>
          <w:sz w:val="32"/>
          <w:szCs w:val="32"/>
        </w:rPr>
        <w:t>期间与同一交易对手同券种同金额反向交易行为，未发现新增监测事项。</w:t>
      </w:r>
    </w:p>
    <w:p w:rsidR="00E37074" w:rsidRPr="00E7080C" w:rsidRDefault="00E4241B" w:rsidP="00D12E03">
      <w:pPr>
        <w:spacing w:line="560" w:lineRule="exact"/>
        <w:ind w:firstLineChars="200" w:firstLine="643"/>
        <w:rPr>
          <w:rFonts w:ascii="仿宋_GB2312" w:eastAsia="仿宋_GB2312" w:hAnsi="Calibri" w:cs="Times New Roman"/>
          <w:b/>
          <w:sz w:val="32"/>
          <w:szCs w:val="32"/>
        </w:rPr>
      </w:pPr>
      <w:r w:rsidRPr="00E7080C">
        <w:rPr>
          <w:rFonts w:ascii="仿宋_GB2312" w:eastAsia="仿宋_GB2312" w:hAnsi="Calibri" w:cs="Times New Roman" w:hint="eastAsia"/>
          <w:b/>
          <w:sz w:val="32"/>
          <w:szCs w:val="32"/>
        </w:rPr>
        <w:t>（</w:t>
      </w:r>
      <w:r w:rsidR="009C1B08" w:rsidRPr="00E7080C">
        <w:rPr>
          <w:rFonts w:ascii="仿宋_GB2312" w:eastAsia="仿宋_GB2312" w:hAnsi="Calibri" w:cs="Times New Roman" w:hint="eastAsia"/>
          <w:b/>
          <w:sz w:val="32"/>
          <w:szCs w:val="32"/>
        </w:rPr>
        <w:t>三</w:t>
      </w:r>
      <w:r w:rsidRPr="00E7080C">
        <w:rPr>
          <w:rFonts w:ascii="仿宋_GB2312" w:eastAsia="仿宋_GB2312" w:hAnsi="Calibri" w:cs="Times New Roman" w:hint="eastAsia"/>
          <w:b/>
          <w:sz w:val="32"/>
          <w:szCs w:val="32"/>
        </w:rPr>
        <w:t>）</w:t>
      </w:r>
      <w:r w:rsidR="002E04D0" w:rsidRPr="00E7080C">
        <w:rPr>
          <w:rFonts w:ascii="仿宋_GB2312" w:eastAsia="仿宋_GB2312" w:hAnsi="Calibri" w:cs="Times New Roman" w:hint="eastAsia"/>
          <w:b/>
          <w:sz w:val="32"/>
          <w:szCs w:val="32"/>
        </w:rPr>
        <w:t>负面舆情监测</w:t>
      </w:r>
    </w:p>
    <w:p w:rsidR="00E7080C" w:rsidRPr="00E7080C" w:rsidRDefault="00E7080C" w:rsidP="00E7080C">
      <w:pPr>
        <w:spacing w:line="560" w:lineRule="exact"/>
        <w:ind w:firstLineChars="200" w:firstLine="640"/>
        <w:rPr>
          <w:rFonts w:ascii="仿宋_GB2312" w:eastAsia="仿宋_GB2312" w:hAnsi="Calibri" w:cs="Times New Roman"/>
          <w:sz w:val="32"/>
          <w:szCs w:val="32"/>
        </w:rPr>
      </w:pPr>
      <w:r w:rsidRPr="00E7080C">
        <w:rPr>
          <w:rFonts w:ascii="仿宋_GB2312" w:eastAsia="仿宋_GB2312" w:hAnsi="Calibri" w:cs="Times New Roman" w:hint="eastAsia"/>
          <w:sz w:val="32"/>
          <w:szCs w:val="32"/>
        </w:rPr>
        <w:lastRenderedPageBreak/>
        <w:t>自媒体报道称因“中信信托</w:t>
      </w:r>
      <w:r w:rsidRPr="00E7080C">
        <w:rPr>
          <w:rFonts w:ascii="宋体" w:eastAsia="宋体" w:hAnsi="宋体" w:cs="宋体" w:hint="eastAsia"/>
          <w:sz w:val="32"/>
          <w:szCs w:val="32"/>
        </w:rPr>
        <w:t>•</w:t>
      </w:r>
      <w:r w:rsidRPr="00E7080C">
        <w:rPr>
          <w:rFonts w:ascii="仿宋" w:eastAsia="仿宋" w:hAnsi="仿宋" w:cs="仿宋" w:hint="eastAsia"/>
          <w:sz w:val="32"/>
          <w:szCs w:val="32"/>
        </w:rPr>
        <w:t>贵州遵义播州区国投应收账款流动化信托二期”已逾期超过</w:t>
      </w:r>
      <w:r w:rsidRPr="00E7080C">
        <w:rPr>
          <w:rFonts w:ascii="仿宋_GB2312" w:eastAsia="仿宋_GB2312" w:hAnsi="Calibri" w:cs="Times New Roman" w:hint="eastAsia"/>
          <w:sz w:val="32"/>
          <w:szCs w:val="32"/>
        </w:rPr>
        <w:t>4个月，中信信托已正式向法院提起司法诉讼；该信托成立于2017年12月，期限为3年，计划到期日为2021年1月10日，融资方为遵义市播州区国有资产投资经营（集团）有限责任公司（以下简称“播州国投”），由遵义市播州区城市建设投资经营（集团）有限公司（以下简称“播州城投”）、遵义苟江投资建设有限责任公司提供保证担保，本次发生逾期的信托本金规模约2.55亿元。</w:t>
      </w:r>
    </w:p>
    <w:p w:rsidR="00283446" w:rsidRDefault="00E7080C" w:rsidP="00E7080C">
      <w:pPr>
        <w:spacing w:line="560" w:lineRule="exact"/>
        <w:ind w:firstLineChars="200" w:firstLine="640"/>
        <w:rPr>
          <w:rFonts w:ascii="仿宋_GB2312" w:eastAsia="仿宋_GB2312" w:hAnsi="Calibri" w:cs="Times New Roman"/>
          <w:sz w:val="32"/>
          <w:szCs w:val="32"/>
        </w:rPr>
      </w:pPr>
      <w:r w:rsidRPr="00E7080C">
        <w:rPr>
          <w:rFonts w:ascii="仿宋_GB2312" w:eastAsia="仿宋_GB2312" w:hAnsi="Calibri" w:cs="Times New Roman" w:hint="eastAsia"/>
          <w:sz w:val="32"/>
          <w:szCs w:val="32"/>
        </w:rPr>
        <w:t>贵州地区城投非标逾期屡屡发生，遵义市是非标负面的“重灾区”，本次也是非首次播州国投、播州城投非标违约。2020年1月“中电投先融播州资产管理计划”（融资方为播州国投、担保方为播州城投）也曾被爆出逾期；此外，根据企查查显示2021年4月15日播州国投、播州城投均因自身失信被限制高消费，申请人</w:t>
      </w:r>
      <w:proofErr w:type="gramStart"/>
      <w:r w:rsidRPr="00E7080C">
        <w:rPr>
          <w:rFonts w:ascii="仿宋_GB2312" w:eastAsia="仿宋_GB2312" w:hAnsi="Calibri" w:cs="Times New Roman" w:hint="eastAsia"/>
          <w:sz w:val="32"/>
          <w:szCs w:val="32"/>
        </w:rPr>
        <w:t>为华融国际</w:t>
      </w:r>
      <w:proofErr w:type="gramEnd"/>
      <w:r w:rsidRPr="00E7080C">
        <w:rPr>
          <w:rFonts w:ascii="仿宋_GB2312" w:eastAsia="仿宋_GB2312" w:hAnsi="Calibri" w:cs="Times New Roman" w:hint="eastAsia"/>
          <w:sz w:val="32"/>
          <w:szCs w:val="32"/>
        </w:rPr>
        <w:t>信托有限责任公司，主要系源于金融借款合同纠纷，被执行金额约1.49亿元，判断也是非标违约所致。屡次非标违约表现播州国投、播州城投自身流动性非常紧张，播州国</w:t>
      </w:r>
      <w:proofErr w:type="gramStart"/>
      <w:r w:rsidRPr="00E7080C">
        <w:rPr>
          <w:rFonts w:ascii="仿宋_GB2312" w:eastAsia="仿宋_GB2312" w:hAnsi="Calibri" w:cs="Times New Roman" w:hint="eastAsia"/>
          <w:sz w:val="32"/>
          <w:szCs w:val="32"/>
        </w:rPr>
        <w:t>投目前</w:t>
      </w:r>
      <w:proofErr w:type="gramEnd"/>
      <w:r w:rsidRPr="00E7080C">
        <w:rPr>
          <w:rFonts w:ascii="仿宋_GB2312" w:eastAsia="仿宋_GB2312" w:hAnsi="Calibri" w:cs="Times New Roman" w:hint="eastAsia"/>
          <w:sz w:val="32"/>
          <w:szCs w:val="32"/>
        </w:rPr>
        <w:t>无存续债，播州城</w:t>
      </w:r>
      <w:proofErr w:type="gramStart"/>
      <w:r w:rsidRPr="00E7080C">
        <w:rPr>
          <w:rFonts w:ascii="仿宋_GB2312" w:eastAsia="仿宋_GB2312" w:hAnsi="Calibri" w:cs="Times New Roman" w:hint="eastAsia"/>
          <w:sz w:val="32"/>
          <w:szCs w:val="32"/>
        </w:rPr>
        <w:t>投目前</w:t>
      </w:r>
      <w:proofErr w:type="gramEnd"/>
      <w:r w:rsidRPr="00E7080C">
        <w:rPr>
          <w:rFonts w:ascii="仿宋_GB2312" w:eastAsia="仿宋_GB2312" w:hAnsi="Calibri" w:cs="Times New Roman" w:hint="eastAsia"/>
          <w:sz w:val="32"/>
          <w:szCs w:val="32"/>
        </w:rPr>
        <w:t>存续债12亿元，一年内行权及到期3亿元，但截至2020年末账面货币资金仅1.49亿元，短期偿债压力重，目前地方政府还在积极协调金融资源以保证公开市场债券</w:t>
      </w:r>
      <w:proofErr w:type="gramStart"/>
      <w:r w:rsidRPr="00E7080C">
        <w:rPr>
          <w:rFonts w:ascii="仿宋_GB2312" w:eastAsia="仿宋_GB2312" w:hAnsi="Calibri" w:cs="Times New Roman" w:hint="eastAsia"/>
          <w:sz w:val="32"/>
          <w:szCs w:val="32"/>
        </w:rPr>
        <w:t>不</w:t>
      </w:r>
      <w:proofErr w:type="gramEnd"/>
      <w:r w:rsidRPr="00E7080C">
        <w:rPr>
          <w:rFonts w:ascii="仿宋_GB2312" w:eastAsia="仿宋_GB2312" w:hAnsi="Calibri" w:cs="Times New Roman" w:hint="eastAsia"/>
          <w:sz w:val="32"/>
          <w:szCs w:val="32"/>
        </w:rPr>
        <w:t>违约，播</w:t>
      </w:r>
      <w:r>
        <w:rPr>
          <w:rFonts w:ascii="仿宋_GB2312" w:eastAsia="仿宋_GB2312" w:hAnsi="Calibri" w:cs="Times New Roman" w:hint="eastAsia"/>
          <w:sz w:val="32"/>
          <w:szCs w:val="32"/>
        </w:rPr>
        <w:t>州城投存续债兑付情况还需关注地方政府协调金融资源的能力及意愿。</w:t>
      </w:r>
    </w:p>
    <w:sectPr w:rsidR="00283446" w:rsidSect="007C2054">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3F78" w:rsidRDefault="00A63F78" w:rsidP="007753CC">
      <w:r>
        <w:separator/>
      </w:r>
    </w:p>
  </w:endnote>
  <w:endnote w:type="continuationSeparator" w:id="0">
    <w:p w:rsidR="00A63F78" w:rsidRDefault="00A63F78" w:rsidP="00775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FangSong">
    <w:altName w:val="Arial Unicode MS"/>
    <w:panose1 w:val="00000000000000000000"/>
    <w:charset w:val="00"/>
    <w:family w:val="swiss"/>
    <w:notTrueType/>
    <w:pitch w:val="default"/>
    <w:sig w:usb0="00000000" w:usb1="080E0000" w:usb2="00000010" w:usb3="00000000" w:csb0="00040001" w:csb1="00000000"/>
  </w:font>
  <w:font w:name="Arial Unicode MS">
    <w:panose1 w:val="020B0604020202020204"/>
    <w:charset w:val="86"/>
    <w:family w:val="swiss"/>
    <w:pitch w:val="variable"/>
    <w:sig w:usb0="F7FFAFFF" w:usb1="E9DFFFFF" w:usb2="0000003F" w:usb3="00000000" w:csb0="003F01FF" w:csb1="00000000"/>
  </w:font>
  <w:font w:name="仿宋_GB2312">
    <w:altName w:val="仿宋"/>
    <w:charset w:val="86"/>
    <w:family w:val="modern"/>
    <w:pitch w:val="default"/>
    <w:sig w:usb0="00000001" w:usb1="080E0000" w:usb2="00000000" w:usb3="00000000" w:csb0="00040000" w:csb1="00000000"/>
  </w:font>
  <w:font w:name="方正小标宋简体">
    <w:altName w:val="宋体"/>
    <w:panose1 w:val="02000000000000000000"/>
    <w:charset w:val="86"/>
    <w:family w:val="auto"/>
    <w:pitch w:val="variable"/>
    <w:sig w:usb0="A00002BF" w:usb1="184F6CFA" w:usb2="00000012"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3F78" w:rsidRDefault="00A63F78" w:rsidP="007753CC">
      <w:r>
        <w:separator/>
      </w:r>
    </w:p>
  </w:footnote>
  <w:footnote w:type="continuationSeparator" w:id="0">
    <w:p w:rsidR="00A63F78" w:rsidRDefault="00A63F78" w:rsidP="007753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3526" w:rsidRDefault="00D4301E" w:rsidP="00C8439F">
    <w:pPr>
      <w:spacing w:line="560" w:lineRule="exact"/>
      <w:rPr>
        <w:rFonts w:ascii="方正小标宋简体" w:eastAsia="方正小标宋简体" w:hAnsi="宋体" w:cs="Times New Roman"/>
        <w:sz w:val="44"/>
        <w:szCs w:val="44"/>
      </w:rPr>
    </w:pPr>
    <w:r>
      <w:rPr>
        <w:rFonts w:ascii="方正小标宋简体" w:eastAsia="方正小标宋简体" w:hAnsi="宋体" w:cs="Times New Roman" w:hint="eastAsia"/>
        <w:sz w:val="44"/>
        <w:szCs w:val="44"/>
      </w:rPr>
      <w:t>金融市场</w:t>
    </w:r>
    <w:r w:rsidR="000F3526">
      <w:rPr>
        <w:rFonts w:ascii="方正小标宋简体" w:eastAsia="方正小标宋简体" w:hAnsi="宋体" w:cs="Times New Roman" w:hint="eastAsia"/>
        <w:sz w:val="44"/>
        <w:szCs w:val="44"/>
      </w:rPr>
      <w:t>风险</w:t>
    </w:r>
    <w:r w:rsidR="000F3526" w:rsidRPr="00093F3F">
      <w:rPr>
        <w:rFonts w:ascii="方正小标宋简体" w:eastAsia="方正小标宋简体" w:hAnsi="宋体" w:cs="Times New Roman" w:hint="eastAsia"/>
        <w:sz w:val="44"/>
        <w:szCs w:val="44"/>
      </w:rPr>
      <w:t>监测报告</w:t>
    </w:r>
    <w:r w:rsidR="000F3526" w:rsidRPr="00FB7539">
      <w:rPr>
        <w:rFonts w:ascii="方正小标宋简体" w:eastAsia="方正小标宋简体" w:hAnsi="宋体" w:cs="Times New Roman" w:hint="eastAsia"/>
        <w:sz w:val="28"/>
        <w:szCs w:val="44"/>
      </w:rPr>
      <w:t>（</w:t>
    </w:r>
    <w:r w:rsidR="000F3526">
      <w:rPr>
        <w:rFonts w:ascii="方正小标宋简体" w:eastAsia="方正小标宋简体" w:hAnsi="宋体" w:cs="Times New Roman" w:hint="eastAsia"/>
        <w:sz w:val="28"/>
        <w:szCs w:val="44"/>
      </w:rPr>
      <w:t>2021/5/6-2021/5/8</w:t>
    </w:r>
    <w:r w:rsidR="000F3526" w:rsidRPr="00FB7539">
      <w:rPr>
        <w:rFonts w:ascii="方正小标宋简体" w:eastAsia="方正小标宋简体" w:hAnsi="宋体" w:cs="Times New Roman" w:hint="eastAsia"/>
        <w:sz w:val="28"/>
        <w:szCs w:val="44"/>
      </w:rPr>
      <w:t>）</w:t>
    </w:r>
    <w:r w:rsidR="000F3526">
      <w:rPr>
        <w:rFonts w:ascii="方正小标宋简体" w:eastAsia="方正小标宋简体" w:hAnsi="宋体" w:cs="Times New Roman" w:hint="eastAsia"/>
        <w:sz w:val="28"/>
        <w:szCs w:val="44"/>
      </w:rPr>
      <w:t xml:space="preserve">                                 </w:t>
    </w:r>
    <w:r w:rsidR="000F3526">
      <w:rPr>
        <w:rFonts w:ascii="方正小标宋简体" w:eastAsia="方正小标宋简体" w:hAnsi="宋体" w:cs="Times New Roman" w:hint="eastAsia"/>
        <w:sz w:val="44"/>
        <w:szCs w:val="44"/>
      </w:rPr>
      <w:t>风险管理</w:t>
    </w:r>
    <w:r w:rsidR="000F3526" w:rsidRPr="00093F3F">
      <w:rPr>
        <w:rFonts w:ascii="方正小标宋简体" w:eastAsia="方正小标宋简体" w:hAnsi="宋体" w:cs="Times New Roman" w:hint="eastAsia"/>
        <w:sz w:val="44"/>
        <w:szCs w:val="44"/>
      </w:rPr>
      <w:t>部</w:t>
    </w:r>
  </w:p>
  <w:p w:rsidR="000F3526" w:rsidRPr="00C8439F" w:rsidRDefault="000F3526" w:rsidP="00C8439F">
    <w:pPr>
      <w:spacing w:line="200" w:lineRule="exact"/>
      <w:jc w:val="left"/>
    </w:pPr>
    <w:r>
      <w:rPr>
        <w:rFonts w:ascii="方正小标宋简体" w:eastAsia="方正小标宋简体" w:hAnsi="宋体" w:cs="Times New Roman"/>
        <w:noProof/>
        <w:sz w:val="44"/>
        <w:szCs w:val="44"/>
      </w:rPr>
      <mc:AlternateContent>
        <mc:Choice Requires="wps">
          <w:drawing>
            <wp:anchor distT="0" distB="0" distL="114300" distR="114300" simplePos="0" relativeHeight="251663360" behindDoc="0" locked="0" layoutInCell="1" allowOverlap="1" wp14:anchorId="22CD9C29" wp14:editId="44EC8E56">
              <wp:simplePos x="0" y="0"/>
              <wp:positionH relativeFrom="column">
                <wp:posOffset>-335280</wp:posOffset>
              </wp:positionH>
              <wp:positionV relativeFrom="paragraph">
                <wp:posOffset>76200</wp:posOffset>
              </wp:positionV>
              <wp:extent cx="9509760" cy="0"/>
              <wp:effectExtent l="0" t="0" r="15240" b="19050"/>
              <wp:wrapNone/>
              <wp:docPr id="3" name="直接连接符 3"/>
              <wp:cNvGraphicFramePr/>
              <a:graphic xmlns:a="http://schemas.openxmlformats.org/drawingml/2006/main">
                <a:graphicData uri="http://schemas.microsoft.com/office/word/2010/wordprocessingShape">
                  <wps:wsp>
                    <wps:cNvCnPr/>
                    <wps:spPr>
                      <a:xfrm>
                        <a:off x="0" y="0"/>
                        <a:ext cx="9509760" cy="0"/>
                      </a:xfrm>
                      <a:prstGeom prst="line">
                        <a:avLst/>
                      </a:prstGeom>
                      <a:ln w="127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26.4pt,6pt" to="722.4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fp07QEAAAsEAAAOAAAAZHJzL2Uyb0RvYy54bWysU8tu1DAU3SP1HyzvO8lMRUujyXQxVdkg&#10;GPH4AI9zPbHkl2x3kvkJfgCJHaxYsudvKJ/BtZNJK0BIoGbh+HHPufccXy+veq3IHnyQ1tR0Pisp&#10;AcNtI82upu/e3pw+oyREZhqmrIGaHiDQq9XJk2XnKljY1qoGPEESE6rO1bSN0VVFEXgLmoWZdWDw&#10;UFivWcSl3xWNZx2ya1UsyvK86KxvnLccQsDd6+GQrjK/EMDjKyECRKJqirXFPPo8btNYrJas2nnm&#10;WsnHMth/VKGZNJh0orpmkZFbL3+j0pJ7G6yIM251YYWQHLIGVDMvf1HzpmUOshY0J7jJpvB4tPzl&#10;fuOJbGp6RolhGq/o7sPX7+8//fj2Ece7L5/JWTKpc6HC2LXZ+HEV3MYnxb3wOv1RC+mzsYfJWOgj&#10;4bh5+bS8vDhH//nxrLgHOh/ic7CapElNlTRJM6vY/kWImAxDjyFpWxnSYactLsoyhwWrZHMjlUqH&#10;we+2a+XJnuF9r8v0peqR4kEYrpTBzaRpUJFn8aBgSPAaBFqCdc+HDKkZYaJlnIOJ85FXGYxOMIEl&#10;TMCxtL8Bx/gEhdyo/wKeEDmzNXECa2ms/1PZsT+WLIb4owOD7mTB1jaHfL/ZGuy47Nz4OlJLP1xn&#10;+P0bXv0EAAD//wMAUEsDBBQABgAIAAAAIQDC/9Z53gAAAAoBAAAPAAAAZHJzL2Rvd25yZXYueG1s&#10;TI9BS8NAEIXvQv/DMgUv0m4MsWjMpkhB8CAF2+p5kx2TaHY27G7T6K93igc9znuPN98r1pPtxYg+&#10;dI4UXC8TEEi1Mx01Cg77x8UtiBA1Gd07QgVfGGBdzi4KnRt3ohccd7ERXEIh1wraGIdcylC3aHVY&#10;ugGJvXfnrY58+kYar09cbnuZJslKWt0Rf2j1gJsW68/d0SqgZ+/MXVLR0+smrd8+xu33anul1OV8&#10;ergHEXGKf2E44zM6lMxUuSOZIHoFi5uU0SMbKW86B7IsY6X6VWRZyP8Tyh8AAAD//wMAUEsBAi0A&#10;FAAGAAgAAAAhALaDOJL+AAAA4QEAABMAAAAAAAAAAAAAAAAAAAAAAFtDb250ZW50X1R5cGVzXS54&#10;bWxQSwECLQAUAAYACAAAACEAOP0h/9YAAACUAQAACwAAAAAAAAAAAAAAAAAvAQAAX3JlbHMvLnJl&#10;bHNQSwECLQAUAAYACAAAACEADFn6dO0BAAALBAAADgAAAAAAAAAAAAAAAAAuAgAAZHJzL2Uyb0Rv&#10;Yy54bWxQSwECLQAUAAYACAAAACEAwv/Wed4AAAAKAQAADwAAAAAAAAAAAAAAAABHBAAAZHJzL2Rv&#10;d25yZXYueG1sUEsFBgAAAAAEAAQA8wAAAFIFAAAAAA==&#10;" strokecolor="#c00000" strokeweight="1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3526" w:rsidRPr="00FB7539" w:rsidRDefault="000F3526" w:rsidP="00FB7539">
    <w:pPr>
      <w:rPr>
        <w:rFonts w:ascii="方正小标宋简体" w:eastAsia="方正小标宋简体"/>
        <w:b/>
        <w:sz w:val="44"/>
        <w:szCs w:val="44"/>
      </w:rPr>
    </w:pPr>
    <w:r w:rsidRPr="00927ABA">
      <w:rPr>
        <w:rFonts w:ascii="方正小标宋简体" w:eastAsia="方正小标宋简体" w:hAnsi="宋体" w:cs="Times New Roman" w:hint="eastAsia"/>
        <w:b/>
        <w:noProof/>
        <w:sz w:val="40"/>
        <w:szCs w:val="44"/>
      </w:rPr>
      <mc:AlternateContent>
        <mc:Choice Requires="wps">
          <w:drawing>
            <wp:anchor distT="0" distB="0" distL="114300" distR="114300" simplePos="0" relativeHeight="251659264" behindDoc="0" locked="0" layoutInCell="1" allowOverlap="1" wp14:anchorId="5F1CD99C" wp14:editId="70D52384">
              <wp:simplePos x="0" y="0"/>
              <wp:positionH relativeFrom="column">
                <wp:posOffset>-175260</wp:posOffset>
              </wp:positionH>
              <wp:positionV relativeFrom="paragraph">
                <wp:posOffset>393700</wp:posOffset>
              </wp:positionV>
              <wp:extent cx="5722620" cy="0"/>
              <wp:effectExtent l="0" t="0" r="11430" b="19050"/>
              <wp:wrapNone/>
              <wp:docPr id="2" name="直接连接符 2"/>
              <wp:cNvGraphicFramePr/>
              <a:graphic xmlns:a="http://schemas.openxmlformats.org/drawingml/2006/main">
                <a:graphicData uri="http://schemas.microsoft.com/office/word/2010/wordprocessingShape">
                  <wps:wsp>
                    <wps:cNvCnPr/>
                    <wps:spPr>
                      <a:xfrm>
                        <a:off x="0" y="0"/>
                        <a:ext cx="5722620" cy="0"/>
                      </a:xfrm>
                      <a:prstGeom prst="line">
                        <a:avLst/>
                      </a:prstGeom>
                      <a:ln w="127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直接连接符 2" o:spid="_x0000_s1026" style="position:absolute;left:0;text-align:lef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8pt,31pt" to="436.8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j7AEAAAsEAAAOAAAAZHJzL2Uyb0RvYy54bWysU0uO1DAQ3SNxB8t7OulIzKCo07Po0cwG&#10;QYvPAdxOuWPJP9mmk74EF0BiByuW7LkNwzEoO+nMCBDSjCYLx596r+o9l1cXg1bkAD5Iaxq6XJSU&#10;gOG2lWbf0Pfvrp69oCREZlqmrIGGHiHQi/XTJ6ve1VDZzqoWPEESE+reNbSL0dVFEXgHmoWFdWDw&#10;UFivWcSl3xetZz2ya1VUZXlW9Na3zlsOIeDu5XhI15lfCODxtRABIlENxdpiHn0ed2ks1itW7z1z&#10;neRTGewBVWgmDSadqS5ZZOSDl39Racm9DVbEBbe6sEJIDlkDqlmWf6h52zEHWQuaE9xsU3g8Wv7q&#10;sPVEtg2tKDFM4xXdfPr+8+OXXz8+43jz7Supkkm9CzXGbszWT6vgtj4pHoTX6Y9ayJCNPc7GwhAJ&#10;x83n51V1VqH//HRW3AKdD/EarCZp0lAlTdLManZ4GSImw9BTSNpWhvTYadV5WeawYJVsr6RS6TD4&#10;/W6jPDkwvO9Nmb5UPVLcCcOVMriZNI0q8iweFYwJ3oBAS7Du5ZghNSPMtIxzMHE58SqD0QkmsIQZ&#10;OJX2P+AUn6CQG/U+4BmRM1sTZ7CWxvp/lR2HU8lijD85MOpOFuxse8z3m63BjsvOTa8jtfTddYbf&#10;vuH1bwAAAP//AwBQSwMEFAAGAAgAAAAhAIlIUB7dAAAACQEAAA8AAABkcnMvZG93bnJldi54bWxM&#10;j01Lw0AQhu+C/2GZghdpN0ZIa8ymSEHwIAXb6nmTHZPY7GzY3abRX++IBz3OOw/vR7GebC9G9KFz&#10;pOBmkYBAqp3pqFFw2D/OVyBC1GR07wgVfGKAdXl5UejcuDO94LiLjWATCrlW0MY45FKGukWrw8IN&#10;SPx7d97qyKdvpPH6zOa2l2mSZNLqjjih1QNuWqyPu5NVQM/embukoqfXTVq/fYzbr2x7rdTVbHq4&#10;BxFxin8w/NTn6lByp8qdyATRK5iny4xRBVnKmxhYLW9ZqH4FWRby/4LyGwAA//8DAFBLAQItABQA&#10;BgAIAAAAIQC2gziS/gAAAOEBAAATAAAAAAAAAAAAAAAAAAAAAABbQ29udGVudF9UeXBlc10ueG1s&#10;UEsBAi0AFAAGAAgAAAAhADj9If/WAAAAlAEAAAsAAAAAAAAAAAAAAAAALwEAAF9yZWxzLy5yZWxz&#10;UEsBAi0AFAAGAAgAAAAhAP9jD6PsAQAACwQAAA4AAAAAAAAAAAAAAAAALgIAAGRycy9lMm9Eb2Mu&#10;eG1sUEsBAi0AFAAGAAgAAAAhAIlIUB7dAAAACQEAAA8AAAAAAAAAAAAAAAAARgQAAGRycy9kb3du&#10;cmV2LnhtbFBLBQYAAAAABAAEAPMAAABQBQAAAAA=&#10;" strokecolor="#c00000" strokeweight="1pt"/>
          </w:pict>
        </mc:Fallback>
      </mc:AlternateContent>
    </w:r>
    <w:r w:rsidR="00D4301E">
      <w:rPr>
        <w:rFonts w:ascii="方正小标宋简体" w:eastAsia="方正小标宋简体" w:hint="eastAsia"/>
        <w:b/>
        <w:sz w:val="40"/>
        <w:szCs w:val="44"/>
      </w:rPr>
      <w:t>金融市场</w:t>
    </w:r>
    <w:r>
      <w:rPr>
        <w:rFonts w:ascii="方正小标宋简体" w:eastAsia="方正小标宋简体" w:hint="eastAsia"/>
        <w:b/>
        <w:sz w:val="40"/>
        <w:szCs w:val="44"/>
      </w:rPr>
      <w:t>风险</w:t>
    </w:r>
    <w:r w:rsidRPr="00927ABA">
      <w:rPr>
        <w:rFonts w:ascii="方正小标宋简体" w:eastAsia="方正小标宋简体" w:hint="eastAsia"/>
        <w:b/>
        <w:sz w:val="40"/>
        <w:szCs w:val="44"/>
      </w:rPr>
      <w:t>监测报告</w:t>
    </w:r>
    <w:r w:rsidRPr="00927ABA">
      <w:rPr>
        <w:rFonts w:ascii="方正小标宋简体" w:eastAsia="方正小标宋简体" w:hint="eastAsia"/>
        <w:b/>
        <w:sz w:val="24"/>
        <w:szCs w:val="44"/>
      </w:rPr>
      <w:t>（</w:t>
    </w:r>
    <w:r>
      <w:rPr>
        <w:rFonts w:ascii="方正小标宋简体" w:eastAsia="方正小标宋简体" w:hint="eastAsia"/>
        <w:b/>
        <w:sz w:val="24"/>
        <w:szCs w:val="44"/>
      </w:rPr>
      <w:t>5/6-5/8</w:t>
    </w:r>
    <w:r w:rsidRPr="00927ABA">
      <w:rPr>
        <w:rFonts w:ascii="方正小标宋简体" w:eastAsia="方正小标宋简体" w:hint="eastAsia"/>
        <w:b/>
        <w:sz w:val="24"/>
        <w:szCs w:val="44"/>
      </w:rPr>
      <w:t>）</w:t>
    </w:r>
    <w:r>
      <w:rPr>
        <w:rFonts w:ascii="方正小标宋简体" w:eastAsia="方正小标宋简体" w:hint="eastAsia"/>
        <w:b/>
        <w:sz w:val="24"/>
        <w:szCs w:val="44"/>
      </w:rPr>
      <w:t xml:space="preserve">         </w:t>
    </w:r>
    <w:r>
      <w:rPr>
        <w:rFonts w:ascii="方正小标宋简体" w:eastAsia="方正小标宋简体" w:hint="eastAsia"/>
        <w:b/>
        <w:sz w:val="40"/>
        <w:szCs w:val="44"/>
      </w:rPr>
      <w:t>风险管理</w:t>
    </w:r>
    <w:r w:rsidRPr="00927ABA">
      <w:rPr>
        <w:rFonts w:ascii="方正小标宋简体" w:eastAsia="方正小标宋简体" w:hint="eastAsia"/>
        <w:b/>
        <w:sz w:val="40"/>
        <w:szCs w:val="44"/>
      </w:rPr>
      <w:t>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F3F"/>
    <w:rsid w:val="00000B36"/>
    <w:rsid w:val="00003E25"/>
    <w:rsid w:val="00004ECF"/>
    <w:rsid w:val="000050B9"/>
    <w:rsid w:val="000104EB"/>
    <w:rsid w:val="00010D5C"/>
    <w:rsid w:val="00012985"/>
    <w:rsid w:val="0001332E"/>
    <w:rsid w:val="00013A77"/>
    <w:rsid w:val="0001464F"/>
    <w:rsid w:val="000163F0"/>
    <w:rsid w:val="00016FCC"/>
    <w:rsid w:val="000173B1"/>
    <w:rsid w:val="000214B1"/>
    <w:rsid w:val="000217C4"/>
    <w:rsid w:val="00023C82"/>
    <w:rsid w:val="00024AA9"/>
    <w:rsid w:val="000265DD"/>
    <w:rsid w:val="00026AF9"/>
    <w:rsid w:val="00026B75"/>
    <w:rsid w:val="0002783E"/>
    <w:rsid w:val="00030041"/>
    <w:rsid w:val="00030C30"/>
    <w:rsid w:val="00031324"/>
    <w:rsid w:val="00031759"/>
    <w:rsid w:val="000317CB"/>
    <w:rsid w:val="00033227"/>
    <w:rsid w:val="00033E14"/>
    <w:rsid w:val="00034E02"/>
    <w:rsid w:val="00035043"/>
    <w:rsid w:val="000351FB"/>
    <w:rsid w:val="00036BD8"/>
    <w:rsid w:val="00037D60"/>
    <w:rsid w:val="00037E88"/>
    <w:rsid w:val="00040F97"/>
    <w:rsid w:val="00041D28"/>
    <w:rsid w:val="00045135"/>
    <w:rsid w:val="00045CE8"/>
    <w:rsid w:val="00045E09"/>
    <w:rsid w:val="00046CD6"/>
    <w:rsid w:val="00046F7B"/>
    <w:rsid w:val="00047D8E"/>
    <w:rsid w:val="000521EA"/>
    <w:rsid w:val="00054DFE"/>
    <w:rsid w:val="0005561F"/>
    <w:rsid w:val="0005590D"/>
    <w:rsid w:val="00055C61"/>
    <w:rsid w:val="00056C0D"/>
    <w:rsid w:val="00056F86"/>
    <w:rsid w:val="000570D9"/>
    <w:rsid w:val="000639EB"/>
    <w:rsid w:val="00063C53"/>
    <w:rsid w:val="00065095"/>
    <w:rsid w:val="00070558"/>
    <w:rsid w:val="00072F77"/>
    <w:rsid w:val="00074266"/>
    <w:rsid w:val="00074F1B"/>
    <w:rsid w:val="000757C8"/>
    <w:rsid w:val="0007646F"/>
    <w:rsid w:val="00077AF3"/>
    <w:rsid w:val="00077BD3"/>
    <w:rsid w:val="00077C3D"/>
    <w:rsid w:val="0008013D"/>
    <w:rsid w:val="00082890"/>
    <w:rsid w:val="00083425"/>
    <w:rsid w:val="00086221"/>
    <w:rsid w:val="00087A01"/>
    <w:rsid w:val="000917CA"/>
    <w:rsid w:val="000930EE"/>
    <w:rsid w:val="000932BE"/>
    <w:rsid w:val="00093F3F"/>
    <w:rsid w:val="00094310"/>
    <w:rsid w:val="00095F6B"/>
    <w:rsid w:val="00095F6E"/>
    <w:rsid w:val="00097326"/>
    <w:rsid w:val="000A1803"/>
    <w:rsid w:val="000A1B44"/>
    <w:rsid w:val="000A1D64"/>
    <w:rsid w:val="000A25EF"/>
    <w:rsid w:val="000A2D6A"/>
    <w:rsid w:val="000A315B"/>
    <w:rsid w:val="000A4F4A"/>
    <w:rsid w:val="000A57D4"/>
    <w:rsid w:val="000A78D0"/>
    <w:rsid w:val="000A79C0"/>
    <w:rsid w:val="000A7F7E"/>
    <w:rsid w:val="000B0F7E"/>
    <w:rsid w:val="000B2DEA"/>
    <w:rsid w:val="000B3886"/>
    <w:rsid w:val="000B3957"/>
    <w:rsid w:val="000B57B0"/>
    <w:rsid w:val="000B624F"/>
    <w:rsid w:val="000C0375"/>
    <w:rsid w:val="000C0ED3"/>
    <w:rsid w:val="000C2A29"/>
    <w:rsid w:val="000C3516"/>
    <w:rsid w:val="000C3A01"/>
    <w:rsid w:val="000C474A"/>
    <w:rsid w:val="000C4917"/>
    <w:rsid w:val="000C63D8"/>
    <w:rsid w:val="000C76E0"/>
    <w:rsid w:val="000D2A52"/>
    <w:rsid w:val="000D5839"/>
    <w:rsid w:val="000D599A"/>
    <w:rsid w:val="000D6B5B"/>
    <w:rsid w:val="000E046C"/>
    <w:rsid w:val="000E0811"/>
    <w:rsid w:val="000E106D"/>
    <w:rsid w:val="000E23FB"/>
    <w:rsid w:val="000E26A9"/>
    <w:rsid w:val="000E3A82"/>
    <w:rsid w:val="000E4C79"/>
    <w:rsid w:val="000E6A79"/>
    <w:rsid w:val="000E6E7F"/>
    <w:rsid w:val="000F155B"/>
    <w:rsid w:val="000F1B78"/>
    <w:rsid w:val="000F3133"/>
    <w:rsid w:val="000F3452"/>
    <w:rsid w:val="000F3526"/>
    <w:rsid w:val="000F41DC"/>
    <w:rsid w:val="000F435D"/>
    <w:rsid w:val="000F4D0B"/>
    <w:rsid w:val="000F4EED"/>
    <w:rsid w:val="000F7010"/>
    <w:rsid w:val="000F7FAD"/>
    <w:rsid w:val="0010093F"/>
    <w:rsid w:val="0010369B"/>
    <w:rsid w:val="001038C5"/>
    <w:rsid w:val="001042D6"/>
    <w:rsid w:val="00105FDC"/>
    <w:rsid w:val="0011006C"/>
    <w:rsid w:val="00112B61"/>
    <w:rsid w:val="00115E67"/>
    <w:rsid w:val="00116F16"/>
    <w:rsid w:val="00117E54"/>
    <w:rsid w:val="00120610"/>
    <w:rsid w:val="00121660"/>
    <w:rsid w:val="00121C19"/>
    <w:rsid w:val="00121D15"/>
    <w:rsid w:val="00122FA3"/>
    <w:rsid w:val="00123FDA"/>
    <w:rsid w:val="001244D9"/>
    <w:rsid w:val="00124B0C"/>
    <w:rsid w:val="001255AA"/>
    <w:rsid w:val="0012683D"/>
    <w:rsid w:val="00126FBE"/>
    <w:rsid w:val="00127F73"/>
    <w:rsid w:val="00131002"/>
    <w:rsid w:val="00131775"/>
    <w:rsid w:val="00132D78"/>
    <w:rsid w:val="00133654"/>
    <w:rsid w:val="00134118"/>
    <w:rsid w:val="00135DD2"/>
    <w:rsid w:val="00136EBC"/>
    <w:rsid w:val="00141252"/>
    <w:rsid w:val="00143ECF"/>
    <w:rsid w:val="001476BB"/>
    <w:rsid w:val="001500ED"/>
    <w:rsid w:val="00150C07"/>
    <w:rsid w:val="00151413"/>
    <w:rsid w:val="0015631A"/>
    <w:rsid w:val="0015718E"/>
    <w:rsid w:val="001571E5"/>
    <w:rsid w:val="0016337A"/>
    <w:rsid w:val="00163429"/>
    <w:rsid w:val="0016364B"/>
    <w:rsid w:val="00164675"/>
    <w:rsid w:val="00164DD9"/>
    <w:rsid w:val="00166437"/>
    <w:rsid w:val="00167103"/>
    <w:rsid w:val="0016731C"/>
    <w:rsid w:val="00170C50"/>
    <w:rsid w:val="001724B4"/>
    <w:rsid w:val="001736B5"/>
    <w:rsid w:val="00173AA0"/>
    <w:rsid w:val="00173AE2"/>
    <w:rsid w:val="00173E84"/>
    <w:rsid w:val="00175095"/>
    <w:rsid w:val="00175AB4"/>
    <w:rsid w:val="00175C1D"/>
    <w:rsid w:val="0018031A"/>
    <w:rsid w:val="00180E92"/>
    <w:rsid w:val="00182FCC"/>
    <w:rsid w:val="00183493"/>
    <w:rsid w:val="001835F8"/>
    <w:rsid w:val="0018369F"/>
    <w:rsid w:val="00183818"/>
    <w:rsid w:val="00184655"/>
    <w:rsid w:val="00184E6A"/>
    <w:rsid w:val="001852AF"/>
    <w:rsid w:val="00186E8F"/>
    <w:rsid w:val="001870F2"/>
    <w:rsid w:val="001879C6"/>
    <w:rsid w:val="0019072D"/>
    <w:rsid w:val="00190CAA"/>
    <w:rsid w:val="00192336"/>
    <w:rsid w:val="00192D13"/>
    <w:rsid w:val="00192DAB"/>
    <w:rsid w:val="0019394D"/>
    <w:rsid w:val="0019416D"/>
    <w:rsid w:val="00196BFE"/>
    <w:rsid w:val="001A0842"/>
    <w:rsid w:val="001A1354"/>
    <w:rsid w:val="001A2498"/>
    <w:rsid w:val="001A3F96"/>
    <w:rsid w:val="001A3FE9"/>
    <w:rsid w:val="001A4902"/>
    <w:rsid w:val="001A5C53"/>
    <w:rsid w:val="001A6A57"/>
    <w:rsid w:val="001A6C0C"/>
    <w:rsid w:val="001A717C"/>
    <w:rsid w:val="001B04D3"/>
    <w:rsid w:val="001B16D4"/>
    <w:rsid w:val="001B1C4D"/>
    <w:rsid w:val="001B2030"/>
    <w:rsid w:val="001B2241"/>
    <w:rsid w:val="001B303D"/>
    <w:rsid w:val="001B3FAC"/>
    <w:rsid w:val="001B4228"/>
    <w:rsid w:val="001B4674"/>
    <w:rsid w:val="001B5773"/>
    <w:rsid w:val="001B73D2"/>
    <w:rsid w:val="001B787B"/>
    <w:rsid w:val="001C1509"/>
    <w:rsid w:val="001C26D7"/>
    <w:rsid w:val="001C28AB"/>
    <w:rsid w:val="001C33BC"/>
    <w:rsid w:val="001C391A"/>
    <w:rsid w:val="001C3E38"/>
    <w:rsid w:val="001C48B7"/>
    <w:rsid w:val="001C5846"/>
    <w:rsid w:val="001C624B"/>
    <w:rsid w:val="001C68A7"/>
    <w:rsid w:val="001C6D98"/>
    <w:rsid w:val="001C6E12"/>
    <w:rsid w:val="001C79B7"/>
    <w:rsid w:val="001D0817"/>
    <w:rsid w:val="001D4973"/>
    <w:rsid w:val="001D5447"/>
    <w:rsid w:val="001D65B4"/>
    <w:rsid w:val="001D6961"/>
    <w:rsid w:val="001D706D"/>
    <w:rsid w:val="001E1F72"/>
    <w:rsid w:val="001E25AE"/>
    <w:rsid w:val="001E4B45"/>
    <w:rsid w:val="001E4BBB"/>
    <w:rsid w:val="001E6153"/>
    <w:rsid w:val="001E737D"/>
    <w:rsid w:val="001E73CE"/>
    <w:rsid w:val="001E75C4"/>
    <w:rsid w:val="001F1400"/>
    <w:rsid w:val="001F279E"/>
    <w:rsid w:val="001F3272"/>
    <w:rsid w:val="001F433B"/>
    <w:rsid w:val="001F56D8"/>
    <w:rsid w:val="001F624B"/>
    <w:rsid w:val="001F6BD8"/>
    <w:rsid w:val="001F7866"/>
    <w:rsid w:val="001F7C33"/>
    <w:rsid w:val="002000D0"/>
    <w:rsid w:val="0020024F"/>
    <w:rsid w:val="00200515"/>
    <w:rsid w:val="002005A4"/>
    <w:rsid w:val="00201991"/>
    <w:rsid w:val="00202604"/>
    <w:rsid w:val="00203757"/>
    <w:rsid w:val="00204115"/>
    <w:rsid w:val="002063E3"/>
    <w:rsid w:val="002075F5"/>
    <w:rsid w:val="002078AB"/>
    <w:rsid w:val="002079AB"/>
    <w:rsid w:val="002104B7"/>
    <w:rsid w:val="00210682"/>
    <w:rsid w:val="002110F8"/>
    <w:rsid w:val="002118B1"/>
    <w:rsid w:val="00211CF1"/>
    <w:rsid w:val="0021343B"/>
    <w:rsid w:val="002142AF"/>
    <w:rsid w:val="00214775"/>
    <w:rsid w:val="00214E89"/>
    <w:rsid w:val="00217B80"/>
    <w:rsid w:val="00223A7B"/>
    <w:rsid w:val="00223BEC"/>
    <w:rsid w:val="002241B2"/>
    <w:rsid w:val="002262C3"/>
    <w:rsid w:val="0022695A"/>
    <w:rsid w:val="00227213"/>
    <w:rsid w:val="002276E0"/>
    <w:rsid w:val="002300AC"/>
    <w:rsid w:val="002308B9"/>
    <w:rsid w:val="00231289"/>
    <w:rsid w:val="002312DC"/>
    <w:rsid w:val="00231360"/>
    <w:rsid w:val="00231773"/>
    <w:rsid w:val="00233561"/>
    <w:rsid w:val="0023431E"/>
    <w:rsid w:val="002356F8"/>
    <w:rsid w:val="00235742"/>
    <w:rsid w:val="0023644D"/>
    <w:rsid w:val="002366C4"/>
    <w:rsid w:val="00240102"/>
    <w:rsid w:val="00240468"/>
    <w:rsid w:val="00240558"/>
    <w:rsid w:val="00241832"/>
    <w:rsid w:val="0024383D"/>
    <w:rsid w:val="00243B9D"/>
    <w:rsid w:val="00243F56"/>
    <w:rsid w:val="0024415A"/>
    <w:rsid w:val="00244D46"/>
    <w:rsid w:val="00246527"/>
    <w:rsid w:val="00246DC0"/>
    <w:rsid w:val="00247CE5"/>
    <w:rsid w:val="0025030F"/>
    <w:rsid w:val="002504AD"/>
    <w:rsid w:val="002515E6"/>
    <w:rsid w:val="00251B94"/>
    <w:rsid w:val="00257B03"/>
    <w:rsid w:val="00257BB8"/>
    <w:rsid w:val="0026062D"/>
    <w:rsid w:val="00261EBA"/>
    <w:rsid w:val="002651CE"/>
    <w:rsid w:val="0026654F"/>
    <w:rsid w:val="002667D9"/>
    <w:rsid w:val="002668C6"/>
    <w:rsid w:val="00266BBF"/>
    <w:rsid w:val="00266C1D"/>
    <w:rsid w:val="00267598"/>
    <w:rsid w:val="0027013C"/>
    <w:rsid w:val="002701B4"/>
    <w:rsid w:val="002706E0"/>
    <w:rsid w:val="00270F2B"/>
    <w:rsid w:val="00271FD2"/>
    <w:rsid w:val="00272577"/>
    <w:rsid w:val="002744AD"/>
    <w:rsid w:val="00274653"/>
    <w:rsid w:val="0027492E"/>
    <w:rsid w:val="00275529"/>
    <w:rsid w:val="00276035"/>
    <w:rsid w:val="00276208"/>
    <w:rsid w:val="0028042D"/>
    <w:rsid w:val="002805F3"/>
    <w:rsid w:val="00280F13"/>
    <w:rsid w:val="0028108D"/>
    <w:rsid w:val="00281258"/>
    <w:rsid w:val="002820D5"/>
    <w:rsid w:val="00282BD4"/>
    <w:rsid w:val="00283446"/>
    <w:rsid w:val="002865CC"/>
    <w:rsid w:val="002903F0"/>
    <w:rsid w:val="002923E7"/>
    <w:rsid w:val="00292740"/>
    <w:rsid w:val="00293B00"/>
    <w:rsid w:val="0029648D"/>
    <w:rsid w:val="00296E61"/>
    <w:rsid w:val="002A03CC"/>
    <w:rsid w:val="002A0CC0"/>
    <w:rsid w:val="002A1950"/>
    <w:rsid w:val="002A2BB9"/>
    <w:rsid w:val="002A4865"/>
    <w:rsid w:val="002A5322"/>
    <w:rsid w:val="002A7F16"/>
    <w:rsid w:val="002B1799"/>
    <w:rsid w:val="002B3C37"/>
    <w:rsid w:val="002B3E3B"/>
    <w:rsid w:val="002B565E"/>
    <w:rsid w:val="002B6177"/>
    <w:rsid w:val="002B62B8"/>
    <w:rsid w:val="002B7ED3"/>
    <w:rsid w:val="002C1404"/>
    <w:rsid w:val="002C20F9"/>
    <w:rsid w:val="002C2300"/>
    <w:rsid w:val="002C44D4"/>
    <w:rsid w:val="002D12C6"/>
    <w:rsid w:val="002D2514"/>
    <w:rsid w:val="002D3984"/>
    <w:rsid w:val="002D4848"/>
    <w:rsid w:val="002D5C10"/>
    <w:rsid w:val="002D633E"/>
    <w:rsid w:val="002D775C"/>
    <w:rsid w:val="002E04D0"/>
    <w:rsid w:val="002E173F"/>
    <w:rsid w:val="002E2174"/>
    <w:rsid w:val="002E2F10"/>
    <w:rsid w:val="002E58C4"/>
    <w:rsid w:val="002E593F"/>
    <w:rsid w:val="002E709F"/>
    <w:rsid w:val="002E72AE"/>
    <w:rsid w:val="002E7426"/>
    <w:rsid w:val="002E76A0"/>
    <w:rsid w:val="002F06B5"/>
    <w:rsid w:val="002F3559"/>
    <w:rsid w:val="002F48CB"/>
    <w:rsid w:val="002F5D4D"/>
    <w:rsid w:val="002F61FA"/>
    <w:rsid w:val="002F6691"/>
    <w:rsid w:val="002F7178"/>
    <w:rsid w:val="00300690"/>
    <w:rsid w:val="00302B39"/>
    <w:rsid w:val="003046FF"/>
    <w:rsid w:val="0030506D"/>
    <w:rsid w:val="003054F9"/>
    <w:rsid w:val="003065F2"/>
    <w:rsid w:val="003076D5"/>
    <w:rsid w:val="003100F8"/>
    <w:rsid w:val="003103C5"/>
    <w:rsid w:val="0031054F"/>
    <w:rsid w:val="00310596"/>
    <w:rsid w:val="00311171"/>
    <w:rsid w:val="0031351F"/>
    <w:rsid w:val="0031419A"/>
    <w:rsid w:val="00314C51"/>
    <w:rsid w:val="00322246"/>
    <w:rsid w:val="003232EB"/>
    <w:rsid w:val="00324392"/>
    <w:rsid w:val="00324490"/>
    <w:rsid w:val="003258E4"/>
    <w:rsid w:val="00325994"/>
    <w:rsid w:val="00326D51"/>
    <w:rsid w:val="00326E31"/>
    <w:rsid w:val="00327E3E"/>
    <w:rsid w:val="00327F44"/>
    <w:rsid w:val="00330DD5"/>
    <w:rsid w:val="00330EBF"/>
    <w:rsid w:val="00331B1E"/>
    <w:rsid w:val="00331D76"/>
    <w:rsid w:val="00331D7A"/>
    <w:rsid w:val="00332103"/>
    <w:rsid w:val="00332CAD"/>
    <w:rsid w:val="00333124"/>
    <w:rsid w:val="0033698E"/>
    <w:rsid w:val="003371DD"/>
    <w:rsid w:val="003404FE"/>
    <w:rsid w:val="00341FA5"/>
    <w:rsid w:val="003429AA"/>
    <w:rsid w:val="00344C79"/>
    <w:rsid w:val="0034641D"/>
    <w:rsid w:val="00347740"/>
    <w:rsid w:val="00347D98"/>
    <w:rsid w:val="00351498"/>
    <w:rsid w:val="00352F8C"/>
    <w:rsid w:val="00353051"/>
    <w:rsid w:val="0035339F"/>
    <w:rsid w:val="003557B6"/>
    <w:rsid w:val="00356651"/>
    <w:rsid w:val="00360535"/>
    <w:rsid w:val="00361B23"/>
    <w:rsid w:val="00362106"/>
    <w:rsid w:val="0036316A"/>
    <w:rsid w:val="003633F6"/>
    <w:rsid w:val="00363A47"/>
    <w:rsid w:val="003641CA"/>
    <w:rsid w:val="00364D27"/>
    <w:rsid w:val="00365C51"/>
    <w:rsid w:val="00370020"/>
    <w:rsid w:val="00370D80"/>
    <w:rsid w:val="00371100"/>
    <w:rsid w:val="0037180E"/>
    <w:rsid w:val="003720CF"/>
    <w:rsid w:val="00372196"/>
    <w:rsid w:val="0037293D"/>
    <w:rsid w:val="003732CB"/>
    <w:rsid w:val="00374C02"/>
    <w:rsid w:val="003755F2"/>
    <w:rsid w:val="00375DB0"/>
    <w:rsid w:val="00376D8C"/>
    <w:rsid w:val="00377676"/>
    <w:rsid w:val="00381781"/>
    <w:rsid w:val="003817C2"/>
    <w:rsid w:val="00381A5E"/>
    <w:rsid w:val="00383427"/>
    <w:rsid w:val="0038379D"/>
    <w:rsid w:val="0038450C"/>
    <w:rsid w:val="003853F4"/>
    <w:rsid w:val="00385B22"/>
    <w:rsid w:val="00386C6A"/>
    <w:rsid w:val="00387080"/>
    <w:rsid w:val="00387FA4"/>
    <w:rsid w:val="003912A1"/>
    <w:rsid w:val="00392D00"/>
    <w:rsid w:val="00392D0F"/>
    <w:rsid w:val="0039313B"/>
    <w:rsid w:val="00393828"/>
    <w:rsid w:val="00393E7F"/>
    <w:rsid w:val="0039595E"/>
    <w:rsid w:val="00395B26"/>
    <w:rsid w:val="00396A1A"/>
    <w:rsid w:val="0039704E"/>
    <w:rsid w:val="003A32AE"/>
    <w:rsid w:val="003A700F"/>
    <w:rsid w:val="003A7627"/>
    <w:rsid w:val="003B03F4"/>
    <w:rsid w:val="003B0444"/>
    <w:rsid w:val="003B12F6"/>
    <w:rsid w:val="003B23C2"/>
    <w:rsid w:val="003B276F"/>
    <w:rsid w:val="003B7303"/>
    <w:rsid w:val="003B76DC"/>
    <w:rsid w:val="003C1455"/>
    <w:rsid w:val="003C2E6B"/>
    <w:rsid w:val="003C362D"/>
    <w:rsid w:val="003C73D4"/>
    <w:rsid w:val="003C7FC9"/>
    <w:rsid w:val="003D0332"/>
    <w:rsid w:val="003D0929"/>
    <w:rsid w:val="003D0F7F"/>
    <w:rsid w:val="003D1EF2"/>
    <w:rsid w:val="003D41D5"/>
    <w:rsid w:val="003D5D34"/>
    <w:rsid w:val="003D6159"/>
    <w:rsid w:val="003D68BF"/>
    <w:rsid w:val="003D7B63"/>
    <w:rsid w:val="003D7C56"/>
    <w:rsid w:val="003E18F0"/>
    <w:rsid w:val="003E2DDC"/>
    <w:rsid w:val="003E328B"/>
    <w:rsid w:val="003E3B1B"/>
    <w:rsid w:val="003E4D8F"/>
    <w:rsid w:val="003E568A"/>
    <w:rsid w:val="003E7AB3"/>
    <w:rsid w:val="003E7AE2"/>
    <w:rsid w:val="003F0C74"/>
    <w:rsid w:val="003F0EAD"/>
    <w:rsid w:val="003F0EF9"/>
    <w:rsid w:val="003F18C9"/>
    <w:rsid w:val="003F34A8"/>
    <w:rsid w:val="003F38FF"/>
    <w:rsid w:val="003F5DDC"/>
    <w:rsid w:val="003F7A31"/>
    <w:rsid w:val="00401261"/>
    <w:rsid w:val="00402176"/>
    <w:rsid w:val="00402518"/>
    <w:rsid w:val="004031C3"/>
    <w:rsid w:val="00403529"/>
    <w:rsid w:val="00405334"/>
    <w:rsid w:val="004059AB"/>
    <w:rsid w:val="00405C61"/>
    <w:rsid w:val="00405CD3"/>
    <w:rsid w:val="004079CD"/>
    <w:rsid w:val="0041093A"/>
    <w:rsid w:val="004111F9"/>
    <w:rsid w:val="00411FAC"/>
    <w:rsid w:val="00412336"/>
    <w:rsid w:val="00415C48"/>
    <w:rsid w:val="00417392"/>
    <w:rsid w:val="0041765F"/>
    <w:rsid w:val="00417E8B"/>
    <w:rsid w:val="00421005"/>
    <w:rsid w:val="004211EC"/>
    <w:rsid w:val="004216B4"/>
    <w:rsid w:val="004230D2"/>
    <w:rsid w:val="00423627"/>
    <w:rsid w:val="00423AFC"/>
    <w:rsid w:val="00424B75"/>
    <w:rsid w:val="00425FAB"/>
    <w:rsid w:val="00426713"/>
    <w:rsid w:val="00426D32"/>
    <w:rsid w:val="00431163"/>
    <w:rsid w:val="00431D04"/>
    <w:rsid w:val="00431FD2"/>
    <w:rsid w:val="00432F41"/>
    <w:rsid w:val="00434528"/>
    <w:rsid w:val="00434861"/>
    <w:rsid w:val="004351BE"/>
    <w:rsid w:val="004354D2"/>
    <w:rsid w:val="00437D1C"/>
    <w:rsid w:val="004411DA"/>
    <w:rsid w:val="00441302"/>
    <w:rsid w:val="00441964"/>
    <w:rsid w:val="00442141"/>
    <w:rsid w:val="0044435A"/>
    <w:rsid w:val="004459FE"/>
    <w:rsid w:val="00446379"/>
    <w:rsid w:val="004467E9"/>
    <w:rsid w:val="00447207"/>
    <w:rsid w:val="00450854"/>
    <w:rsid w:val="00455A4B"/>
    <w:rsid w:val="00455EE6"/>
    <w:rsid w:val="004564D7"/>
    <w:rsid w:val="0045726E"/>
    <w:rsid w:val="004579D0"/>
    <w:rsid w:val="00457C9F"/>
    <w:rsid w:val="00460C1E"/>
    <w:rsid w:val="00460D94"/>
    <w:rsid w:val="004615CA"/>
    <w:rsid w:val="004622D3"/>
    <w:rsid w:val="00462356"/>
    <w:rsid w:val="0046288F"/>
    <w:rsid w:val="00463303"/>
    <w:rsid w:val="00463BDD"/>
    <w:rsid w:val="0046402A"/>
    <w:rsid w:val="00464580"/>
    <w:rsid w:val="004656C7"/>
    <w:rsid w:val="004659BD"/>
    <w:rsid w:val="0046667C"/>
    <w:rsid w:val="00467A6A"/>
    <w:rsid w:val="00467A95"/>
    <w:rsid w:val="00467E58"/>
    <w:rsid w:val="004711E8"/>
    <w:rsid w:val="004722FF"/>
    <w:rsid w:val="00473FCF"/>
    <w:rsid w:val="004766B9"/>
    <w:rsid w:val="0047742D"/>
    <w:rsid w:val="00477DDD"/>
    <w:rsid w:val="00480117"/>
    <w:rsid w:val="00482F4F"/>
    <w:rsid w:val="0048489C"/>
    <w:rsid w:val="00485017"/>
    <w:rsid w:val="00487789"/>
    <w:rsid w:val="0049045D"/>
    <w:rsid w:val="004907BB"/>
    <w:rsid w:val="00490D07"/>
    <w:rsid w:val="00491AF9"/>
    <w:rsid w:val="00491E7B"/>
    <w:rsid w:val="004930FA"/>
    <w:rsid w:val="00493A60"/>
    <w:rsid w:val="00494435"/>
    <w:rsid w:val="00496834"/>
    <w:rsid w:val="004A1C25"/>
    <w:rsid w:val="004A4421"/>
    <w:rsid w:val="004A4832"/>
    <w:rsid w:val="004A487E"/>
    <w:rsid w:val="004A4C93"/>
    <w:rsid w:val="004A6939"/>
    <w:rsid w:val="004A6CF0"/>
    <w:rsid w:val="004A7987"/>
    <w:rsid w:val="004A7A78"/>
    <w:rsid w:val="004B05FD"/>
    <w:rsid w:val="004B08DC"/>
    <w:rsid w:val="004B0ABA"/>
    <w:rsid w:val="004B22A2"/>
    <w:rsid w:val="004B42D2"/>
    <w:rsid w:val="004B5445"/>
    <w:rsid w:val="004B62F7"/>
    <w:rsid w:val="004C09F5"/>
    <w:rsid w:val="004C0DA8"/>
    <w:rsid w:val="004C30B0"/>
    <w:rsid w:val="004C35B8"/>
    <w:rsid w:val="004D0BA4"/>
    <w:rsid w:val="004D168A"/>
    <w:rsid w:val="004D26FE"/>
    <w:rsid w:val="004D27BB"/>
    <w:rsid w:val="004D31C0"/>
    <w:rsid w:val="004D41A9"/>
    <w:rsid w:val="004D44DF"/>
    <w:rsid w:val="004D5735"/>
    <w:rsid w:val="004D5FE0"/>
    <w:rsid w:val="004D7807"/>
    <w:rsid w:val="004D7B39"/>
    <w:rsid w:val="004D7D99"/>
    <w:rsid w:val="004E0938"/>
    <w:rsid w:val="004E3AAB"/>
    <w:rsid w:val="004E3E56"/>
    <w:rsid w:val="004E6B09"/>
    <w:rsid w:val="004E7329"/>
    <w:rsid w:val="004E7E3A"/>
    <w:rsid w:val="004F0530"/>
    <w:rsid w:val="004F19A1"/>
    <w:rsid w:val="004F39A9"/>
    <w:rsid w:val="004F3E13"/>
    <w:rsid w:val="004F5E83"/>
    <w:rsid w:val="004F6066"/>
    <w:rsid w:val="004F6CE1"/>
    <w:rsid w:val="004F6FD5"/>
    <w:rsid w:val="0050024A"/>
    <w:rsid w:val="005009FF"/>
    <w:rsid w:val="00500ACF"/>
    <w:rsid w:val="00502A12"/>
    <w:rsid w:val="0050310C"/>
    <w:rsid w:val="005041C3"/>
    <w:rsid w:val="0050511B"/>
    <w:rsid w:val="00505241"/>
    <w:rsid w:val="00505565"/>
    <w:rsid w:val="00507F96"/>
    <w:rsid w:val="00510BAE"/>
    <w:rsid w:val="00512F41"/>
    <w:rsid w:val="005136BA"/>
    <w:rsid w:val="005137CD"/>
    <w:rsid w:val="00513A46"/>
    <w:rsid w:val="005155EE"/>
    <w:rsid w:val="00516FCA"/>
    <w:rsid w:val="0051723E"/>
    <w:rsid w:val="005175E9"/>
    <w:rsid w:val="005179F0"/>
    <w:rsid w:val="005202AC"/>
    <w:rsid w:val="00520460"/>
    <w:rsid w:val="005207DA"/>
    <w:rsid w:val="00522870"/>
    <w:rsid w:val="00524327"/>
    <w:rsid w:val="00524658"/>
    <w:rsid w:val="00525ABF"/>
    <w:rsid w:val="00526DBF"/>
    <w:rsid w:val="005279C6"/>
    <w:rsid w:val="00527EB2"/>
    <w:rsid w:val="0053020D"/>
    <w:rsid w:val="00530664"/>
    <w:rsid w:val="00530D15"/>
    <w:rsid w:val="00532F96"/>
    <w:rsid w:val="00533CCB"/>
    <w:rsid w:val="00536005"/>
    <w:rsid w:val="00536F14"/>
    <w:rsid w:val="00537555"/>
    <w:rsid w:val="00540422"/>
    <w:rsid w:val="005410EA"/>
    <w:rsid w:val="00541CB3"/>
    <w:rsid w:val="00542893"/>
    <w:rsid w:val="00543264"/>
    <w:rsid w:val="005434E1"/>
    <w:rsid w:val="00546D4F"/>
    <w:rsid w:val="00550BF9"/>
    <w:rsid w:val="005518E1"/>
    <w:rsid w:val="00555534"/>
    <w:rsid w:val="00555F95"/>
    <w:rsid w:val="00556E8D"/>
    <w:rsid w:val="0056003A"/>
    <w:rsid w:val="0056016C"/>
    <w:rsid w:val="0056033D"/>
    <w:rsid w:val="005617CB"/>
    <w:rsid w:val="00563D21"/>
    <w:rsid w:val="00564456"/>
    <w:rsid w:val="00565A4D"/>
    <w:rsid w:val="00566222"/>
    <w:rsid w:val="00570756"/>
    <w:rsid w:val="00570C99"/>
    <w:rsid w:val="00570DAD"/>
    <w:rsid w:val="005719D3"/>
    <w:rsid w:val="00571B06"/>
    <w:rsid w:val="005726DE"/>
    <w:rsid w:val="0057278C"/>
    <w:rsid w:val="00572977"/>
    <w:rsid w:val="00572A5D"/>
    <w:rsid w:val="00572DC6"/>
    <w:rsid w:val="00574204"/>
    <w:rsid w:val="0057473F"/>
    <w:rsid w:val="00576B8E"/>
    <w:rsid w:val="00576E4C"/>
    <w:rsid w:val="005776FA"/>
    <w:rsid w:val="00580089"/>
    <w:rsid w:val="005809D9"/>
    <w:rsid w:val="00581E09"/>
    <w:rsid w:val="005823A7"/>
    <w:rsid w:val="0058272F"/>
    <w:rsid w:val="00582A5B"/>
    <w:rsid w:val="0058445A"/>
    <w:rsid w:val="00585E3E"/>
    <w:rsid w:val="00586F6A"/>
    <w:rsid w:val="00587EBB"/>
    <w:rsid w:val="0059208E"/>
    <w:rsid w:val="0059306E"/>
    <w:rsid w:val="00593407"/>
    <w:rsid w:val="00593A12"/>
    <w:rsid w:val="00593A3C"/>
    <w:rsid w:val="00593D10"/>
    <w:rsid w:val="00594A96"/>
    <w:rsid w:val="00594C6F"/>
    <w:rsid w:val="00594D13"/>
    <w:rsid w:val="00595CCB"/>
    <w:rsid w:val="005969F7"/>
    <w:rsid w:val="00597044"/>
    <w:rsid w:val="00597A9A"/>
    <w:rsid w:val="00597CAA"/>
    <w:rsid w:val="005A000A"/>
    <w:rsid w:val="005A03E2"/>
    <w:rsid w:val="005A0A4A"/>
    <w:rsid w:val="005A2DD8"/>
    <w:rsid w:val="005A3E43"/>
    <w:rsid w:val="005A4967"/>
    <w:rsid w:val="005A532E"/>
    <w:rsid w:val="005A54CD"/>
    <w:rsid w:val="005A66F4"/>
    <w:rsid w:val="005B13E5"/>
    <w:rsid w:val="005B1EAF"/>
    <w:rsid w:val="005B2828"/>
    <w:rsid w:val="005B46CF"/>
    <w:rsid w:val="005B56CC"/>
    <w:rsid w:val="005B747F"/>
    <w:rsid w:val="005B75B3"/>
    <w:rsid w:val="005C04AC"/>
    <w:rsid w:val="005C34F1"/>
    <w:rsid w:val="005C4209"/>
    <w:rsid w:val="005C479C"/>
    <w:rsid w:val="005C5306"/>
    <w:rsid w:val="005C5DA7"/>
    <w:rsid w:val="005C7B30"/>
    <w:rsid w:val="005D18F6"/>
    <w:rsid w:val="005D2871"/>
    <w:rsid w:val="005D2EE2"/>
    <w:rsid w:val="005D3352"/>
    <w:rsid w:val="005D3E41"/>
    <w:rsid w:val="005D3EEF"/>
    <w:rsid w:val="005D485D"/>
    <w:rsid w:val="005E020D"/>
    <w:rsid w:val="005E06D8"/>
    <w:rsid w:val="005E07E1"/>
    <w:rsid w:val="005E0D03"/>
    <w:rsid w:val="005E14AA"/>
    <w:rsid w:val="005E1D4E"/>
    <w:rsid w:val="005E1D7A"/>
    <w:rsid w:val="005E1F89"/>
    <w:rsid w:val="005E27FB"/>
    <w:rsid w:val="005E28CB"/>
    <w:rsid w:val="005E336D"/>
    <w:rsid w:val="005E62EE"/>
    <w:rsid w:val="005E7315"/>
    <w:rsid w:val="005E7A37"/>
    <w:rsid w:val="005F026C"/>
    <w:rsid w:val="005F1702"/>
    <w:rsid w:val="005F1864"/>
    <w:rsid w:val="005F1E98"/>
    <w:rsid w:val="005F224E"/>
    <w:rsid w:val="005F2B24"/>
    <w:rsid w:val="005F4179"/>
    <w:rsid w:val="005F41B6"/>
    <w:rsid w:val="005F475E"/>
    <w:rsid w:val="005F636E"/>
    <w:rsid w:val="006007A4"/>
    <w:rsid w:val="00601A31"/>
    <w:rsid w:val="00601B05"/>
    <w:rsid w:val="00601E17"/>
    <w:rsid w:val="00602056"/>
    <w:rsid w:val="00602104"/>
    <w:rsid w:val="006028FE"/>
    <w:rsid w:val="00604D3B"/>
    <w:rsid w:val="00604E13"/>
    <w:rsid w:val="00605567"/>
    <w:rsid w:val="00606492"/>
    <w:rsid w:val="00606B52"/>
    <w:rsid w:val="006113EB"/>
    <w:rsid w:val="00612117"/>
    <w:rsid w:val="00612390"/>
    <w:rsid w:val="00612694"/>
    <w:rsid w:val="00612E61"/>
    <w:rsid w:val="0061322B"/>
    <w:rsid w:val="00613573"/>
    <w:rsid w:val="00613CE2"/>
    <w:rsid w:val="0061449B"/>
    <w:rsid w:val="0061484C"/>
    <w:rsid w:val="00615251"/>
    <w:rsid w:val="006166CF"/>
    <w:rsid w:val="006167E6"/>
    <w:rsid w:val="0061779F"/>
    <w:rsid w:val="006211FA"/>
    <w:rsid w:val="00622A93"/>
    <w:rsid w:val="0062418B"/>
    <w:rsid w:val="00625130"/>
    <w:rsid w:val="0062543C"/>
    <w:rsid w:val="00625A5A"/>
    <w:rsid w:val="00625F46"/>
    <w:rsid w:val="006266F1"/>
    <w:rsid w:val="006274C7"/>
    <w:rsid w:val="006301E8"/>
    <w:rsid w:val="00630A09"/>
    <w:rsid w:val="00630B46"/>
    <w:rsid w:val="006313ED"/>
    <w:rsid w:val="00631D6B"/>
    <w:rsid w:val="00632011"/>
    <w:rsid w:val="00633064"/>
    <w:rsid w:val="0063561D"/>
    <w:rsid w:val="0063697F"/>
    <w:rsid w:val="00637228"/>
    <w:rsid w:val="00641687"/>
    <w:rsid w:val="00641A0F"/>
    <w:rsid w:val="00642876"/>
    <w:rsid w:val="0064411D"/>
    <w:rsid w:val="00645D03"/>
    <w:rsid w:val="006470D5"/>
    <w:rsid w:val="00647A1A"/>
    <w:rsid w:val="0065121D"/>
    <w:rsid w:val="00651693"/>
    <w:rsid w:val="00651D74"/>
    <w:rsid w:val="00653286"/>
    <w:rsid w:val="00653D86"/>
    <w:rsid w:val="00656991"/>
    <w:rsid w:val="006574C1"/>
    <w:rsid w:val="006600D4"/>
    <w:rsid w:val="00660607"/>
    <w:rsid w:val="0066089A"/>
    <w:rsid w:val="00660B14"/>
    <w:rsid w:val="00660CE6"/>
    <w:rsid w:val="00661E4E"/>
    <w:rsid w:val="00662754"/>
    <w:rsid w:val="00662C33"/>
    <w:rsid w:val="006632AF"/>
    <w:rsid w:val="006636ED"/>
    <w:rsid w:val="006642AD"/>
    <w:rsid w:val="00664AC1"/>
    <w:rsid w:val="006657DE"/>
    <w:rsid w:val="006665D1"/>
    <w:rsid w:val="006672BE"/>
    <w:rsid w:val="00667AC7"/>
    <w:rsid w:val="00670B32"/>
    <w:rsid w:val="00670C22"/>
    <w:rsid w:val="00671E97"/>
    <w:rsid w:val="006725E5"/>
    <w:rsid w:val="00672848"/>
    <w:rsid w:val="00672F78"/>
    <w:rsid w:val="00673903"/>
    <w:rsid w:val="00674AB3"/>
    <w:rsid w:val="00675448"/>
    <w:rsid w:val="00675BC3"/>
    <w:rsid w:val="00676C4B"/>
    <w:rsid w:val="00683798"/>
    <w:rsid w:val="00684BCF"/>
    <w:rsid w:val="00684BF7"/>
    <w:rsid w:val="00686400"/>
    <w:rsid w:val="00687F3C"/>
    <w:rsid w:val="006927F5"/>
    <w:rsid w:val="00693436"/>
    <w:rsid w:val="0069547A"/>
    <w:rsid w:val="0069556F"/>
    <w:rsid w:val="00695BD7"/>
    <w:rsid w:val="006963DB"/>
    <w:rsid w:val="006A0BEB"/>
    <w:rsid w:val="006A10BF"/>
    <w:rsid w:val="006A1643"/>
    <w:rsid w:val="006A1724"/>
    <w:rsid w:val="006A2B41"/>
    <w:rsid w:val="006A2F0F"/>
    <w:rsid w:val="006A4DBE"/>
    <w:rsid w:val="006A5F4A"/>
    <w:rsid w:val="006A6B81"/>
    <w:rsid w:val="006A7FC7"/>
    <w:rsid w:val="006B0453"/>
    <w:rsid w:val="006B1038"/>
    <w:rsid w:val="006B269B"/>
    <w:rsid w:val="006B3423"/>
    <w:rsid w:val="006B4A9B"/>
    <w:rsid w:val="006B5ED7"/>
    <w:rsid w:val="006B66E7"/>
    <w:rsid w:val="006C0063"/>
    <w:rsid w:val="006C1636"/>
    <w:rsid w:val="006C45BE"/>
    <w:rsid w:val="006C5003"/>
    <w:rsid w:val="006C5213"/>
    <w:rsid w:val="006C6A9C"/>
    <w:rsid w:val="006D017F"/>
    <w:rsid w:val="006D16A0"/>
    <w:rsid w:val="006D21F2"/>
    <w:rsid w:val="006D437F"/>
    <w:rsid w:val="006D459E"/>
    <w:rsid w:val="006D472B"/>
    <w:rsid w:val="006D4C64"/>
    <w:rsid w:val="006D59CE"/>
    <w:rsid w:val="006D5EEF"/>
    <w:rsid w:val="006D7A0C"/>
    <w:rsid w:val="006E17D9"/>
    <w:rsid w:val="006E1A79"/>
    <w:rsid w:val="006E1CAB"/>
    <w:rsid w:val="006E2E54"/>
    <w:rsid w:val="006E3443"/>
    <w:rsid w:val="006E3B44"/>
    <w:rsid w:val="006E789A"/>
    <w:rsid w:val="006E7AE6"/>
    <w:rsid w:val="006F016F"/>
    <w:rsid w:val="006F0616"/>
    <w:rsid w:val="006F0880"/>
    <w:rsid w:val="006F2C89"/>
    <w:rsid w:val="006F3C46"/>
    <w:rsid w:val="006F53CE"/>
    <w:rsid w:val="006F5D3D"/>
    <w:rsid w:val="006F64B8"/>
    <w:rsid w:val="006F6C3A"/>
    <w:rsid w:val="006F6EBA"/>
    <w:rsid w:val="007007D0"/>
    <w:rsid w:val="00700B58"/>
    <w:rsid w:val="007018DF"/>
    <w:rsid w:val="0070277D"/>
    <w:rsid w:val="00703FE2"/>
    <w:rsid w:val="007104C1"/>
    <w:rsid w:val="0071204E"/>
    <w:rsid w:val="0071446C"/>
    <w:rsid w:val="007158B0"/>
    <w:rsid w:val="00715F0E"/>
    <w:rsid w:val="007166D4"/>
    <w:rsid w:val="0071723A"/>
    <w:rsid w:val="007216F8"/>
    <w:rsid w:val="00721837"/>
    <w:rsid w:val="0072249E"/>
    <w:rsid w:val="007236BC"/>
    <w:rsid w:val="00723B07"/>
    <w:rsid w:val="00725154"/>
    <w:rsid w:val="0072520F"/>
    <w:rsid w:val="0072581F"/>
    <w:rsid w:val="007260A8"/>
    <w:rsid w:val="00727823"/>
    <w:rsid w:val="007279C0"/>
    <w:rsid w:val="007305BE"/>
    <w:rsid w:val="00730CF7"/>
    <w:rsid w:val="0073113E"/>
    <w:rsid w:val="00733A96"/>
    <w:rsid w:val="00735D2E"/>
    <w:rsid w:val="00736F96"/>
    <w:rsid w:val="0073771C"/>
    <w:rsid w:val="00740590"/>
    <w:rsid w:val="007409C6"/>
    <w:rsid w:val="00741C44"/>
    <w:rsid w:val="00741D52"/>
    <w:rsid w:val="00744D26"/>
    <w:rsid w:val="00746DBD"/>
    <w:rsid w:val="00750212"/>
    <w:rsid w:val="00750A3C"/>
    <w:rsid w:val="00750AF9"/>
    <w:rsid w:val="007538B4"/>
    <w:rsid w:val="0075435F"/>
    <w:rsid w:val="00754579"/>
    <w:rsid w:val="00755AED"/>
    <w:rsid w:val="00755CF7"/>
    <w:rsid w:val="007568DF"/>
    <w:rsid w:val="00757845"/>
    <w:rsid w:val="00760FAB"/>
    <w:rsid w:val="00761EAE"/>
    <w:rsid w:val="007623CD"/>
    <w:rsid w:val="00762B38"/>
    <w:rsid w:val="007642F3"/>
    <w:rsid w:val="00766C40"/>
    <w:rsid w:val="007672DA"/>
    <w:rsid w:val="0077064A"/>
    <w:rsid w:val="00771C8E"/>
    <w:rsid w:val="00771EB3"/>
    <w:rsid w:val="00773832"/>
    <w:rsid w:val="007753CC"/>
    <w:rsid w:val="007763E2"/>
    <w:rsid w:val="007804CF"/>
    <w:rsid w:val="00780D84"/>
    <w:rsid w:val="00782110"/>
    <w:rsid w:val="00782234"/>
    <w:rsid w:val="0078324D"/>
    <w:rsid w:val="007835CB"/>
    <w:rsid w:val="007842F8"/>
    <w:rsid w:val="00784852"/>
    <w:rsid w:val="00784D45"/>
    <w:rsid w:val="00785F29"/>
    <w:rsid w:val="007863A2"/>
    <w:rsid w:val="007866BD"/>
    <w:rsid w:val="00786877"/>
    <w:rsid w:val="00787416"/>
    <w:rsid w:val="0078789A"/>
    <w:rsid w:val="00790A86"/>
    <w:rsid w:val="00792D9D"/>
    <w:rsid w:val="00794C16"/>
    <w:rsid w:val="00795D0B"/>
    <w:rsid w:val="00795D74"/>
    <w:rsid w:val="007A20B4"/>
    <w:rsid w:val="007A22FF"/>
    <w:rsid w:val="007A3DC6"/>
    <w:rsid w:val="007A6DD3"/>
    <w:rsid w:val="007A6F5D"/>
    <w:rsid w:val="007A7304"/>
    <w:rsid w:val="007A75AA"/>
    <w:rsid w:val="007B0291"/>
    <w:rsid w:val="007B5154"/>
    <w:rsid w:val="007B547B"/>
    <w:rsid w:val="007B7031"/>
    <w:rsid w:val="007C0151"/>
    <w:rsid w:val="007C0728"/>
    <w:rsid w:val="007C0D74"/>
    <w:rsid w:val="007C2054"/>
    <w:rsid w:val="007C242D"/>
    <w:rsid w:val="007C2697"/>
    <w:rsid w:val="007C38B4"/>
    <w:rsid w:val="007C6736"/>
    <w:rsid w:val="007C6C51"/>
    <w:rsid w:val="007D1608"/>
    <w:rsid w:val="007D22A8"/>
    <w:rsid w:val="007D2E8A"/>
    <w:rsid w:val="007D2EFC"/>
    <w:rsid w:val="007D3051"/>
    <w:rsid w:val="007D3B50"/>
    <w:rsid w:val="007D5F18"/>
    <w:rsid w:val="007D606D"/>
    <w:rsid w:val="007D665E"/>
    <w:rsid w:val="007D7103"/>
    <w:rsid w:val="007D7A1A"/>
    <w:rsid w:val="007E2119"/>
    <w:rsid w:val="007E28CA"/>
    <w:rsid w:val="007E3A33"/>
    <w:rsid w:val="007E3CF2"/>
    <w:rsid w:val="007E4645"/>
    <w:rsid w:val="007E47EC"/>
    <w:rsid w:val="007E50FE"/>
    <w:rsid w:val="007E6263"/>
    <w:rsid w:val="007E6BC9"/>
    <w:rsid w:val="007E7BAC"/>
    <w:rsid w:val="007E7CE0"/>
    <w:rsid w:val="007F005F"/>
    <w:rsid w:val="007F0258"/>
    <w:rsid w:val="007F0F31"/>
    <w:rsid w:val="007F160D"/>
    <w:rsid w:val="007F285C"/>
    <w:rsid w:val="007F3DD2"/>
    <w:rsid w:val="007F400F"/>
    <w:rsid w:val="007F7246"/>
    <w:rsid w:val="007F7386"/>
    <w:rsid w:val="008003A7"/>
    <w:rsid w:val="0080075F"/>
    <w:rsid w:val="00803623"/>
    <w:rsid w:val="008047D4"/>
    <w:rsid w:val="00805AF9"/>
    <w:rsid w:val="00806CA7"/>
    <w:rsid w:val="00806CC5"/>
    <w:rsid w:val="00807340"/>
    <w:rsid w:val="00807E8F"/>
    <w:rsid w:val="00807F62"/>
    <w:rsid w:val="00811505"/>
    <w:rsid w:val="00811C5A"/>
    <w:rsid w:val="00811D15"/>
    <w:rsid w:val="00813EFA"/>
    <w:rsid w:val="00814115"/>
    <w:rsid w:val="008200E1"/>
    <w:rsid w:val="008205B5"/>
    <w:rsid w:val="008209E2"/>
    <w:rsid w:val="00823D3A"/>
    <w:rsid w:val="00823E7F"/>
    <w:rsid w:val="00824BFC"/>
    <w:rsid w:val="00824D7B"/>
    <w:rsid w:val="00824DAD"/>
    <w:rsid w:val="008268FE"/>
    <w:rsid w:val="00826CCC"/>
    <w:rsid w:val="00827067"/>
    <w:rsid w:val="008303A8"/>
    <w:rsid w:val="00831A71"/>
    <w:rsid w:val="00831B9B"/>
    <w:rsid w:val="008326BE"/>
    <w:rsid w:val="0083275E"/>
    <w:rsid w:val="00833272"/>
    <w:rsid w:val="008334BD"/>
    <w:rsid w:val="00834905"/>
    <w:rsid w:val="008356E7"/>
    <w:rsid w:val="00836A82"/>
    <w:rsid w:val="0083792D"/>
    <w:rsid w:val="0084297C"/>
    <w:rsid w:val="008431E7"/>
    <w:rsid w:val="00843DF0"/>
    <w:rsid w:val="008445E1"/>
    <w:rsid w:val="008450D8"/>
    <w:rsid w:val="008452F6"/>
    <w:rsid w:val="00846DE8"/>
    <w:rsid w:val="008502CA"/>
    <w:rsid w:val="00851701"/>
    <w:rsid w:val="0085264D"/>
    <w:rsid w:val="0085347C"/>
    <w:rsid w:val="00854826"/>
    <w:rsid w:val="00855672"/>
    <w:rsid w:val="008575CE"/>
    <w:rsid w:val="00857D3F"/>
    <w:rsid w:val="00857F5F"/>
    <w:rsid w:val="00860A0A"/>
    <w:rsid w:val="0086258D"/>
    <w:rsid w:val="00864741"/>
    <w:rsid w:val="008661CA"/>
    <w:rsid w:val="00866599"/>
    <w:rsid w:val="00866F17"/>
    <w:rsid w:val="00867012"/>
    <w:rsid w:val="008676E7"/>
    <w:rsid w:val="00867DF7"/>
    <w:rsid w:val="00870834"/>
    <w:rsid w:val="008709FE"/>
    <w:rsid w:val="00870ED8"/>
    <w:rsid w:val="00871070"/>
    <w:rsid w:val="008721B6"/>
    <w:rsid w:val="00872DF5"/>
    <w:rsid w:val="00873378"/>
    <w:rsid w:val="008733F3"/>
    <w:rsid w:val="008735AA"/>
    <w:rsid w:val="008738B6"/>
    <w:rsid w:val="00873988"/>
    <w:rsid w:val="008749B1"/>
    <w:rsid w:val="00875551"/>
    <w:rsid w:val="008761CF"/>
    <w:rsid w:val="00881978"/>
    <w:rsid w:val="0088198A"/>
    <w:rsid w:val="00881C15"/>
    <w:rsid w:val="00881EEF"/>
    <w:rsid w:val="00882523"/>
    <w:rsid w:val="00882C6F"/>
    <w:rsid w:val="00885DED"/>
    <w:rsid w:val="00886016"/>
    <w:rsid w:val="008862C5"/>
    <w:rsid w:val="00886F42"/>
    <w:rsid w:val="0089003D"/>
    <w:rsid w:val="008901AB"/>
    <w:rsid w:val="00890DDD"/>
    <w:rsid w:val="00891A15"/>
    <w:rsid w:val="00893A77"/>
    <w:rsid w:val="00895ADB"/>
    <w:rsid w:val="00897172"/>
    <w:rsid w:val="008976AE"/>
    <w:rsid w:val="008A0B8B"/>
    <w:rsid w:val="008A3231"/>
    <w:rsid w:val="008A3476"/>
    <w:rsid w:val="008A3A29"/>
    <w:rsid w:val="008A4BC8"/>
    <w:rsid w:val="008A5A26"/>
    <w:rsid w:val="008A5E58"/>
    <w:rsid w:val="008A6087"/>
    <w:rsid w:val="008B0E56"/>
    <w:rsid w:val="008B0F7E"/>
    <w:rsid w:val="008B1199"/>
    <w:rsid w:val="008B216B"/>
    <w:rsid w:val="008B37E8"/>
    <w:rsid w:val="008B3E8C"/>
    <w:rsid w:val="008B4040"/>
    <w:rsid w:val="008B4670"/>
    <w:rsid w:val="008B47CD"/>
    <w:rsid w:val="008B4889"/>
    <w:rsid w:val="008B4A29"/>
    <w:rsid w:val="008B6B3D"/>
    <w:rsid w:val="008B7123"/>
    <w:rsid w:val="008C00B7"/>
    <w:rsid w:val="008C04BE"/>
    <w:rsid w:val="008C07DD"/>
    <w:rsid w:val="008C253C"/>
    <w:rsid w:val="008C3525"/>
    <w:rsid w:val="008C4819"/>
    <w:rsid w:val="008C491C"/>
    <w:rsid w:val="008C5A9B"/>
    <w:rsid w:val="008C5CB6"/>
    <w:rsid w:val="008C636C"/>
    <w:rsid w:val="008C71FE"/>
    <w:rsid w:val="008D22CD"/>
    <w:rsid w:val="008D22E9"/>
    <w:rsid w:val="008D2778"/>
    <w:rsid w:val="008D2840"/>
    <w:rsid w:val="008D56E9"/>
    <w:rsid w:val="008D5DDB"/>
    <w:rsid w:val="008D6560"/>
    <w:rsid w:val="008D6ECD"/>
    <w:rsid w:val="008E0496"/>
    <w:rsid w:val="008E06F4"/>
    <w:rsid w:val="008E1214"/>
    <w:rsid w:val="008E1889"/>
    <w:rsid w:val="008E2138"/>
    <w:rsid w:val="008E30FC"/>
    <w:rsid w:val="008E4B38"/>
    <w:rsid w:val="008E4D4F"/>
    <w:rsid w:val="008E578A"/>
    <w:rsid w:val="008E6E99"/>
    <w:rsid w:val="008E74F9"/>
    <w:rsid w:val="008E77DB"/>
    <w:rsid w:val="008E7A21"/>
    <w:rsid w:val="008F0BB5"/>
    <w:rsid w:val="008F3F0B"/>
    <w:rsid w:val="00900E99"/>
    <w:rsid w:val="0090421B"/>
    <w:rsid w:val="0090422A"/>
    <w:rsid w:val="00905C0A"/>
    <w:rsid w:val="009074D7"/>
    <w:rsid w:val="0090750A"/>
    <w:rsid w:val="00907D29"/>
    <w:rsid w:val="009100D9"/>
    <w:rsid w:val="00910A0A"/>
    <w:rsid w:val="00911FC8"/>
    <w:rsid w:val="00914149"/>
    <w:rsid w:val="009143A9"/>
    <w:rsid w:val="00914BA6"/>
    <w:rsid w:val="00915E66"/>
    <w:rsid w:val="00917E8C"/>
    <w:rsid w:val="00920AA0"/>
    <w:rsid w:val="00920BA2"/>
    <w:rsid w:val="00923469"/>
    <w:rsid w:val="00926D1D"/>
    <w:rsid w:val="00927720"/>
    <w:rsid w:val="00927ABA"/>
    <w:rsid w:val="0093039A"/>
    <w:rsid w:val="009313E8"/>
    <w:rsid w:val="00932072"/>
    <w:rsid w:val="00932692"/>
    <w:rsid w:val="00935581"/>
    <w:rsid w:val="00935A38"/>
    <w:rsid w:val="00935B0A"/>
    <w:rsid w:val="00936BF9"/>
    <w:rsid w:val="00937610"/>
    <w:rsid w:val="009378E9"/>
    <w:rsid w:val="00940D0A"/>
    <w:rsid w:val="00942C98"/>
    <w:rsid w:val="00942E84"/>
    <w:rsid w:val="00943945"/>
    <w:rsid w:val="00944305"/>
    <w:rsid w:val="00944A2E"/>
    <w:rsid w:val="00944BB9"/>
    <w:rsid w:val="009452B2"/>
    <w:rsid w:val="0094550E"/>
    <w:rsid w:val="00945966"/>
    <w:rsid w:val="00950D5B"/>
    <w:rsid w:val="00951B9F"/>
    <w:rsid w:val="00953454"/>
    <w:rsid w:val="009541F8"/>
    <w:rsid w:val="009560A5"/>
    <w:rsid w:val="00957859"/>
    <w:rsid w:val="00957A91"/>
    <w:rsid w:val="009612C7"/>
    <w:rsid w:val="009616C9"/>
    <w:rsid w:val="00961F82"/>
    <w:rsid w:val="009623AF"/>
    <w:rsid w:val="00964915"/>
    <w:rsid w:val="00967D10"/>
    <w:rsid w:val="009712B8"/>
    <w:rsid w:val="009764D5"/>
    <w:rsid w:val="009768EA"/>
    <w:rsid w:val="00976E04"/>
    <w:rsid w:val="00977879"/>
    <w:rsid w:val="0098026A"/>
    <w:rsid w:val="00981A5B"/>
    <w:rsid w:val="0098225E"/>
    <w:rsid w:val="009822EF"/>
    <w:rsid w:val="00984173"/>
    <w:rsid w:val="00984268"/>
    <w:rsid w:val="00985080"/>
    <w:rsid w:val="0098573F"/>
    <w:rsid w:val="00985A21"/>
    <w:rsid w:val="00990549"/>
    <w:rsid w:val="00990B58"/>
    <w:rsid w:val="0099147A"/>
    <w:rsid w:val="009914DE"/>
    <w:rsid w:val="00992208"/>
    <w:rsid w:val="009922EE"/>
    <w:rsid w:val="00992C3D"/>
    <w:rsid w:val="00993186"/>
    <w:rsid w:val="0099795B"/>
    <w:rsid w:val="009A0520"/>
    <w:rsid w:val="009A063F"/>
    <w:rsid w:val="009A1041"/>
    <w:rsid w:val="009A1DB8"/>
    <w:rsid w:val="009A2B25"/>
    <w:rsid w:val="009A31A6"/>
    <w:rsid w:val="009A3630"/>
    <w:rsid w:val="009A3E55"/>
    <w:rsid w:val="009A42D9"/>
    <w:rsid w:val="009A463F"/>
    <w:rsid w:val="009A4DB4"/>
    <w:rsid w:val="009A537B"/>
    <w:rsid w:val="009A62AD"/>
    <w:rsid w:val="009B102D"/>
    <w:rsid w:val="009B39C5"/>
    <w:rsid w:val="009B5852"/>
    <w:rsid w:val="009B5C74"/>
    <w:rsid w:val="009B67B7"/>
    <w:rsid w:val="009B6D4C"/>
    <w:rsid w:val="009C0521"/>
    <w:rsid w:val="009C0BD7"/>
    <w:rsid w:val="009C0C7E"/>
    <w:rsid w:val="009C14E2"/>
    <w:rsid w:val="009C1B08"/>
    <w:rsid w:val="009C1DC5"/>
    <w:rsid w:val="009C2472"/>
    <w:rsid w:val="009C26D1"/>
    <w:rsid w:val="009C27A1"/>
    <w:rsid w:val="009C27A9"/>
    <w:rsid w:val="009C2D40"/>
    <w:rsid w:val="009C30D5"/>
    <w:rsid w:val="009C3277"/>
    <w:rsid w:val="009C3991"/>
    <w:rsid w:val="009C3DCD"/>
    <w:rsid w:val="009C5030"/>
    <w:rsid w:val="009C52DB"/>
    <w:rsid w:val="009C5F77"/>
    <w:rsid w:val="009C68F8"/>
    <w:rsid w:val="009C72FC"/>
    <w:rsid w:val="009D1377"/>
    <w:rsid w:val="009D14EE"/>
    <w:rsid w:val="009D17AA"/>
    <w:rsid w:val="009D1829"/>
    <w:rsid w:val="009D26CB"/>
    <w:rsid w:val="009D2C09"/>
    <w:rsid w:val="009D3F4F"/>
    <w:rsid w:val="009D4E0C"/>
    <w:rsid w:val="009D6D87"/>
    <w:rsid w:val="009D74BB"/>
    <w:rsid w:val="009E075D"/>
    <w:rsid w:val="009E1FBD"/>
    <w:rsid w:val="009E2131"/>
    <w:rsid w:val="009E2B43"/>
    <w:rsid w:val="009E2C53"/>
    <w:rsid w:val="009E35F6"/>
    <w:rsid w:val="009E6400"/>
    <w:rsid w:val="009E7309"/>
    <w:rsid w:val="009E74B4"/>
    <w:rsid w:val="009E758D"/>
    <w:rsid w:val="009F2B69"/>
    <w:rsid w:val="009F44FC"/>
    <w:rsid w:val="009F5988"/>
    <w:rsid w:val="009F75A9"/>
    <w:rsid w:val="009F78B8"/>
    <w:rsid w:val="009F7D7A"/>
    <w:rsid w:val="00A02996"/>
    <w:rsid w:val="00A031C4"/>
    <w:rsid w:val="00A03D2C"/>
    <w:rsid w:val="00A03E57"/>
    <w:rsid w:val="00A044FF"/>
    <w:rsid w:val="00A04B40"/>
    <w:rsid w:val="00A04B48"/>
    <w:rsid w:val="00A05330"/>
    <w:rsid w:val="00A0540D"/>
    <w:rsid w:val="00A05B60"/>
    <w:rsid w:val="00A0613B"/>
    <w:rsid w:val="00A101D0"/>
    <w:rsid w:val="00A104CB"/>
    <w:rsid w:val="00A10984"/>
    <w:rsid w:val="00A12040"/>
    <w:rsid w:val="00A1281A"/>
    <w:rsid w:val="00A12D51"/>
    <w:rsid w:val="00A12F06"/>
    <w:rsid w:val="00A14BD8"/>
    <w:rsid w:val="00A15061"/>
    <w:rsid w:val="00A1587F"/>
    <w:rsid w:val="00A15EE1"/>
    <w:rsid w:val="00A16F43"/>
    <w:rsid w:val="00A1742D"/>
    <w:rsid w:val="00A201EF"/>
    <w:rsid w:val="00A20660"/>
    <w:rsid w:val="00A20930"/>
    <w:rsid w:val="00A22B7F"/>
    <w:rsid w:val="00A22E47"/>
    <w:rsid w:val="00A232AE"/>
    <w:rsid w:val="00A2604C"/>
    <w:rsid w:val="00A26A5D"/>
    <w:rsid w:val="00A2708A"/>
    <w:rsid w:val="00A2725B"/>
    <w:rsid w:val="00A2733F"/>
    <w:rsid w:val="00A300A9"/>
    <w:rsid w:val="00A316E1"/>
    <w:rsid w:val="00A3270D"/>
    <w:rsid w:val="00A32E73"/>
    <w:rsid w:val="00A3305A"/>
    <w:rsid w:val="00A330A7"/>
    <w:rsid w:val="00A339C8"/>
    <w:rsid w:val="00A33E75"/>
    <w:rsid w:val="00A3428C"/>
    <w:rsid w:val="00A366B5"/>
    <w:rsid w:val="00A36750"/>
    <w:rsid w:val="00A372C4"/>
    <w:rsid w:val="00A40C92"/>
    <w:rsid w:val="00A4121E"/>
    <w:rsid w:val="00A41355"/>
    <w:rsid w:val="00A415A0"/>
    <w:rsid w:val="00A415A9"/>
    <w:rsid w:val="00A415CE"/>
    <w:rsid w:val="00A42ACE"/>
    <w:rsid w:val="00A431CC"/>
    <w:rsid w:val="00A4605F"/>
    <w:rsid w:val="00A468E5"/>
    <w:rsid w:val="00A47534"/>
    <w:rsid w:val="00A5115B"/>
    <w:rsid w:val="00A51283"/>
    <w:rsid w:val="00A51FC4"/>
    <w:rsid w:val="00A53EE2"/>
    <w:rsid w:val="00A55357"/>
    <w:rsid w:val="00A55FC1"/>
    <w:rsid w:val="00A562CA"/>
    <w:rsid w:val="00A5689B"/>
    <w:rsid w:val="00A56E5C"/>
    <w:rsid w:val="00A60C78"/>
    <w:rsid w:val="00A60E39"/>
    <w:rsid w:val="00A620B9"/>
    <w:rsid w:val="00A631CD"/>
    <w:rsid w:val="00A63F78"/>
    <w:rsid w:val="00A643E9"/>
    <w:rsid w:val="00A64C68"/>
    <w:rsid w:val="00A6525E"/>
    <w:rsid w:val="00A65447"/>
    <w:rsid w:val="00A65CB6"/>
    <w:rsid w:val="00A6623D"/>
    <w:rsid w:val="00A66717"/>
    <w:rsid w:val="00A668AD"/>
    <w:rsid w:val="00A7034A"/>
    <w:rsid w:val="00A72331"/>
    <w:rsid w:val="00A724BC"/>
    <w:rsid w:val="00A7267A"/>
    <w:rsid w:val="00A7311E"/>
    <w:rsid w:val="00A74088"/>
    <w:rsid w:val="00A7559A"/>
    <w:rsid w:val="00A76608"/>
    <w:rsid w:val="00A779BC"/>
    <w:rsid w:val="00A80AB2"/>
    <w:rsid w:val="00A80F70"/>
    <w:rsid w:val="00A820CA"/>
    <w:rsid w:val="00A82F81"/>
    <w:rsid w:val="00A84E75"/>
    <w:rsid w:val="00A8505D"/>
    <w:rsid w:val="00A85388"/>
    <w:rsid w:val="00A85E21"/>
    <w:rsid w:val="00A86A99"/>
    <w:rsid w:val="00A906D8"/>
    <w:rsid w:val="00A90DB7"/>
    <w:rsid w:val="00A91AC7"/>
    <w:rsid w:val="00A93FC5"/>
    <w:rsid w:val="00A96A2C"/>
    <w:rsid w:val="00A97A80"/>
    <w:rsid w:val="00A97E58"/>
    <w:rsid w:val="00AA04F7"/>
    <w:rsid w:val="00AA11D1"/>
    <w:rsid w:val="00AA38D7"/>
    <w:rsid w:val="00AA411A"/>
    <w:rsid w:val="00AA5DD0"/>
    <w:rsid w:val="00AA7B4C"/>
    <w:rsid w:val="00AA7EBC"/>
    <w:rsid w:val="00AB049E"/>
    <w:rsid w:val="00AB05AB"/>
    <w:rsid w:val="00AB0EAA"/>
    <w:rsid w:val="00AB126F"/>
    <w:rsid w:val="00AB28D0"/>
    <w:rsid w:val="00AB41B3"/>
    <w:rsid w:val="00AB4474"/>
    <w:rsid w:val="00AB4902"/>
    <w:rsid w:val="00AB4D75"/>
    <w:rsid w:val="00AB5A71"/>
    <w:rsid w:val="00AB6499"/>
    <w:rsid w:val="00AB7741"/>
    <w:rsid w:val="00AC0259"/>
    <w:rsid w:val="00AC265D"/>
    <w:rsid w:val="00AC2E73"/>
    <w:rsid w:val="00AC37CD"/>
    <w:rsid w:val="00AC3E55"/>
    <w:rsid w:val="00AC4516"/>
    <w:rsid w:val="00AC51EB"/>
    <w:rsid w:val="00AC5D2E"/>
    <w:rsid w:val="00AC6993"/>
    <w:rsid w:val="00AC7326"/>
    <w:rsid w:val="00AC77C0"/>
    <w:rsid w:val="00AD2978"/>
    <w:rsid w:val="00AD29AE"/>
    <w:rsid w:val="00AD300F"/>
    <w:rsid w:val="00AD3FC3"/>
    <w:rsid w:val="00AD41F3"/>
    <w:rsid w:val="00AD474D"/>
    <w:rsid w:val="00AD5871"/>
    <w:rsid w:val="00AD62D1"/>
    <w:rsid w:val="00AD644B"/>
    <w:rsid w:val="00AD6FB8"/>
    <w:rsid w:val="00AE0145"/>
    <w:rsid w:val="00AE09E2"/>
    <w:rsid w:val="00AE1CBB"/>
    <w:rsid w:val="00AE1DE4"/>
    <w:rsid w:val="00AE3B80"/>
    <w:rsid w:val="00AE3C86"/>
    <w:rsid w:val="00AE4F6E"/>
    <w:rsid w:val="00AF02DF"/>
    <w:rsid w:val="00AF0AAD"/>
    <w:rsid w:val="00AF0C52"/>
    <w:rsid w:val="00AF107D"/>
    <w:rsid w:val="00AF2129"/>
    <w:rsid w:val="00AF3088"/>
    <w:rsid w:val="00AF3288"/>
    <w:rsid w:val="00AF352C"/>
    <w:rsid w:val="00AF3E0F"/>
    <w:rsid w:val="00AF3F03"/>
    <w:rsid w:val="00AF4612"/>
    <w:rsid w:val="00AF4CC0"/>
    <w:rsid w:val="00AF6218"/>
    <w:rsid w:val="00B007AB"/>
    <w:rsid w:val="00B03F1F"/>
    <w:rsid w:val="00B03F87"/>
    <w:rsid w:val="00B0460A"/>
    <w:rsid w:val="00B052E0"/>
    <w:rsid w:val="00B06307"/>
    <w:rsid w:val="00B06349"/>
    <w:rsid w:val="00B076A5"/>
    <w:rsid w:val="00B07987"/>
    <w:rsid w:val="00B10A4F"/>
    <w:rsid w:val="00B1132B"/>
    <w:rsid w:val="00B114C2"/>
    <w:rsid w:val="00B13BEC"/>
    <w:rsid w:val="00B141A5"/>
    <w:rsid w:val="00B21D2E"/>
    <w:rsid w:val="00B22E2F"/>
    <w:rsid w:val="00B23170"/>
    <w:rsid w:val="00B26FCC"/>
    <w:rsid w:val="00B314D3"/>
    <w:rsid w:val="00B318F2"/>
    <w:rsid w:val="00B31AB6"/>
    <w:rsid w:val="00B326B3"/>
    <w:rsid w:val="00B327F0"/>
    <w:rsid w:val="00B34090"/>
    <w:rsid w:val="00B34746"/>
    <w:rsid w:val="00B36147"/>
    <w:rsid w:val="00B36D44"/>
    <w:rsid w:val="00B37EF9"/>
    <w:rsid w:val="00B4014E"/>
    <w:rsid w:val="00B403B8"/>
    <w:rsid w:val="00B40580"/>
    <w:rsid w:val="00B40DEA"/>
    <w:rsid w:val="00B40EA7"/>
    <w:rsid w:val="00B40FBB"/>
    <w:rsid w:val="00B41025"/>
    <w:rsid w:val="00B41CF6"/>
    <w:rsid w:val="00B42B33"/>
    <w:rsid w:val="00B43258"/>
    <w:rsid w:val="00B43BC0"/>
    <w:rsid w:val="00B4406E"/>
    <w:rsid w:val="00B45093"/>
    <w:rsid w:val="00B4546B"/>
    <w:rsid w:val="00B45D58"/>
    <w:rsid w:val="00B46159"/>
    <w:rsid w:val="00B46A62"/>
    <w:rsid w:val="00B46C0F"/>
    <w:rsid w:val="00B50302"/>
    <w:rsid w:val="00B509A7"/>
    <w:rsid w:val="00B515CC"/>
    <w:rsid w:val="00B5259A"/>
    <w:rsid w:val="00B52F45"/>
    <w:rsid w:val="00B5386E"/>
    <w:rsid w:val="00B553CF"/>
    <w:rsid w:val="00B56B7C"/>
    <w:rsid w:val="00B570A7"/>
    <w:rsid w:val="00B632AD"/>
    <w:rsid w:val="00B66870"/>
    <w:rsid w:val="00B67119"/>
    <w:rsid w:val="00B676A5"/>
    <w:rsid w:val="00B7079F"/>
    <w:rsid w:val="00B714F8"/>
    <w:rsid w:val="00B716B1"/>
    <w:rsid w:val="00B71F26"/>
    <w:rsid w:val="00B75025"/>
    <w:rsid w:val="00B769BD"/>
    <w:rsid w:val="00B76F64"/>
    <w:rsid w:val="00B7710D"/>
    <w:rsid w:val="00B7788F"/>
    <w:rsid w:val="00B80249"/>
    <w:rsid w:val="00B81B1F"/>
    <w:rsid w:val="00B832DE"/>
    <w:rsid w:val="00B84016"/>
    <w:rsid w:val="00B84163"/>
    <w:rsid w:val="00B9069A"/>
    <w:rsid w:val="00B90D57"/>
    <w:rsid w:val="00B91756"/>
    <w:rsid w:val="00B920D6"/>
    <w:rsid w:val="00B928BB"/>
    <w:rsid w:val="00B93075"/>
    <w:rsid w:val="00B94E36"/>
    <w:rsid w:val="00B96937"/>
    <w:rsid w:val="00B978F4"/>
    <w:rsid w:val="00BA047E"/>
    <w:rsid w:val="00BA2ACC"/>
    <w:rsid w:val="00BA4191"/>
    <w:rsid w:val="00BA5588"/>
    <w:rsid w:val="00BA5886"/>
    <w:rsid w:val="00BA58F1"/>
    <w:rsid w:val="00BA6762"/>
    <w:rsid w:val="00BA6B48"/>
    <w:rsid w:val="00BA6C88"/>
    <w:rsid w:val="00BA7230"/>
    <w:rsid w:val="00BA7781"/>
    <w:rsid w:val="00BA7F76"/>
    <w:rsid w:val="00BB01CF"/>
    <w:rsid w:val="00BB0C35"/>
    <w:rsid w:val="00BB179A"/>
    <w:rsid w:val="00BB20D0"/>
    <w:rsid w:val="00BB27BC"/>
    <w:rsid w:val="00BB396D"/>
    <w:rsid w:val="00BB500E"/>
    <w:rsid w:val="00BB536A"/>
    <w:rsid w:val="00BB547A"/>
    <w:rsid w:val="00BB54F1"/>
    <w:rsid w:val="00BC04E3"/>
    <w:rsid w:val="00BC13B8"/>
    <w:rsid w:val="00BC232D"/>
    <w:rsid w:val="00BC4014"/>
    <w:rsid w:val="00BC4756"/>
    <w:rsid w:val="00BC50D5"/>
    <w:rsid w:val="00BC556E"/>
    <w:rsid w:val="00BC5800"/>
    <w:rsid w:val="00BC63C8"/>
    <w:rsid w:val="00BC6EA4"/>
    <w:rsid w:val="00BC6F6D"/>
    <w:rsid w:val="00BD0895"/>
    <w:rsid w:val="00BD1F5B"/>
    <w:rsid w:val="00BD2338"/>
    <w:rsid w:val="00BD27D1"/>
    <w:rsid w:val="00BD386E"/>
    <w:rsid w:val="00BD4FC3"/>
    <w:rsid w:val="00BD7715"/>
    <w:rsid w:val="00BE172E"/>
    <w:rsid w:val="00BE2DE7"/>
    <w:rsid w:val="00BE384C"/>
    <w:rsid w:val="00BE43BA"/>
    <w:rsid w:val="00BE46B5"/>
    <w:rsid w:val="00BE4BD0"/>
    <w:rsid w:val="00BE508F"/>
    <w:rsid w:val="00BE50F3"/>
    <w:rsid w:val="00BE562C"/>
    <w:rsid w:val="00BE5889"/>
    <w:rsid w:val="00BE5C36"/>
    <w:rsid w:val="00BE5D5F"/>
    <w:rsid w:val="00BE6D48"/>
    <w:rsid w:val="00BE7BAB"/>
    <w:rsid w:val="00BE7D04"/>
    <w:rsid w:val="00BF0C35"/>
    <w:rsid w:val="00BF10C3"/>
    <w:rsid w:val="00BF1361"/>
    <w:rsid w:val="00BF1702"/>
    <w:rsid w:val="00BF471E"/>
    <w:rsid w:val="00BF4BB0"/>
    <w:rsid w:val="00BF5498"/>
    <w:rsid w:val="00BF5B47"/>
    <w:rsid w:val="00C0233D"/>
    <w:rsid w:val="00C05E14"/>
    <w:rsid w:val="00C06915"/>
    <w:rsid w:val="00C06971"/>
    <w:rsid w:val="00C13316"/>
    <w:rsid w:val="00C13DED"/>
    <w:rsid w:val="00C15A1C"/>
    <w:rsid w:val="00C1611E"/>
    <w:rsid w:val="00C16125"/>
    <w:rsid w:val="00C169EA"/>
    <w:rsid w:val="00C16D76"/>
    <w:rsid w:val="00C206A4"/>
    <w:rsid w:val="00C20C30"/>
    <w:rsid w:val="00C21685"/>
    <w:rsid w:val="00C21C87"/>
    <w:rsid w:val="00C22029"/>
    <w:rsid w:val="00C2237B"/>
    <w:rsid w:val="00C22858"/>
    <w:rsid w:val="00C2718A"/>
    <w:rsid w:val="00C278BA"/>
    <w:rsid w:val="00C27A1F"/>
    <w:rsid w:val="00C27C10"/>
    <w:rsid w:val="00C30C0C"/>
    <w:rsid w:val="00C34784"/>
    <w:rsid w:val="00C34A45"/>
    <w:rsid w:val="00C35AEA"/>
    <w:rsid w:val="00C35E36"/>
    <w:rsid w:val="00C37EAB"/>
    <w:rsid w:val="00C37FC6"/>
    <w:rsid w:val="00C41E9D"/>
    <w:rsid w:val="00C430E6"/>
    <w:rsid w:val="00C4321F"/>
    <w:rsid w:val="00C43823"/>
    <w:rsid w:val="00C43D68"/>
    <w:rsid w:val="00C442EA"/>
    <w:rsid w:val="00C44897"/>
    <w:rsid w:val="00C4527C"/>
    <w:rsid w:val="00C458CE"/>
    <w:rsid w:val="00C461FC"/>
    <w:rsid w:val="00C47ABE"/>
    <w:rsid w:val="00C5063C"/>
    <w:rsid w:val="00C5171E"/>
    <w:rsid w:val="00C51FE2"/>
    <w:rsid w:val="00C5297F"/>
    <w:rsid w:val="00C541B9"/>
    <w:rsid w:val="00C54380"/>
    <w:rsid w:val="00C547BF"/>
    <w:rsid w:val="00C548C3"/>
    <w:rsid w:val="00C5519E"/>
    <w:rsid w:val="00C556AC"/>
    <w:rsid w:val="00C55949"/>
    <w:rsid w:val="00C55CFC"/>
    <w:rsid w:val="00C56129"/>
    <w:rsid w:val="00C62A7C"/>
    <w:rsid w:val="00C632D7"/>
    <w:rsid w:val="00C6398C"/>
    <w:rsid w:val="00C6426B"/>
    <w:rsid w:val="00C64515"/>
    <w:rsid w:val="00C64562"/>
    <w:rsid w:val="00C65C07"/>
    <w:rsid w:val="00C71700"/>
    <w:rsid w:val="00C717D5"/>
    <w:rsid w:val="00C7308A"/>
    <w:rsid w:val="00C73B0A"/>
    <w:rsid w:val="00C74789"/>
    <w:rsid w:val="00C75AB5"/>
    <w:rsid w:val="00C8073E"/>
    <w:rsid w:val="00C808C1"/>
    <w:rsid w:val="00C80E0C"/>
    <w:rsid w:val="00C81C46"/>
    <w:rsid w:val="00C82089"/>
    <w:rsid w:val="00C82D14"/>
    <w:rsid w:val="00C8369A"/>
    <w:rsid w:val="00C8439F"/>
    <w:rsid w:val="00C86EE8"/>
    <w:rsid w:val="00C91325"/>
    <w:rsid w:val="00C919A7"/>
    <w:rsid w:val="00C9284B"/>
    <w:rsid w:val="00C9369E"/>
    <w:rsid w:val="00C939BD"/>
    <w:rsid w:val="00C93AEC"/>
    <w:rsid w:val="00C94DD0"/>
    <w:rsid w:val="00C95532"/>
    <w:rsid w:val="00C96964"/>
    <w:rsid w:val="00CA01A8"/>
    <w:rsid w:val="00CA38D1"/>
    <w:rsid w:val="00CA3CF5"/>
    <w:rsid w:val="00CA3E87"/>
    <w:rsid w:val="00CA4807"/>
    <w:rsid w:val="00CA4C42"/>
    <w:rsid w:val="00CA4D0E"/>
    <w:rsid w:val="00CA4F1E"/>
    <w:rsid w:val="00CA598C"/>
    <w:rsid w:val="00CA76E1"/>
    <w:rsid w:val="00CB065D"/>
    <w:rsid w:val="00CB075B"/>
    <w:rsid w:val="00CB0DA3"/>
    <w:rsid w:val="00CB167F"/>
    <w:rsid w:val="00CB1832"/>
    <w:rsid w:val="00CB2A4C"/>
    <w:rsid w:val="00CB589A"/>
    <w:rsid w:val="00CB6602"/>
    <w:rsid w:val="00CB70C6"/>
    <w:rsid w:val="00CB7AE4"/>
    <w:rsid w:val="00CC14B2"/>
    <w:rsid w:val="00CC25EB"/>
    <w:rsid w:val="00CC27B7"/>
    <w:rsid w:val="00CC37A7"/>
    <w:rsid w:val="00CC37BC"/>
    <w:rsid w:val="00CC4727"/>
    <w:rsid w:val="00CC4BBE"/>
    <w:rsid w:val="00CC6436"/>
    <w:rsid w:val="00CC67BF"/>
    <w:rsid w:val="00CC6844"/>
    <w:rsid w:val="00CC713E"/>
    <w:rsid w:val="00CD16CB"/>
    <w:rsid w:val="00CD18C2"/>
    <w:rsid w:val="00CD36CE"/>
    <w:rsid w:val="00CD3AFD"/>
    <w:rsid w:val="00CD418A"/>
    <w:rsid w:val="00CD4B72"/>
    <w:rsid w:val="00CD5169"/>
    <w:rsid w:val="00CD5459"/>
    <w:rsid w:val="00CD6469"/>
    <w:rsid w:val="00CE314B"/>
    <w:rsid w:val="00CE317E"/>
    <w:rsid w:val="00CE3A80"/>
    <w:rsid w:val="00CE4157"/>
    <w:rsid w:val="00CE57EA"/>
    <w:rsid w:val="00CE6092"/>
    <w:rsid w:val="00CE688B"/>
    <w:rsid w:val="00CE702A"/>
    <w:rsid w:val="00CE73EA"/>
    <w:rsid w:val="00CE7655"/>
    <w:rsid w:val="00CE7E34"/>
    <w:rsid w:val="00CF02E0"/>
    <w:rsid w:val="00CF1E43"/>
    <w:rsid w:val="00CF2E43"/>
    <w:rsid w:val="00CF38B7"/>
    <w:rsid w:val="00CF4307"/>
    <w:rsid w:val="00CF4E8A"/>
    <w:rsid w:val="00CF5F2E"/>
    <w:rsid w:val="00CF6708"/>
    <w:rsid w:val="00CF6B09"/>
    <w:rsid w:val="00CF714D"/>
    <w:rsid w:val="00D00E1D"/>
    <w:rsid w:val="00D02ECD"/>
    <w:rsid w:val="00D030C7"/>
    <w:rsid w:val="00D04A3A"/>
    <w:rsid w:val="00D06964"/>
    <w:rsid w:val="00D06A53"/>
    <w:rsid w:val="00D0777A"/>
    <w:rsid w:val="00D07FCD"/>
    <w:rsid w:val="00D11B0C"/>
    <w:rsid w:val="00D12E03"/>
    <w:rsid w:val="00D12E9D"/>
    <w:rsid w:val="00D13C92"/>
    <w:rsid w:val="00D14225"/>
    <w:rsid w:val="00D157C7"/>
    <w:rsid w:val="00D157FA"/>
    <w:rsid w:val="00D15D54"/>
    <w:rsid w:val="00D15E72"/>
    <w:rsid w:val="00D16176"/>
    <w:rsid w:val="00D169CF"/>
    <w:rsid w:val="00D16A2C"/>
    <w:rsid w:val="00D206A8"/>
    <w:rsid w:val="00D20DAC"/>
    <w:rsid w:val="00D21AEE"/>
    <w:rsid w:val="00D22DBB"/>
    <w:rsid w:val="00D25F2E"/>
    <w:rsid w:val="00D338AC"/>
    <w:rsid w:val="00D34634"/>
    <w:rsid w:val="00D35EFF"/>
    <w:rsid w:val="00D36205"/>
    <w:rsid w:val="00D36CAC"/>
    <w:rsid w:val="00D41962"/>
    <w:rsid w:val="00D41F67"/>
    <w:rsid w:val="00D4235F"/>
    <w:rsid w:val="00D42398"/>
    <w:rsid w:val="00D4301E"/>
    <w:rsid w:val="00D456D6"/>
    <w:rsid w:val="00D45D1B"/>
    <w:rsid w:val="00D45E47"/>
    <w:rsid w:val="00D47983"/>
    <w:rsid w:val="00D53AD6"/>
    <w:rsid w:val="00D56740"/>
    <w:rsid w:val="00D57643"/>
    <w:rsid w:val="00D62444"/>
    <w:rsid w:val="00D628A3"/>
    <w:rsid w:val="00D638E5"/>
    <w:rsid w:val="00D63925"/>
    <w:rsid w:val="00D6405D"/>
    <w:rsid w:val="00D64179"/>
    <w:rsid w:val="00D64855"/>
    <w:rsid w:val="00D64D0A"/>
    <w:rsid w:val="00D64F65"/>
    <w:rsid w:val="00D6527B"/>
    <w:rsid w:val="00D666C1"/>
    <w:rsid w:val="00D66F46"/>
    <w:rsid w:val="00D6774B"/>
    <w:rsid w:val="00D67820"/>
    <w:rsid w:val="00D70755"/>
    <w:rsid w:val="00D709F8"/>
    <w:rsid w:val="00D72471"/>
    <w:rsid w:val="00D75466"/>
    <w:rsid w:val="00D756DD"/>
    <w:rsid w:val="00D75C84"/>
    <w:rsid w:val="00D75D4E"/>
    <w:rsid w:val="00D77099"/>
    <w:rsid w:val="00D77CFA"/>
    <w:rsid w:val="00D77E07"/>
    <w:rsid w:val="00D77E1D"/>
    <w:rsid w:val="00D8029A"/>
    <w:rsid w:val="00D80DD9"/>
    <w:rsid w:val="00D81F46"/>
    <w:rsid w:val="00D83547"/>
    <w:rsid w:val="00D852D4"/>
    <w:rsid w:val="00D9038C"/>
    <w:rsid w:val="00D90D80"/>
    <w:rsid w:val="00D91CFB"/>
    <w:rsid w:val="00D956EF"/>
    <w:rsid w:val="00D9570C"/>
    <w:rsid w:val="00DA06A9"/>
    <w:rsid w:val="00DA0D5C"/>
    <w:rsid w:val="00DA0F46"/>
    <w:rsid w:val="00DA43FF"/>
    <w:rsid w:val="00DA47A9"/>
    <w:rsid w:val="00DA66A4"/>
    <w:rsid w:val="00DA6A6E"/>
    <w:rsid w:val="00DB0293"/>
    <w:rsid w:val="00DB0919"/>
    <w:rsid w:val="00DB25E4"/>
    <w:rsid w:val="00DB2D6C"/>
    <w:rsid w:val="00DB3B34"/>
    <w:rsid w:val="00DB3E09"/>
    <w:rsid w:val="00DB59A6"/>
    <w:rsid w:val="00DC071C"/>
    <w:rsid w:val="00DC0723"/>
    <w:rsid w:val="00DC1F82"/>
    <w:rsid w:val="00DC282C"/>
    <w:rsid w:val="00DC2AB9"/>
    <w:rsid w:val="00DC429B"/>
    <w:rsid w:val="00DC64E8"/>
    <w:rsid w:val="00DC7A7B"/>
    <w:rsid w:val="00DD03F8"/>
    <w:rsid w:val="00DD1582"/>
    <w:rsid w:val="00DD19E3"/>
    <w:rsid w:val="00DD274C"/>
    <w:rsid w:val="00DD28ED"/>
    <w:rsid w:val="00DD4324"/>
    <w:rsid w:val="00DD4379"/>
    <w:rsid w:val="00DD46FD"/>
    <w:rsid w:val="00DD4F94"/>
    <w:rsid w:val="00DD637F"/>
    <w:rsid w:val="00DD70DD"/>
    <w:rsid w:val="00DD7BD3"/>
    <w:rsid w:val="00DE07C7"/>
    <w:rsid w:val="00DE09FF"/>
    <w:rsid w:val="00DE0D59"/>
    <w:rsid w:val="00DE42F9"/>
    <w:rsid w:val="00DE4895"/>
    <w:rsid w:val="00DE4C29"/>
    <w:rsid w:val="00DE6A71"/>
    <w:rsid w:val="00DE6E3A"/>
    <w:rsid w:val="00DE6EF4"/>
    <w:rsid w:val="00DE7414"/>
    <w:rsid w:val="00DF01C3"/>
    <w:rsid w:val="00DF153F"/>
    <w:rsid w:val="00DF1C51"/>
    <w:rsid w:val="00DF319A"/>
    <w:rsid w:val="00E00E22"/>
    <w:rsid w:val="00E03AC9"/>
    <w:rsid w:val="00E062C6"/>
    <w:rsid w:val="00E06507"/>
    <w:rsid w:val="00E06691"/>
    <w:rsid w:val="00E10320"/>
    <w:rsid w:val="00E11626"/>
    <w:rsid w:val="00E11D48"/>
    <w:rsid w:val="00E121F9"/>
    <w:rsid w:val="00E13056"/>
    <w:rsid w:val="00E145DF"/>
    <w:rsid w:val="00E1535E"/>
    <w:rsid w:val="00E16DDB"/>
    <w:rsid w:val="00E17555"/>
    <w:rsid w:val="00E202E9"/>
    <w:rsid w:val="00E2079F"/>
    <w:rsid w:val="00E20C5C"/>
    <w:rsid w:val="00E2199D"/>
    <w:rsid w:val="00E21FD9"/>
    <w:rsid w:val="00E2270E"/>
    <w:rsid w:val="00E22C17"/>
    <w:rsid w:val="00E236B4"/>
    <w:rsid w:val="00E23B06"/>
    <w:rsid w:val="00E241AC"/>
    <w:rsid w:val="00E2429D"/>
    <w:rsid w:val="00E25FAD"/>
    <w:rsid w:val="00E2706D"/>
    <w:rsid w:val="00E27CFF"/>
    <w:rsid w:val="00E27F60"/>
    <w:rsid w:val="00E33DBD"/>
    <w:rsid w:val="00E35FF3"/>
    <w:rsid w:val="00E36C7A"/>
    <w:rsid w:val="00E37074"/>
    <w:rsid w:val="00E403BA"/>
    <w:rsid w:val="00E405C7"/>
    <w:rsid w:val="00E40F01"/>
    <w:rsid w:val="00E41273"/>
    <w:rsid w:val="00E419E9"/>
    <w:rsid w:val="00E41D17"/>
    <w:rsid w:val="00E41D9C"/>
    <w:rsid w:val="00E41DD6"/>
    <w:rsid w:val="00E4241B"/>
    <w:rsid w:val="00E42D67"/>
    <w:rsid w:val="00E4418B"/>
    <w:rsid w:val="00E44DD3"/>
    <w:rsid w:val="00E4587A"/>
    <w:rsid w:val="00E458BC"/>
    <w:rsid w:val="00E45ABB"/>
    <w:rsid w:val="00E466DD"/>
    <w:rsid w:val="00E47B1C"/>
    <w:rsid w:val="00E523C2"/>
    <w:rsid w:val="00E52A8B"/>
    <w:rsid w:val="00E53E67"/>
    <w:rsid w:val="00E54036"/>
    <w:rsid w:val="00E5457D"/>
    <w:rsid w:val="00E550BD"/>
    <w:rsid w:val="00E55D2F"/>
    <w:rsid w:val="00E55E8C"/>
    <w:rsid w:val="00E56691"/>
    <w:rsid w:val="00E56AED"/>
    <w:rsid w:val="00E57CA5"/>
    <w:rsid w:val="00E6013B"/>
    <w:rsid w:val="00E60B78"/>
    <w:rsid w:val="00E60D71"/>
    <w:rsid w:val="00E6175F"/>
    <w:rsid w:val="00E61BD4"/>
    <w:rsid w:val="00E6221A"/>
    <w:rsid w:val="00E63338"/>
    <w:rsid w:val="00E64BE1"/>
    <w:rsid w:val="00E65353"/>
    <w:rsid w:val="00E65AAA"/>
    <w:rsid w:val="00E66706"/>
    <w:rsid w:val="00E701E9"/>
    <w:rsid w:val="00E7080C"/>
    <w:rsid w:val="00E710DA"/>
    <w:rsid w:val="00E72536"/>
    <w:rsid w:val="00E73752"/>
    <w:rsid w:val="00E75F2F"/>
    <w:rsid w:val="00E7627E"/>
    <w:rsid w:val="00E80507"/>
    <w:rsid w:val="00E82578"/>
    <w:rsid w:val="00E8582B"/>
    <w:rsid w:val="00E85891"/>
    <w:rsid w:val="00E87556"/>
    <w:rsid w:val="00E87A2D"/>
    <w:rsid w:val="00E87B12"/>
    <w:rsid w:val="00E91C0D"/>
    <w:rsid w:val="00E924ED"/>
    <w:rsid w:val="00E939A2"/>
    <w:rsid w:val="00E94EF0"/>
    <w:rsid w:val="00E9611D"/>
    <w:rsid w:val="00E96769"/>
    <w:rsid w:val="00E96EB3"/>
    <w:rsid w:val="00E97610"/>
    <w:rsid w:val="00EA1B10"/>
    <w:rsid w:val="00EA1C46"/>
    <w:rsid w:val="00EA23AA"/>
    <w:rsid w:val="00EA3869"/>
    <w:rsid w:val="00EA4A96"/>
    <w:rsid w:val="00EA760D"/>
    <w:rsid w:val="00EA7EC9"/>
    <w:rsid w:val="00EB03F0"/>
    <w:rsid w:val="00EB0D4D"/>
    <w:rsid w:val="00EB1BA0"/>
    <w:rsid w:val="00EB1DE1"/>
    <w:rsid w:val="00EB25FD"/>
    <w:rsid w:val="00EB4A34"/>
    <w:rsid w:val="00EB6D03"/>
    <w:rsid w:val="00EB7A83"/>
    <w:rsid w:val="00EC051C"/>
    <w:rsid w:val="00EC3BDB"/>
    <w:rsid w:val="00EC4308"/>
    <w:rsid w:val="00EC7522"/>
    <w:rsid w:val="00ED083C"/>
    <w:rsid w:val="00ED10D2"/>
    <w:rsid w:val="00ED1466"/>
    <w:rsid w:val="00ED23C9"/>
    <w:rsid w:val="00ED2706"/>
    <w:rsid w:val="00ED3BF6"/>
    <w:rsid w:val="00ED4089"/>
    <w:rsid w:val="00ED40F0"/>
    <w:rsid w:val="00ED4624"/>
    <w:rsid w:val="00ED5DFF"/>
    <w:rsid w:val="00ED629B"/>
    <w:rsid w:val="00ED6405"/>
    <w:rsid w:val="00ED6E2D"/>
    <w:rsid w:val="00ED7349"/>
    <w:rsid w:val="00EE1DE0"/>
    <w:rsid w:val="00EE1E3B"/>
    <w:rsid w:val="00EE21DC"/>
    <w:rsid w:val="00EE2B2D"/>
    <w:rsid w:val="00EE3566"/>
    <w:rsid w:val="00EE3945"/>
    <w:rsid w:val="00EE4563"/>
    <w:rsid w:val="00EE52A0"/>
    <w:rsid w:val="00EE5FFB"/>
    <w:rsid w:val="00EE6995"/>
    <w:rsid w:val="00EF0178"/>
    <w:rsid w:val="00EF255E"/>
    <w:rsid w:val="00EF2CB1"/>
    <w:rsid w:val="00EF3120"/>
    <w:rsid w:val="00EF4961"/>
    <w:rsid w:val="00EF4A49"/>
    <w:rsid w:val="00EF54CA"/>
    <w:rsid w:val="00EF6BB9"/>
    <w:rsid w:val="00EF6C6E"/>
    <w:rsid w:val="00EF759D"/>
    <w:rsid w:val="00EF7FF4"/>
    <w:rsid w:val="00F03D6E"/>
    <w:rsid w:val="00F042A4"/>
    <w:rsid w:val="00F053B6"/>
    <w:rsid w:val="00F0547F"/>
    <w:rsid w:val="00F05B6F"/>
    <w:rsid w:val="00F05CF5"/>
    <w:rsid w:val="00F117E8"/>
    <w:rsid w:val="00F1191A"/>
    <w:rsid w:val="00F121C2"/>
    <w:rsid w:val="00F12C01"/>
    <w:rsid w:val="00F13938"/>
    <w:rsid w:val="00F139EA"/>
    <w:rsid w:val="00F15BE1"/>
    <w:rsid w:val="00F17D65"/>
    <w:rsid w:val="00F200CF"/>
    <w:rsid w:val="00F205FD"/>
    <w:rsid w:val="00F21355"/>
    <w:rsid w:val="00F2272A"/>
    <w:rsid w:val="00F22B08"/>
    <w:rsid w:val="00F26F03"/>
    <w:rsid w:val="00F27BB6"/>
    <w:rsid w:val="00F3003E"/>
    <w:rsid w:val="00F319BD"/>
    <w:rsid w:val="00F31BE6"/>
    <w:rsid w:val="00F346BD"/>
    <w:rsid w:val="00F34B52"/>
    <w:rsid w:val="00F35DAC"/>
    <w:rsid w:val="00F36FB3"/>
    <w:rsid w:val="00F37591"/>
    <w:rsid w:val="00F37B96"/>
    <w:rsid w:val="00F40F85"/>
    <w:rsid w:val="00F410A8"/>
    <w:rsid w:val="00F41910"/>
    <w:rsid w:val="00F41B37"/>
    <w:rsid w:val="00F41DE5"/>
    <w:rsid w:val="00F4240B"/>
    <w:rsid w:val="00F42EAF"/>
    <w:rsid w:val="00F4544D"/>
    <w:rsid w:val="00F45C1B"/>
    <w:rsid w:val="00F47D87"/>
    <w:rsid w:val="00F525B8"/>
    <w:rsid w:val="00F5289D"/>
    <w:rsid w:val="00F54045"/>
    <w:rsid w:val="00F54B1C"/>
    <w:rsid w:val="00F556D2"/>
    <w:rsid w:val="00F56070"/>
    <w:rsid w:val="00F57128"/>
    <w:rsid w:val="00F61CDB"/>
    <w:rsid w:val="00F6236B"/>
    <w:rsid w:val="00F625F1"/>
    <w:rsid w:val="00F63410"/>
    <w:rsid w:val="00F63EAD"/>
    <w:rsid w:val="00F64016"/>
    <w:rsid w:val="00F64DB2"/>
    <w:rsid w:val="00F64E6A"/>
    <w:rsid w:val="00F65B8A"/>
    <w:rsid w:val="00F6626E"/>
    <w:rsid w:val="00F70155"/>
    <w:rsid w:val="00F70450"/>
    <w:rsid w:val="00F70E50"/>
    <w:rsid w:val="00F7163A"/>
    <w:rsid w:val="00F72423"/>
    <w:rsid w:val="00F733E0"/>
    <w:rsid w:val="00F73BDD"/>
    <w:rsid w:val="00F75FBD"/>
    <w:rsid w:val="00F77451"/>
    <w:rsid w:val="00F80E2B"/>
    <w:rsid w:val="00F8149D"/>
    <w:rsid w:val="00F816D1"/>
    <w:rsid w:val="00F83299"/>
    <w:rsid w:val="00F851A6"/>
    <w:rsid w:val="00F8555E"/>
    <w:rsid w:val="00F85A2F"/>
    <w:rsid w:val="00F85BB5"/>
    <w:rsid w:val="00F870B6"/>
    <w:rsid w:val="00F908A1"/>
    <w:rsid w:val="00F909E0"/>
    <w:rsid w:val="00F90DED"/>
    <w:rsid w:val="00F90F15"/>
    <w:rsid w:val="00F916BF"/>
    <w:rsid w:val="00F91A9D"/>
    <w:rsid w:val="00F92BE1"/>
    <w:rsid w:val="00F92E31"/>
    <w:rsid w:val="00F9339A"/>
    <w:rsid w:val="00F946D5"/>
    <w:rsid w:val="00F95214"/>
    <w:rsid w:val="00F95574"/>
    <w:rsid w:val="00F95B3F"/>
    <w:rsid w:val="00F96F1A"/>
    <w:rsid w:val="00FA0206"/>
    <w:rsid w:val="00FA033E"/>
    <w:rsid w:val="00FA1678"/>
    <w:rsid w:val="00FA21ED"/>
    <w:rsid w:val="00FA2825"/>
    <w:rsid w:val="00FA5A59"/>
    <w:rsid w:val="00FA60F2"/>
    <w:rsid w:val="00FA6657"/>
    <w:rsid w:val="00FB03C7"/>
    <w:rsid w:val="00FB081B"/>
    <w:rsid w:val="00FB0988"/>
    <w:rsid w:val="00FB2C56"/>
    <w:rsid w:val="00FB5315"/>
    <w:rsid w:val="00FB5A65"/>
    <w:rsid w:val="00FB6CA6"/>
    <w:rsid w:val="00FB6D2A"/>
    <w:rsid w:val="00FB6D64"/>
    <w:rsid w:val="00FB7539"/>
    <w:rsid w:val="00FC06AF"/>
    <w:rsid w:val="00FC08FD"/>
    <w:rsid w:val="00FC0D6C"/>
    <w:rsid w:val="00FC12C0"/>
    <w:rsid w:val="00FC1C0B"/>
    <w:rsid w:val="00FC290C"/>
    <w:rsid w:val="00FC374A"/>
    <w:rsid w:val="00FC3FCC"/>
    <w:rsid w:val="00FC5ADB"/>
    <w:rsid w:val="00FC6634"/>
    <w:rsid w:val="00FC7FD5"/>
    <w:rsid w:val="00FD23F0"/>
    <w:rsid w:val="00FD258F"/>
    <w:rsid w:val="00FD27D0"/>
    <w:rsid w:val="00FD2AB9"/>
    <w:rsid w:val="00FD3C23"/>
    <w:rsid w:val="00FD3FBF"/>
    <w:rsid w:val="00FD404C"/>
    <w:rsid w:val="00FD5736"/>
    <w:rsid w:val="00FD574B"/>
    <w:rsid w:val="00FD6898"/>
    <w:rsid w:val="00FE08A1"/>
    <w:rsid w:val="00FE128B"/>
    <w:rsid w:val="00FE2159"/>
    <w:rsid w:val="00FE2945"/>
    <w:rsid w:val="00FE4523"/>
    <w:rsid w:val="00FE49C9"/>
    <w:rsid w:val="00FE4C77"/>
    <w:rsid w:val="00FE5B22"/>
    <w:rsid w:val="00FE7BFD"/>
    <w:rsid w:val="00FF0D46"/>
    <w:rsid w:val="00FF1033"/>
    <w:rsid w:val="00FF1BEB"/>
    <w:rsid w:val="00FF300D"/>
    <w:rsid w:val="00FF3C35"/>
    <w:rsid w:val="00FF404B"/>
    <w:rsid w:val="00FF5C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3DF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F1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7753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753CC"/>
    <w:rPr>
      <w:sz w:val="18"/>
      <w:szCs w:val="18"/>
    </w:rPr>
  </w:style>
  <w:style w:type="paragraph" w:styleId="a5">
    <w:name w:val="footer"/>
    <w:basedOn w:val="a"/>
    <w:link w:val="Char0"/>
    <w:uiPriority w:val="99"/>
    <w:unhideWhenUsed/>
    <w:rsid w:val="007753CC"/>
    <w:pPr>
      <w:tabs>
        <w:tab w:val="center" w:pos="4153"/>
        <w:tab w:val="right" w:pos="8306"/>
      </w:tabs>
      <w:snapToGrid w:val="0"/>
      <w:jc w:val="left"/>
    </w:pPr>
    <w:rPr>
      <w:sz w:val="18"/>
      <w:szCs w:val="18"/>
    </w:rPr>
  </w:style>
  <w:style w:type="character" w:customStyle="1" w:styleId="Char0">
    <w:name w:val="页脚 Char"/>
    <w:basedOn w:val="a0"/>
    <w:link w:val="a5"/>
    <w:uiPriority w:val="99"/>
    <w:rsid w:val="007753CC"/>
    <w:rPr>
      <w:sz w:val="18"/>
      <w:szCs w:val="18"/>
    </w:rPr>
  </w:style>
  <w:style w:type="paragraph" w:styleId="a6">
    <w:name w:val="Balloon Text"/>
    <w:basedOn w:val="a"/>
    <w:link w:val="Char1"/>
    <w:uiPriority w:val="99"/>
    <w:semiHidden/>
    <w:unhideWhenUsed/>
    <w:rsid w:val="00641687"/>
    <w:rPr>
      <w:sz w:val="18"/>
      <w:szCs w:val="18"/>
    </w:rPr>
  </w:style>
  <w:style w:type="character" w:customStyle="1" w:styleId="Char1">
    <w:name w:val="批注框文本 Char"/>
    <w:basedOn w:val="a0"/>
    <w:link w:val="a6"/>
    <w:uiPriority w:val="99"/>
    <w:semiHidden/>
    <w:rsid w:val="00641687"/>
    <w:rPr>
      <w:sz w:val="18"/>
      <w:szCs w:val="18"/>
    </w:rPr>
  </w:style>
  <w:style w:type="paragraph" w:customStyle="1" w:styleId="Default">
    <w:name w:val="Default"/>
    <w:rsid w:val="00C278BA"/>
    <w:pPr>
      <w:widowControl w:val="0"/>
      <w:autoSpaceDE w:val="0"/>
      <w:autoSpaceDN w:val="0"/>
      <w:adjustRightInd w:val="0"/>
    </w:pPr>
    <w:rPr>
      <w:rFonts w:ascii="FangSong" w:hAnsi="FangSong" w:cs="FangSong"/>
      <w:color w:val="000000"/>
      <w:kern w:val="0"/>
      <w:sz w:val="24"/>
      <w:szCs w:val="24"/>
    </w:rPr>
  </w:style>
  <w:style w:type="paragraph" w:styleId="a7">
    <w:name w:val="Normal (Web)"/>
    <w:basedOn w:val="a"/>
    <w:uiPriority w:val="99"/>
    <w:unhideWhenUsed/>
    <w:rsid w:val="004D5FE0"/>
    <w:pPr>
      <w:widowControl/>
      <w:spacing w:before="100" w:beforeAutospacing="1" w:after="100" w:afterAutospacing="1"/>
      <w:jc w:val="left"/>
    </w:pPr>
    <w:rPr>
      <w:rFonts w:ascii="宋体" w:eastAsia="宋体" w:hAnsi="宋体" w:cs="宋体"/>
      <w:kern w:val="0"/>
      <w:sz w:val="24"/>
      <w:szCs w:val="24"/>
    </w:rPr>
  </w:style>
  <w:style w:type="paragraph" w:styleId="a8">
    <w:name w:val="footnote text"/>
    <w:basedOn w:val="a"/>
    <w:link w:val="Char2"/>
    <w:uiPriority w:val="99"/>
    <w:semiHidden/>
    <w:unhideWhenUsed/>
    <w:rsid w:val="00AB0EAA"/>
    <w:pPr>
      <w:snapToGrid w:val="0"/>
      <w:jc w:val="left"/>
    </w:pPr>
    <w:rPr>
      <w:sz w:val="18"/>
      <w:szCs w:val="18"/>
    </w:rPr>
  </w:style>
  <w:style w:type="character" w:customStyle="1" w:styleId="Char2">
    <w:name w:val="脚注文本 Char"/>
    <w:basedOn w:val="a0"/>
    <w:link w:val="a8"/>
    <w:uiPriority w:val="99"/>
    <w:semiHidden/>
    <w:rsid w:val="00AB0EAA"/>
    <w:rPr>
      <w:sz w:val="18"/>
      <w:szCs w:val="18"/>
    </w:rPr>
  </w:style>
  <w:style w:type="character" w:styleId="a9">
    <w:name w:val="footnote reference"/>
    <w:basedOn w:val="a0"/>
    <w:uiPriority w:val="99"/>
    <w:semiHidden/>
    <w:unhideWhenUsed/>
    <w:rsid w:val="00AB0EAA"/>
    <w:rPr>
      <w:vertAlign w:val="superscript"/>
    </w:rPr>
  </w:style>
  <w:style w:type="character" w:styleId="aa">
    <w:name w:val="Placeholder Text"/>
    <w:basedOn w:val="a0"/>
    <w:uiPriority w:val="99"/>
    <w:semiHidden/>
    <w:rsid w:val="003720CF"/>
    <w:rPr>
      <w:color w:val="808080"/>
    </w:rPr>
  </w:style>
  <w:style w:type="character" w:styleId="ab">
    <w:name w:val="Hyperlink"/>
    <w:basedOn w:val="a0"/>
    <w:uiPriority w:val="99"/>
    <w:semiHidden/>
    <w:unhideWhenUsed/>
    <w:rsid w:val="00240102"/>
    <w:rPr>
      <w:color w:val="0000FF"/>
      <w:u w:val="single"/>
    </w:rPr>
  </w:style>
  <w:style w:type="character" w:styleId="ac">
    <w:name w:val="FollowedHyperlink"/>
    <w:basedOn w:val="a0"/>
    <w:uiPriority w:val="99"/>
    <w:semiHidden/>
    <w:unhideWhenUsed/>
    <w:rsid w:val="00240102"/>
    <w:rPr>
      <w:color w:val="800080"/>
      <w:u w:val="single"/>
    </w:rPr>
  </w:style>
  <w:style w:type="paragraph" w:customStyle="1" w:styleId="xl67">
    <w:name w:val="xl67"/>
    <w:basedOn w:val="a"/>
    <w:rsid w:val="00240102"/>
    <w:pPr>
      <w:widowControl/>
      <w:spacing w:before="100" w:beforeAutospacing="1" w:after="100" w:afterAutospacing="1"/>
      <w:jc w:val="left"/>
    </w:pPr>
    <w:rPr>
      <w:rFonts w:ascii="宋体" w:eastAsia="宋体" w:hAnsi="宋体" w:cs="宋体"/>
      <w:kern w:val="0"/>
      <w:sz w:val="24"/>
      <w:szCs w:val="24"/>
    </w:rPr>
  </w:style>
  <w:style w:type="paragraph" w:customStyle="1" w:styleId="xl68">
    <w:name w:val="xl68"/>
    <w:basedOn w:val="a"/>
    <w:rsid w:val="00240102"/>
    <w:pPr>
      <w:widowControl/>
      <w:spacing w:before="100" w:beforeAutospacing="1" w:after="100" w:afterAutospacing="1"/>
      <w:ind w:firstLineChars="100" w:firstLine="100"/>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3DF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F1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7753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753CC"/>
    <w:rPr>
      <w:sz w:val="18"/>
      <w:szCs w:val="18"/>
    </w:rPr>
  </w:style>
  <w:style w:type="paragraph" w:styleId="a5">
    <w:name w:val="footer"/>
    <w:basedOn w:val="a"/>
    <w:link w:val="Char0"/>
    <w:uiPriority w:val="99"/>
    <w:unhideWhenUsed/>
    <w:rsid w:val="007753CC"/>
    <w:pPr>
      <w:tabs>
        <w:tab w:val="center" w:pos="4153"/>
        <w:tab w:val="right" w:pos="8306"/>
      </w:tabs>
      <w:snapToGrid w:val="0"/>
      <w:jc w:val="left"/>
    </w:pPr>
    <w:rPr>
      <w:sz w:val="18"/>
      <w:szCs w:val="18"/>
    </w:rPr>
  </w:style>
  <w:style w:type="character" w:customStyle="1" w:styleId="Char0">
    <w:name w:val="页脚 Char"/>
    <w:basedOn w:val="a0"/>
    <w:link w:val="a5"/>
    <w:uiPriority w:val="99"/>
    <w:rsid w:val="007753CC"/>
    <w:rPr>
      <w:sz w:val="18"/>
      <w:szCs w:val="18"/>
    </w:rPr>
  </w:style>
  <w:style w:type="paragraph" w:styleId="a6">
    <w:name w:val="Balloon Text"/>
    <w:basedOn w:val="a"/>
    <w:link w:val="Char1"/>
    <w:uiPriority w:val="99"/>
    <w:semiHidden/>
    <w:unhideWhenUsed/>
    <w:rsid w:val="00641687"/>
    <w:rPr>
      <w:sz w:val="18"/>
      <w:szCs w:val="18"/>
    </w:rPr>
  </w:style>
  <w:style w:type="character" w:customStyle="1" w:styleId="Char1">
    <w:name w:val="批注框文本 Char"/>
    <w:basedOn w:val="a0"/>
    <w:link w:val="a6"/>
    <w:uiPriority w:val="99"/>
    <w:semiHidden/>
    <w:rsid w:val="00641687"/>
    <w:rPr>
      <w:sz w:val="18"/>
      <w:szCs w:val="18"/>
    </w:rPr>
  </w:style>
  <w:style w:type="paragraph" w:customStyle="1" w:styleId="Default">
    <w:name w:val="Default"/>
    <w:rsid w:val="00C278BA"/>
    <w:pPr>
      <w:widowControl w:val="0"/>
      <w:autoSpaceDE w:val="0"/>
      <w:autoSpaceDN w:val="0"/>
      <w:adjustRightInd w:val="0"/>
    </w:pPr>
    <w:rPr>
      <w:rFonts w:ascii="FangSong" w:hAnsi="FangSong" w:cs="FangSong"/>
      <w:color w:val="000000"/>
      <w:kern w:val="0"/>
      <w:sz w:val="24"/>
      <w:szCs w:val="24"/>
    </w:rPr>
  </w:style>
  <w:style w:type="paragraph" w:styleId="a7">
    <w:name w:val="Normal (Web)"/>
    <w:basedOn w:val="a"/>
    <w:uiPriority w:val="99"/>
    <w:unhideWhenUsed/>
    <w:rsid w:val="004D5FE0"/>
    <w:pPr>
      <w:widowControl/>
      <w:spacing w:before="100" w:beforeAutospacing="1" w:after="100" w:afterAutospacing="1"/>
      <w:jc w:val="left"/>
    </w:pPr>
    <w:rPr>
      <w:rFonts w:ascii="宋体" w:eastAsia="宋体" w:hAnsi="宋体" w:cs="宋体"/>
      <w:kern w:val="0"/>
      <w:sz w:val="24"/>
      <w:szCs w:val="24"/>
    </w:rPr>
  </w:style>
  <w:style w:type="paragraph" w:styleId="a8">
    <w:name w:val="footnote text"/>
    <w:basedOn w:val="a"/>
    <w:link w:val="Char2"/>
    <w:uiPriority w:val="99"/>
    <w:semiHidden/>
    <w:unhideWhenUsed/>
    <w:rsid w:val="00AB0EAA"/>
    <w:pPr>
      <w:snapToGrid w:val="0"/>
      <w:jc w:val="left"/>
    </w:pPr>
    <w:rPr>
      <w:sz w:val="18"/>
      <w:szCs w:val="18"/>
    </w:rPr>
  </w:style>
  <w:style w:type="character" w:customStyle="1" w:styleId="Char2">
    <w:name w:val="脚注文本 Char"/>
    <w:basedOn w:val="a0"/>
    <w:link w:val="a8"/>
    <w:uiPriority w:val="99"/>
    <w:semiHidden/>
    <w:rsid w:val="00AB0EAA"/>
    <w:rPr>
      <w:sz w:val="18"/>
      <w:szCs w:val="18"/>
    </w:rPr>
  </w:style>
  <w:style w:type="character" w:styleId="a9">
    <w:name w:val="footnote reference"/>
    <w:basedOn w:val="a0"/>
    <w:uiPriority w:val="99"/>
    <w:semiHidden/>
    <w:unhideWhenUsed/>
    <w:rsid w:val="00AB0EAA"/>
    <w:rPr>
      <w:vertAlign w:val="superscript"/>
    </w:rPr>
  </w:style>
  <w:style w:type="character" w:styleId="aa">
    <w:name w:val="Placeholder Text"/>
    <w:basedOn w:val="a0"/>
    <w:uiPriority w:val="99"/>
    <w:semiHidden/>
    <w:rsid w:val="003720CF"/>
    <w:rPr>
      <w:color w:val="808080"/>
    </w:rPr>
  </w:style>
  <w:style w:type="character" w:styleId="ab">
    <w:name w:val="Hyperlink"/>
    <w:basedOn w:val="a0"/>
    <w:uiPriority w:val="99"/>
    <w:semiHidden/>
    <w:unhideWhenUsed/>
    <w:rsid w:val="00240102"/>
    <w:rPr>
      <w:color w:val="0000FF"/>
      <w:u w:val="single"/>
    </w:rPr>
  </w:style>
  <w:style w:type="character" w:styleId="ac">
    <w:name w:val="FollowedHyperlink"/>
    <w:basedOn w:val="a0"/>
    <w:uiPriority w:val="99"/>
    <w:semiHidden/>
    <w:unhideWhenUsed/>
    <w:rsid w:val="00240102"/>
    <w:rPr>
      <w:color w:val="800080"/>
      <w:u w:val="single"/>
    </w:rPr>
  </w:style>
  <w:style w:type="paragraph" w:customStyle="1" w:styleId="xl67">
    <w:name w:val="xl67"/>
    <w:basedOn w:val="a"/>
    <w:rsid w:val="00240102"/>
    <w:pPr>
      <w:widowControl/>
      <w:spacing w:before="100" w:beforeAutospacing="1" w:after="100" w:afterAutospacing="1"/>
      <w:jc w:val="left"/>
    </w:pPr>
    <w:rPr>
      <w:rFonts w:ascii="宋体" w:eastAsia="宋体" w:hAnsi="宋体" w:cs="宋体"/>
      <w:kern w:val="0"/>
      <w:sz w:val="24"/>
      <w:szCs w:val="24"/>
    </w:rPr>
  </w:style>
  <w:style w:type="paragraph" w:customStyle="1" w:styleId="xl68">
    <w:name w:val="xl68"/>
    <w:basedOn w:val="a"/>
    <w:rsid w:val="00240102"/>
    <w:pPr>
      <w:widowControl/>
      <w:spacing w:before="100" w:beforeAutospacing="1" w:after="100" w:afterAutospacing="1"/>
      <w:ind w:firstLineChars="100" w:firstLine="10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0839">
      <w:bodyDiv w:val="1"/>
      <w:marLeft w:val="0"/>
      <w:marRight w:val="0"/>
      <w:marTop w:val="0"/>
      <w:marBottom w:val="0"/>
      <w:divBdr>
        <w:top w:val="none" w:sz="0" w:space="0" w:color="auto"/>
        <w:left w:val="none" w:sz="0" w:space="0" w:color="auto"/>
        <w:bottom w:val="none" w:sz="0" w:space="0" w:color="auto"/>
        <w:right w:val="none" w:sz="0" w:space="0" w:color="auto"/>
      </w:divBdr>
    </w:div>
    <w:div w:id="4746228">
      <w:bodyDiv w:val="1"/>
      <w:marLeft w:val="0"/>
      <w:marRight w:val="0"/>
      <w:marTop w:val="0"/>
      <w:marBottom w:val="0"/>
      <w:divBdr>
        <w:top w:val="none" w:sz="0" w:space="0" w:color="auto"/>
        <w:left w:val="none" w:sz="0" w:space="0" w:color="auto"/>
        <w:bottom w:val="none" w:sz="0" w:space="0" w:color="auto"/>
        <w:right w:val="none" w:sz="0" w:space="0" w:color="auto"/>
      </w:divBdr>
    </w:div>
    <w:div w:id="36514713">
      <w:bodyDiv w:val="1"/>
      <w:marLeft w:val="0"/>
      <w:marRight w:val="0"/>
      <w:marTop w:val="0"/>
      <w:marBottom w:val="0"/>
      <w:divBdr>
        <w:top w:val="none" w:sz="0" w:space="0" w:color="auto"/>
        <w:left w:val="none" w:sz="0" w:space="0" w:color="auto"/>
        <w:bottom w:val="none" w:sz="0" w:space="0" w:color="auto"/>
        <w:right w:val="none" w:sz="0" w:space="0" w:color="auto"/>
      </w:divBdr>
    </w:div>
    <w:div w:id="81296290">
      <w:bodyDiv w:val="1"/>
      <w:marLeft w:val="0"/>
      <w:marRight w:val="0"/>
      <w:marTop w:val="0"/>
      <w:marBottom w:val="0"/>
      <w:divBdr>
        <w:top w:val="none" w:sz="0" w:space="0" w:color="auto"/>
        <w:left w:val="none" w:sz="0" w:space="0" w:color="auto"/>
        <w:bottom w:val="none" w:sz="0" w:space="0" w:color="auto"/>
        <w:right w:val="none" w:sz="0" w:space="0" w:color="auto"/>
      </w:divBdr>
    </w:div>
    <w:div w:id="88477947">
      <w:bodyDiv w:val="1"/>
      <w:marLeft w:val="0"/>
      <w:marRight w:val="0"/>
      <w:marTop w:val="0"/>
      <w:marBottom w:val="0"/>
      <w:divBdr>
        <w:top w:val="none" w:sz="0" w:space="0" w:color="auto"/>
        <w:left w:val="none" w:sz="0" w:space="0" w:color="auto"/>
        <w:bottom w:val="none" w:sz="0" w:space="0" w:color="auto"/>
        <w:right w:val="none" w:sz="0" w:space="0" w:color="auto"/>
      </w:divBdr>
    </w:div>
    <w:div w:id="88742850">
      <w:bodyDiv w:val="1"/>
      <w:marLeft w:val="0"/>
      <w:marRight w:val="0"/>
      <w:marTop w:val="0"/>
      <w:marBottom w:val="0"/>
      <w:divBdr>
        <w:top w:val="none" w:sz="0" w:space="0" w:color="auto"/>
        <w:left w:val="none" w:sz="0" w:space="0" w:color="auto"/>
        <w:bottom w:val="none" w:sz="0" w:space="0" w:color="auto"/>
        <w:right w:val="none" w:sz="0" w:space="0" w:color="auto"/>
      </w:divBdr>
    </w:div>
    <w:div w:id="97604395">
      <w:bodyDiv w:val="1"/>
      <w:marLeft w:val="0"/>
      <w:marRight w:val="0"/>
      <w:marTop w:val="0"/>
      <w:marBottom w:val="0"/>
      <w:divBdr>
        <w:top w:val="none" w:sz="0" w:space="0" w:color="auto"/>
        <w:left w:val="none" w:sz="0" w:space="0" w:color="auto"/>
        <w:bottom w:val="none" w:sz="0" w:space="0" w:color="auto"/>
        <w:right w:val="none" w:sz="0" w:space="0" w:color="auto"/>
      </w:divBdr>
    </w:div>
    <w:div w:id="133642427">
      <w:bodyDiv w:val="1"/>
      <w:marLeft w:val="0"/>
      <w:marRight w:val="0"/>
      <w:marTop w:val="0"/>
      <w:marBottom w:val="0"/>
      <w:divBdr>
        <w:top w:val="none" w:sz="0" w:space="0" w:color="auto"/>
        <w:left w:val="none" w:sz="0" w:space="0" w:color="auto"/>
        <w:bottom w:val="none" w:sz="0" w:space="0" w:color="auto"/>
        <w:right w:val="none" w:sz="0" w:space="0" w:color="auto"/>
      </w:divBdr>
    </w:div>
    <w:div w:id="144782598">
      <w:bodyDiv w:val="1"/>
      <w:marLeft w:val="0"/>
      <w:marRight w:val="0"/>
      <w:marTop w:val="0"/>
      <w:marBottom w:val="0"/>
      <w:divBdr>
        <w:top w:val="none" w:sz="0" w:space="0" w:color="auto"/>
        <w:left w:val="none" w:sz="0" w:space="0" w:color="auto"/>
        <w:bottom w:val="none" w:sz="0" w:space="0" w:color="auto"/>
        <w:right w:val="none" w:sz="0" w:space="0" w:color="auto"/>
      </w:divBdr>
    </w:div>
    <w:div w:id="149293171">
      <w:bodyDiv w:val="1"/>
      <w:marLeft w:val="0"/>
      <w:marRight w:val="0"/>
      <w:marTop w:val="0"/>
      <w:marBottom w:val="0"/>
      <w:divBdr>
        <w:top w:val="none" w:sz="0" w:space="0" w:color="auto"/>
        <w:left w:val="none" w:sz="0" w:space="0" w:color="auto"/>
        <w:bottom w:val="none" w:sz="0" w:space="0" w:color="auto"/>
        <w:right w:val="none" w:sz="0" w:space="0" w:color="auto"/>
      </w:divBdr>
    </w:div>
    <w:div w:id="191454958">
      <w:bodyDiv w:val="1"/>
      <w:marLeft w:val="0"/>
      <w:marRight w:val="0"/>
      <w:marTop w:val="0"/>
      <w:marBottom w:val="0"/>
      <w:divBdr>
        <w:top w:val="none" w:sz="0" w:space="0" w:color="auto"/>
        <w:left w:val="none" w:sz="0" w:space="0" w:color="auto"/>
        <w:bottom w:val="none" w:sz="0" w:space="0" w:color="auto"/>
        <w:right w:val="none" w:sz="0" w:space="0" w:color="auto"/>
      </w:divBdr>
    </w:div>
    <w:div w:id="249196643">
      <w:bodyDiv w:val="1"/>
      <w:marLeft w:val="0"/>
      <w:marRight w:val="0"/>
      <w:marTop w:val="0"/>
      <w:marBottom w:val="0"/>
      <w:divBdr>
        <w:top w:val="none" w:sz="0" w:space="0" w:color="auto"/>
        <w:left w:val="none" w:sz="0" w:space="0" w:color="auto"/>
        <w:bottom w:val="none" w:sz="0" w:space="0" w:color="auto"/>
        <w:right w:val="none" w:sz="0" w:space="0" w:color="auto"/>
      </w:divBdr>
    </w:div>
    <w:div w:id="249972855">
      <w:bodyDiv w:val="1"/>
      <w:marLeft w:val="0"/>
      <w:marRight w:val="0"/>
      <w:marTop w:val="0"/>
      <w:marBottom w:val="0"/>
      <w:divBdr>
        <w:top w:val="none" w:sz="0" w:space="0" w:color="auto"/>
        <w:left w:val="none" w:sz="0" w:space="0" w:color="auto"/>
        <w:bottom w:val="none" w:sz="0" w:space="0" w:color="auto"/>
        <w:right w:val="none" w:sz="0" w:space="0" w:color="auto"/>
      </w:divBdr>
    </w:div>
    <w:div w:id="250624325">
      <w:bodyDiv w:val="1"/>
      <w:marLeft w:val="0"/>
      <w:marRight w:val="0"/>
      <w:marTop w:val="0"/>
      <w:marBottom w:val="0"/>
      <w:divBdr>
        <w:top w:val="none" w:sz="0" w:space="0" w:color="auto"/>
        <w:left w:val="none" w:sz="0" w:space="0" w:color="auto"/>
        <w:bottom w:val="none" w:sz="0" w:space="0" w:color="auto"/>
        <w:right w:val="none" w:sz="0" w:space="0" w:color="auto"/>
      </w:divBdr>
    </w:div>
    <w:div w:id="259795358">
      <w:bodyDiv w:val="1"/>
      <w:marLeft w:val="0"/>
      <w:marRight w:val="0"/>
      <w:marTop w:val="0"/>
      <w:marBottom w:val="0"/>
      <w:divBdr>
        <w:top w:val="none" w:sz="0" w:space="0" w:color="auto"/>
        <w:left w:val="none" w:sz="0" w:space="0" w:color="auto"/>
        <w:bottom w:val="none" w:sz="0" w:space="0" w:color="auto"/>
        <w:right w:val="none" w:sz="0" w:space="0" w:color="auto"/>
      </w:divBdr>
    </w:div>
    <w:div w:id="260644805">
      <w:bodyDiv w:val="1"/>
      <w:marLeft w:val="0"/>
      <w:marRight w:val="0"/>
      <w:marTop w:val="0"/>
      <w:marBottom w:val="0"/>
      <w:divBdr>
        <w:top w:val="none" w:sz="0" w:space="0" w:color="auto"/>
        <w:left w:val="none" w:sz="0" w:space="0" w:color="auto"/>
        <w:bottom w:val="none" w:sz="0" w:space="0" w:color="auto"/>
        <w:right w:val="none" w:sz="0" w:space="0" w:color="auto"/>
      </w:divBdr>
    </w:div>
    <w:div w:id="263536789">
      <w:bodyDiv w:val="1"/>
      <w:marLeft w:val="0"/>
      <w:marRight w:val="0"/>
      <w:marTop w:val="0"/>
      <w:marBottom w:val="0"/>
      <w:divBdr>
        <w:top w:val="none" w:sz="0" w:space="0" w:color="auto"/>
        <w:left w:val="none" w:sz="0" w:space="0" w:color="auto"/>
        <w:bottom w:val="none" w:sz="0" w:space="0" w:color="auto"/>
        <w:right w:val="none" w:sz="0" w:space="0" w:color="auto"/>
      </w:divBdr>
    </w:div>
    <w:div w:id="285353839">
      <w:bodyDiv w:val="1"/>
      <w:marLeft w:val="0"/>
      <w:marRight w:val="0"/>
      <w:marTop w:val="0"/>
      <w:marBottom w:val="0"/>
      <w:divBdr>
        <w:top w:val="none" w:sz="0" w:space="0" w:color="auto"/>
        <w:left w:val="none" w:sz="0" w:space="0" w:color="auto"/>
        <w:bottom w:val="none" w:sz="0" w:space="0" w:color="auto"/>
        <w:right w:val="none" w:sz="0" w:space="0" w:color="auto"/>
      </w:divBdr>
    </w:div>
    <w:div w:id="300161468">
      <w:bodyDiv w:val="1"/>
      <w:marLeft w:val="0"/>
      <w:marRight w:val="0"/>
      <w:marTop w:val="0"/>
      <w:marBottom w:val="0"/>
      <w:divBdr>
        <w:top w:val="none" w:sz="0" w:space="0" w:color="auto"/>
        <w:left w:val="none" w:sz="0" w:space="0" w:color="auto"/>
        <w:bottom w:val="none" w:sz="0" w:space="0" w:color="auto"/>
        <w:right w:val="none" w:sz="0" w:space="0" w:color="auto"/>
      </w:divBdr>
    </w:div>
    <w:div w:id="326711135">
      <w:bodyDiv w:val="1"/>
      <w:marLeft w:val="0"/>
      <w:marRight w:val="0"/>
      <w:marTop w:val="0"/>
      <w:marBottom w:val="0"/>
      <w:divBdr>
        <w:top w:val="none" w:sz="0" w:space="0" w:color="auto"/>
        <w:left w:val="none" w:sz="0" w:space="0" w:color="auto"/>
        <w:bottom w:val="none" w:sz="0" w:space="0" w:color="auto"/>
        <w:right w:val="none" w:sz="0" w:space="0" w:color="auto"/>
      </w:divBdr>
    </w:div>
    <w:div w:id="336227221">
      <w:bodyDiv w:val="1"/>
      <w:marLeft w:val="0"/>
      <w:marRight w:val="0"/>
      <w:marTop w:val="0"/>
      <w:marBottom w:val="0"/>
      <w:divBdr>
        <w:top w:val="none" w:sz="0" w:space="0" w:color="auto"/>
        <w:left w:val="none" w:sz="0" w:space="0" w:color="auto"/>
        <w:bottom w:val="none" w:sz="0" w:space="0" w:color="auto"/>
        <w:right w:val="none" w:sz="0" w:space="0" w:color="auto"/>
      </w:divBdr>
    </w:div>
    <w:div w:id="336425553">
      <w:bodyDiv w:val="1"/>
      <w:marLeft w:val="0"/>
      <w:marRight w:val="0"/>
      <w:marTop w:val="0"/>
      <w:marBottom w:val="0"/>
      <w:divBdr>
        <w:top w:val="none" w:sz="0" w:space="0" w:color="auto"/>
        <w:left w:val="none" w:sz="0" w:space="0" w:color="auto"/>
        <w:bottom w:val="none" w:sz="0" w:space="0" w:color="auto"/>
        <w:right w:val="none" w:sz="0" w:space="0" w:color="auto"/>
      </w:divBdr>
    </w:div>
    <w:div w:id="339619789">
      <w:bodyDiv w:val="1"/>
      <w:marLeft w:val="0"/>
      <w:marRight w:val="0"/>
      <w:marTop w:val="0"/>
      <w:marBottom w:val="0"/>
      <w:divBdr>
        <w:top w:val="none" w:sz="0" w:space="0" w:color="auto"/>
        <w:left w:val="none" w:sz="0" w:space="0" w:color="auto"/>
        <w:bottom w:val="none" w:sz="0" w:space="0" w:color="auto"/>
        <w:right w:val="none" w:sz="0" w:space="0" w:color="auto"/>
      </w:divBdr>
    </w:div>
    <w:div w:id="376322488">
      <w:bodyDiv w:val="1"/>
      <w:marLeft w:val="0"/>
      <w:marRight w:val="0"/>
      <w:marTop w:val="0"/>
      <w:marBottom w:val="0"/>
      <w:divBdr>
        <w:top w:val="none" w:sz="0" w:space="0" w:color="auto"/>
        <w:left w:val="none" w:sz="0" w:space="0" w:color="auto"/>
        <w:bottom w:val="none" w:sz="0" w:space="0" w:color="auto"/>
        <w:right w:val="none" w:sz="0" w:space="0" w:color="auto"/>
      </w:divBdr>
    </w:div>
    <w:div w:id="406077484">
      <w:bodyDiv w:val="1"/>
      <w:marLeft w:val="0"/>
      <w:marRight w:val="0"/>
      <w:marTop w:val="0"/>
      <w:marBottom w:val="0"/>
      <w:divBdr>
        <w:top w:val="none" w:sz="0" w:space="0" w:color="auto"/>
        <w:left w:val="none" w:sz="0" w:space="0" w:color="auto"/>
        <w:bottom w:val="none" w:sz="0" w:space="0" w:color="auto"/>
        <w:right w:val="none" w:sz="0" w:space="0" w:color="auto"/>
      </w:divBdr>
    </w:div>
    <w:div w:id="406147680">
      <w:bodyDiv w:val="1"/>
      <w:marLeft w:val="0"/>
      <w:marRight w:val="0"/>
      <w:marTop w:val="0"/>
      <w:marBottom w:val="0"/>
      <w:divBdr>
        <w:top w:val="none" w:sz="0" w:space="0" w:color="auto"/>
        <w:left w:val="none" w:sz="0" w:space="0" w:color="auto"/>
        <w:bottom w:val="none" w:sz="0" w:space="0" w:color="auto"/>
        <w:right w:val="none" w:sz="0" w:space="0" w:color="auto"/>
      </w:divBdr>
    </w:div>
    <w:div w:id="425225952">
      <w:bodyDiv w:val="1"/>
      <w:marLeft w:val="0"/>
      <w:marRight w:val="0"/>
      <w:marTop w:val="0"/>
      <w:marBottom w:val="0"/>
      <w:divBdr>
        <w:top w:val="none" w:sz="0" w:space="0" w:color="auto"/>
        <w:left w:val="none" w:sz="0" w:space="0" w:color="auto"/>
        <w:bottom w:val="none" w:sz="0" w:space="0" w:color="auto"/>
        <w:right w:val="none" w:sz="0" w:space="0" w:color="auto"/>
      </w:divBdr>
    </w:div>
    <w:div w:id="495731968">
      <w:bodyDiv w:val="1"/>
      <w:marLeft w:val="0"/>
      <w:marRight w:val="0"/>
      <w:marTop w:val="0"/>
      <w:marBottom w:val="0"/>
      <w:divBdr>
        <w:top w:val="none" w:sz="0" w:space="0" w:color="auto"/>
        <w:left w:val="none" w:sz="0" w:space="0" w:color="auto"/>
        <w:bottom w:val="none" w:sz="0" w:space="0" w:color="auto"/>
        <w:right w:val="none" w:sz="0" w:space="0" w:color="auto"/>
      </w:divBdr>
    </w:div>
    <w:div w:id="496270247">
      <w:bodyDiv w:val="1"/>
      <w:marLeft w:val="0"/>
      <w:marRight w:val="0"/>
      <w:marTop w:val="0"/>
      <w:marBottom w:val="0"/>
      <w:divBdr>
        <w:top w:val="none" w:sz="0" w:space="0" w:color="auto"/>
        <w:left w:val="none" w:sz="0" w:space="0" w:color="auto"/>
        <w:bottom w:val="none" w:sz="0" w:space="0" w:color="auto"/>
        <w:right w:val="none" w:sz="0" w:space="0" w:color="auto"/>
      </w:divBdr>
    </w:div>
    <w:div w:id="588537682">
      <w:bodyDiv w:val="1"/>
      <w:marLeft w:val="0"/>
      <w:marRight w:val="0"/>
      <w:marTop w:val="0"/>
      <w:marBottom w:val="0"/>
      <w:divBdr>
        <w:top w:val="none" w:sz="0" w:space="0" w:color="auto"/>
        <w:left w:val="none" w:sz="0" w:space="0" w:color="auto"/>
        <w:bottom w:val="none" w:sz="0" w:space="0" w:color="auto"/>
        <w:right w:val="none" w:sz="0" w:space="0" w:color="auto"/>
      </w:divBdr>
    </w:div>
    <w:div w:id="644818716">
      <w:bodyDiv w:val="1"/>
      <w:marLeft w:val="0"/>
      <w:marRight w:val="0"/>
      <w:marTop w:val="0"/>
      <w:marBottom w:val="0"/>
      <w:divBdr>
        <w:top w:val="none" w:sz="0" w:space="0" w:color="auto"/>
        <w:left w:val="none" w:sz="0" w:space="0" w:color="auto"/>
        <w:bottom w:val="none" w:sz="0" w:space="0" w:color="auto"/>
        <w:right w:val="none" w:sz="0" w:space="0" w:color="auto"/>
      </w:divBdr>
    </w:div>
    <w:div w:id="687214473">
      <w:bodyDiv w:val="1"/>
      <w:marLeft w:val="0"/>
      <w:marRight w:val="0"/>
      <w:marTop w:val="0"/>
      <w:marBottom w:val="0"/>
      <w:divBdr>
        <w:top w:val="none" w:sz="0" w:space="0" w:color="auto"/>
        <w:left w:val="none" w:sz="0" w:space="0" w:color="auto"/>
        <w:bottom w:val="none" w:sz="0" w:space="0" w:color="auto"/>
        <w:right w:val="none" w:sz="0" w:space="0" w:color="auto"/>
      </w:divBdr>
    </w:div>
    <w:div w:id="690449627">
      <w:bodyDiv w:val="1"/>
      <w:marLeft w:val="0"/>
      <w:marRight w:val="0"/>
      <w:marTop w:val="0"/>
      <w:marBottom w:val="0"/>
      <w:divBdr>
        <w:top w:val="none" w:sz="0" w:space="0" w:color="auto"/>
        <w:left w:val="none" w:sz="0" w:space="0" w:color="auto"/>
        <w:bottom w:val="none" w:sz="0" w:space="0" w:color="auto"/>
        <w:right w:val="none" w:sz="0" w:space="0" w:color="auto"/>
      </w:divBdr>
    </w:div>
    <w:div w:id="698360508">
      <w:bodyDiv w:val="1"/>
      <w:marLeft w:val="0"/>
      <w:marRight w:val="0"/>
      <w:marTop w:val="0"/>
      <w:marBottom w:val="0"/>
      <w:divBdr>
        <w:top w:val="none" w:sz="0" w:space="0" w:color="auto"/>
        <w:left w:val="none" w:sz="0" w:space="0" w:color="auto"/>
        <w:bottom w:val="none" w:sz="0" w:space="0" w:color="auto"/>
        <w:right w:val="none" w:sz="0" w:space="0" w:color="auto"/>
      </w:divBdr>
    </w:div>
    <w:div w:id="714164610">
      <w:bodyDiv w:val="1"/>
      <w:marLeft w:val="0"/>
      <w:marRight w:val="0"/>
      <w:marTop w:val="0"/>
      <w:marBottom w:val="0"/>
      <w:divBdr>
        <w:top w:val="none" w:sz="0" w:space="0" w:color="auto"/>
        <w:left w:val="none" w:sz="0" w:space="0" w:color="auto"/>
        <w:bottom w:val="none" w:sz="0" w:space="0" w:color="auto"/>
        <w:right w:val="none" w:sz="0" w:space="0" w:color="auto"/>
      </w:divBdr>
    </w:div>
    <w:div w:id="744424375">
      <w:bodyDiv w:val="1"/>
      <w:marLeft w:val="0"/>
      <w:marRight w:val="0"/>
      <w:marTop w:val="0"/>
      <w:marBottom w:val="0"/>
      <w:divBdr>
        <w:top w:val="none" w:sz="0" w:space="0" w:color="auto"/>
        <w:left w:val="none" w:sz="0" w:space="0" w:color="auto"/>
        <w:bottom w:val="none" w:sz="0" w:space="0" w:color="auto"/>
        <w:right w:val="none" w:sz="0" w:space="0" w:color="auto"/>
      </w:divBdr>
    </w:div>
    <w:div w:id="760416400">
      <w:bodyDiv w:val="1"/>
      <w:marLeft w:val="0"/>
      <w:marRight w:val="0"/>
      <w:marTop w:val="0"/>
      <w:marBottom w:val="0"/>
      <w:divBdr>
        <w:top w:val="none" w:sz="0" w:space="0" w:color="auto"/>
        <w:left w:val="none" w:sz="0" w:space="0" w:color="auto"/>
        <w:bottom w:val="none" w:sz="0" w:space="0" w:color="auto"/>
        <w:right w:val="none" w:sz="0" w:space="0" w:color="auto"/>
      </w:divBdr>
    </w:div>
    <w:div w:id="777411160">
      <w:bodyDiv w:val="1"/>
      <w:marLeft w:val="0"/>
      <w:marRight w:val="0"/>
      <w:marTop w:val="0"/>
      <w:marBottom w:val="0"/>
      <w:divBdr>
        <w:top w:val="none" w:sz="0" w:space="0" w:color="auto"/>
        <w:left w:val="none" w:sz="0" w:space="0" w:color="auto"/>
        <w:bottom w:val="none" w:sz="0" w:space="0" w:color="auto"/>
        <w:right w:val="none" w:sz="0" w:space="0" w:color="auto"/>
      </w:divBdr>
    </w:div>
    <w:div w:id="790174960">
      <w:bodyDiv w:val="1"/>
      <w:marLeft w:val="0"/>
      <w:marRight w:val="0"/>
      <w:marTop w:val="0"/>
      <w:marBottom w:val="0"/>
      <w:divBdr>
        <w:top w:val="none" w:sz="0" w:space="0" w:color="auto"/>
        <w:left w:val="none" w:sz="0" w:space="0" w:color="auto"/>
        <w:bottom w:val="none" w:sz="0" w:space="0" w:color="auto"/>
        <w:right w:val="none" w:sz="0" w:space="0" w:color="auto"/>
      </w:divBdr>
    </w:div>
    <w:div w:id="807550785">
      <w:bodyDiv w:val="1"/>
      <w:marLeft w:val="0"/>
      <w:marRight w:val="0"/>
      <w:marTop w:val="0"/>
      <w:marBottom w:val="0"/>
      <w:divBdr>
        <w:top w:val="none" w:sz="0" w:space="0" w:color="auto"/>
        <w:left w:val="none" w:sz="0" w:space="0" w:color="auto"/>
        <w:bottom w:val="none" w:sz="0" w:space="0" w:color="auto"/>
        <w:right w:val="none" w:sz="0" w:space="0" w:color="auto"/>
      </w:divBdr>
    </w:div>
    <w:div w:id="837309805">
      <w:bodyDiv w:val="1"/>
      <w:marLeft w:val="0"/>
      <w:marRight w:val="0"/>
      <w:marTop w:val="0"/>
      <w:marBottom w:val="0"/>
      <w:divBdr>
        <w:top w:val="none" w:sz="0" w:space="0" w:color="auto"/>
        <w:left w:val="none" w:sz="0" w:space="0" w:color="auto"/>
        <w:bottom w:val="none" w:sz="0" w:space="0" w:color="auto"/>
        <w:right w:val="none" w:sz="0" w:space="0" w:color="auto"/>
      </w:divBdr>
    </w:div>
    <w:div w:id="870456625">
      <w:bodyDiv w:val="1"/>
      <w:marLeft w:val="0"/>
      <w:marRight w:val="0"/>
      <w:marTop w:val="0"/>
      <w:marBottom w:val="0"/>
      <w:divBdr>
        <w:top w:val="none" w:sz="0" w:space="0" w:color="auto"/>
        <w:left w:val="none" w:sz="0" w:space="0" w:color="auto"/>
        <w:bottom w:val="none" w:sz="0" w:space="0" w:color="auto"/>
        <w:right w:val="none" w:sz="0" w:space="0" w:color="auto"/>
      </w:divBdr>
    </w:div>
    <w:div w:id="878007222">
      <w:bodyDiv w:val="1"/>
      <w:marLeft w:val="0"/>
      <w:marRight w:val="0"/>
      <w:marTop w:val="0"/>
      <w:marBottom w:val="0"/>
      <w:divBdr>
        <w:top w:val="none" w:sz="0" w:space="0" w:color="auto"/>
        <w:left w:val="none" w:sz="0" w:space="0" w:color="auto"/>
        <w:bottom w:val="none" w:sz="0" w:space="0" w:color="auto"/>
        <w:right w:val="none" w:sz="0" w:space="0" w:color="auto"/>
      </w:divBdr>
    </w:div>
    <w:div w:id="923220851">
      <w:bodyDiv w:val="1"/>
      <w:marLeft w:val="0"/>
      <w:marRight w:val="0"/>
      <w:marTop w:val="0"/>
      <w:marBottom w:val="0"/>
      <w:divBdr>
        <w:top w:val="none" w:sz="0" w:space="0" w:color="auto"/>
        <w:left w:val="none" w:sz="0" w:space="0" w:color="auto"/>
        <w:bottom w:val="none" w:sz="0" w:space="0" w:color="auto"/>
        <w:right w:val="none" w:sz="0" w:space="0" w:color="auto"/>
      </w:divBdr>
    </w:div>
    <w:div w:id="965280618">
      <w:bodyDiv w:val="1"/>
      <w:marLeft w:val="0"/>
      <w:marRight w:val="0"/>
      <w:marTop w:val="0"/>
      <w:marBottom w:val="0"/>
      <w:divBdr>
        <w:top w:val="none" w:sz="0" w:space="0" w:color="auto"/>
        <w:left w:val="none" w:sz="0" w:space="0" w:color="auto"/>
        <w:bottom w:val="none" w:sz="0" w:space="0" w:color="auto"/>
        <w:right w:val="none" w:sz="0" w:space="0" w:color="auto"/>
      </w:divBdr>
    </w:div>
    <w:div w:id="1007100093">
      <w:bodyDiv w:val="1"/>
      <w:marLeft w:val="0"/>
      <w:marRight w:val="0"/>
      <w:marTop w:val="0"/>
      <w:marBottom w:val="0"/>
      <w:divBdr>
        <w:top w:val="none" w:sz="0" w:space="0" w:color="auto"/>
        <w:left w:val="none" w:sz="0" w:space="0" w:color="auto"/>
        <w:bottom w:val="none" w:sz="0" w:space="0" w:color="auto"/>
        <w:right w:val="none" w:sz="0" w:space="0" w:color="auto"/>
      </w:divBdr>
    </w:div>
    <w:div w:id="1012680952">
      <w:bodyDiv w:val="1"/>
      <w:marLeft w:val="0"/>
      <w:marRight w:val="0"/>
      <w:marTop w:val="0"/>
      <w:marBottom w:val="0"/>
      <w:divBdr>
        <w:top w:val="none" w:sz="0" w:space="0" w:color="auto"/>
        <w:left w:val="none" w:sz="0" w:space="0" w:color="auto"/>
        <w:bottom w:val="none" w:sz="0" w:space="0" w:color="auto"/>
        <w:right w:val="none" w:sz="0" w:space="0" w:color="auto"/>
      </w:divBdr>
    </w:div>
    <w:div w:id="1023478121">
      <w:bodyDiv w:val="1"/>
      <w:marLeft w:val="0"/>
      <w:marRight w:val="0"/>
      <w:marTop w:val="0"/>
      <w:marBottom w:val="0"/>
      <w:divBdr>
        <w:top w:val="none" w:sz="0" w:space="0" w:color="auto"/>
        <w:left w:val="none" w:sz="0" w:space="0" w:color="auto"/>
        <w:bottom w:val="none" w:sz="0" w:space="0" w:color="auto"/>
        <w:right w:val="none" w:sz="0" w:space="0" w:color="auto"/>
      </w:divBdr>
    </w:div>
    <w:div w:id="1030840676">
      <w:bodyDiv w:val="1"/>
      <w:marLeft w:val="0"/>
      <w:marRight w:val="0"/>
      <w:marTop w:val="0"/>
      <w:marBottom w:val="0"/>
      <w:divBdr>
        <w:top w:val="none" w:sz="0" w:space="0" w:color="auto"/>
        <w:left w:val="none" w:sz="0" w:space="0" w:color="auto"/>
        <w:bottom w:val="none" w:sz="0" w:space="0" w:color="auto"/>
        <w:right w:val="none" w:sz="0" w:space="0" w:color="auto"/>
      </w:divBdr>
    </w:div>
    <w:div w:id="1086154034">
      <w:bodyDiv w:val="1"/>
      <w:marLeft w:val="0"/>
      <w:marRight w:val="0"/>
      <w:marTop w:val="0"/>
      <w:marBottom w:val="0"/>
      <w:divBdr>
        <w:top w:val="none" w:sz="0" w:space="0" w:color="auto"/>
        <w:left w:val="none" w:sz="0" w:space="0" w:color="auto"/>
        <w:bottom w:val="none" w:sz="0" w:space="0" w:color="auto"/>
        <w:right w:val="none" w:sz="0" w:space="0" w:color="auto"/>
      </w:divBdr>
    </w:div>
    <w:div w:id="1093742560">
      <w:bodyDiv w:val="1"/>
      <w:marLeft w:val="0"/>
      <w:marRight w:val="0"/>
      <w:marTop w:val="0"/>
      <w:marBottom w:val="0"/>
      <w:divBdr>
        <w:top w:val="none" w:sz="0" w:space="0" w:color="auto"/>
        <w:left w:val="none" w:sz="0" w:space="0" w:color="auto"/>
        <w:bottom w:val="none" w:sz="0" w:space="0" w:color="auto"/>
        <w:right w:val="none" w:sz="0" w:space="0" w:color="auto"/>
      </w:divBdr>
    </w:div>
    <w:div w:id="1124419271">
      <w:bodyDiv w:val="1"/>
      <w:marLeft w:val="0"/>
      <w:marRight w:val="0"/>
      <w:marTop w:val="0"/>
      <w:marBottom w:val="0"/>
      <w:divBdr>
        <w:top w:val="none" w:sz="0" w:space="0" w:color="auto"/>
        <w:left w:val="none" w:sz="0" w:space="0" w:color="auto"/>
        <w:bottom w:val="none" w:sz="0" w:space="0" w:color="auto"/>
        <w:right w:val="none" w:sz="0" w:space="0" w:color="auto"/>
      </w:divBdr>
    </w:div>
    <w:div w:id="1155100128">
      <w:bodyDiv w:val="1"/>
      <w:marLeft w:val="0"/>
      <w:marRight w:val="0"/>
      <w:marTop w:val="0"/>
      <w:marBottom w:val="0"/>
      <w:divBdr>
        <w:top w:val="none" w:sz="0" w:space="0" w:color="auto"/>
        <w:left w:val="none" w:sz="0" w:space="0" w:color="auto"/>
        <w:bottom w:val="none" w:sz="0" w:space="0" w:color="auto"/>
        <w:right w:val="none" w:sz="0" w:space="0" w:color="auto"/>
      </w:divBdr>
    </w:div>
    <w:div w:id="1156606213">
      <w:bodyDiv w:val="1"/>
      <w:marLeft w:val="0"/>
      <w:marRight w:val="0"/>
      <w:marTop w:val="0"/>
      <w:marBottom w:val="0"/>
      <w:divBdr>
        <w:top w:val="none" w:sz="0" w:space="0" w:color="auto"/>
        <w:left w:val="none" w:sz="0" w:space="0" w:color="auto"/>
        <w:bottom w:val="none" w:sz="0" w:space="0" w:color="auto"/>
        <w:right w:val="none" w:sz="0" w:space="0" w:color="auto"/>
      </w:divBdr>
    </w:div>
    <w:div w:id="1201091033">
      <w:bodyDiv w:val="1"/>
      <w:marLeft w:val="0"/>
      <w:marRight w:val="0"/>
      <w:marTop w:val="0"/>
      <w:marBottom w:val="0"/>
      <w:divBdr>
        <w:top w:val="none" w:sz="0" w:space="0" w:color="auto"/>
        <w:left w:val="none" w:sz="0" w:space="0" w:color="auto"/>
        <w:bottom w:val="none" w:sz="0" w:space="0" w:color="auto"/>
        <w:right w:val="none" w:sz="0" w:space="0" w:color="auto"/>
      </w:divBdr>
    </w:div>
    <w:div w:id="1263759690">
      <w:bodyDiv w:val="1"/>
      <w:marLeft w:val="0"/>
      <w:marRight w:val="0"/>
      <w:marTop w:val="0"/>
      <w:marBottom w:val="0"/>
      <w:divBdr>
        <w:top w:val="none" w:sz="0" w:space="0" w:color="auto"/>
        <w:left w:val="none" w:sz="0" w:space="0" w:color="auto"/>
        <w:bottom w:val="none" w:sz="0" w:space="0" w:color="auto"/>
        <w:right w:val="none" w:sz="0" w:space="0" w:color="auto"/>
      </w:divBdr>
    </w:div>
    <w:div w:id="1294408200">
      <w:bodyDiv w:val="1"/>
      <w:marLeft w:val="0"/>
      <w:marRight w:val="0"/>
      <w:marTop w:val="0"/>
      <w:marBottom w:val="0"/>
      <w:divBdr>
        <w:top w:val="none" w:sz="0" w:space="0" w:color="auto"/>
        <w:left w:val="none" w:sz="0" w:space="0" w:color="auto"/>
        <w:bottom w:val="none" w:sz="0" w:space="0" w:color="auto"/>
        <w:right w:val="none" w:sz="0" w:space="0" w:color="auto"/>
      </w:divBdr>
    </w:div>
    <w:div w:id="1307199219">
      <w:bodyDiv w:val="1"/>
      <w:marLeft w:val="0"/>
      <w:marRight w:val="0"/>
      <w:marTop w:val="0"/>
      <w:marBottom w:val="0"/>
      <w:divBdr>
        <w:top w:val="none" w:sz="0" w:space="0" w:color="auto"/>
        <w:left w:val="none" w:sz="0" w:space="0" w:color="auto"/>
        <w:bottom w:val="none" w:sz="0" w:space="0" w:color="auto"/>
        <w:right w:val="none" w:sz="0" w:space="0" w:color="auto"/>
      </w:divBdr>
    </w:div>
    <w:div w:id="1326515058">
      <w:bodyDiv w:val="1"/>
      <w:marLeft w:val="0"/>
      <w:marRight w:val="0"/>
      <w:marTop w:val="0"/>
      <w:marBottom w:val="0"/>
      <w:divBdr>
        <w:top w:val="none" w:sz="0" w:space="0" w:color="auto"/>
        <w:left w:val="none" w:sz="0" w:space="0" w:color="auto"/>
        <w:bottom w:val="none" w:sz="0" w:space="0" w:color="auto"/>
        <w:right w:val="none" w:sz="0" w:space="0" w:color="auto"/>
      </w:divBdr>
    </w:div>
    <w:div w:id="1326932949">
      <w:bodyDiv w:val="1"/>
      <w:marLeft w:val="0"/>
      <w:marRight w:val="0"/>
      <w:marTop w:val="0"/>
      <w:marBottom w:val="0"/>
      <w:divBdr>
        <w:top w:val="none" w:sz="0" w:space="0" w:color="auto"/>
        <w:left w:val="none" w:sz="0" w:space="0" w:color="auto"/>
        <w:bottom w:val="none" w:sz="0" w:space="0" w:color="auto"/>
        <w:right w:val="none" w:sz="0" w:space="0" w:color="auto"/>
      </w:divBdr>
    </w:div>
    <w:div w:id="1339383238">
      <w:bodyDiv w:val="1"/>
      <w:marLeft w:val="0"/>
      <w:marRight w:val="0"/>
      <w:marTop w:val="0"/>
      <w:marBottom w:val="0"/>
      <w:divBdr>
        <w:top w:val="none" w:sz="0" w:space="0" w:color="auto"/>
        <w:left w:val="none" w:sz="0" w:space="0" w:color="auto"/>
        <w:bottom w:val="none" w:sz="0" w:space="0" w:color="auto"/>
        <w:right w:val="none" w:sz="0" w:space="0" w:color="auto"/>
      </w:divBdr>
    </w:div>
    <w:div w:id="1376660373">
      <w:bodyDiv w:val="1"/>
      <w:marLeft w:val="0"/>
      <w:marRight w:val="0"/>
      <w:marTop w:val="0"/>
      <w:marBottom w:val="0"/>
      <w:divBdr>
        <w:top w:val="none" w:sz="0" w:space="0" w:color="auto"/>
        <w:left w:val="none" w:sz="0" w:space="0" w:color="auto"/>
        <w:bottom w:val="none" w:sz="0" w:space="0" w:color="auto"/>
        <w:right w:val="none" w:sz="0" w:space="0" w:color="auto"/>
      </w:divBdr>
    </w:div>
    <w:div w:id="1389764260">
      <w:bodyDiv w:val="1"/>
      <w:marLeft w:val="0"/>
      <w:marRight w:val="0"/>
      <w:marTop w:val="0"/>
      <w:marBottom w:val="0"/>
      <w:divBdr>
        <w:top w:val="none" w:sz="0" w:space="0" w:color="auto"/>
        <w:left w:val="none" w:sz="0" w:space="0" w:color="auto"/>
        <w:bottom w:val="none" w:sz="0" w:space="0" w:color="auto"/>
        <w:right w:val="none" w:sz="0" w:space="0" w:color="auto"/>
      </w:divBdr>
    </w:div>
    <w:div w:id="1396852018">
      <w:bodyDiv w:val="1"/>
      <w:marLeft w:val="0"/>
      <w:marRight w:val="0"/>
      <w:marTop w:val="0"/>
      <w:marBottom w:val="0"/>
      <w:divBdr>
        <w:top w:val="none" w:sz="0" w:space="0" w:color="auto"/>
        <w:left w:val="none" w:sz="0" w:space="0" w:color="auto"/>
        <w:bottom w:val="none" w:sz="0" w:space="0" w:color="auto"/>
        <w:right w:val="none" w:sz="0" w:space="0" w:color="auto"/>
      </w:divBdr>
    </w:div>
    <w:div w:id="1404133804">
      <w:bodyDiv w:val="1"/>
      <w:marLeft w:val="0"/>
      <w:marRight w:val="0"/>
      <w:marTop w:val="0"/>
      <w:marBottom w:val="0"/>
      <w:divBdr>
        <w:top w:val="none" w:sz="0" w:space="0" w:color="auto"/>
        <w:left w:val="none" w:sz="0" w:space="0" w:color="auto"/>
        <w:bottom w:val="none" w:sz="0" w:space="0" w:color="auto"/>
        <w:right w:val="none" w:sz="0" w:space="0" w:color="auto"/>
      </w:divBdr>
    </w:div>
    <w:div w:id="1506239384">
      <w:bodyDiv w:val="1"/>
      <w:marLeft w:val="0"/>
      <w:marRight w:val="0"/>
      <w:marTop w:val="0"/>
      <w:marBottom w:val="0"/>
      <w:divBdr>
        <w:top w:val="none" w:sz="0" w:space="0" w:color="auto"/>
        <w:left w:val="none" w:sz="0" w:space="0" w:color="auto"/>
        <w:bottom w:val="none" w:sz="0" w:space="0" w:color="auto"/>
        <w:right w:val="none" w:sz="0" w:space="0" w:color="auto"/>
      </w:divBdr>
    </w:div>
    <w:div w:id="1533575109">
      <w:bodyDiv w:val="1"/>
      <w:marLeft w:val="0"/>
      <w:marRight w:val="0"/>
      <w:marTop w:val="0"/>
      <w:marBottom w:val="0"/>
      <w:divBdr>
        <w:top w:val="none" w:sz="0" w:space="0" w:color="auto"/>
        <w:left w:val="none" w:sz="0" w:space="0" w:color="auto"/>
        <w:bottom w:val="none" w:sz="0" w:space="0" w:color="auto"/>
        <w:right w:val="none" w:sz="0" w:space="0" w:color="auto"/>
      </w:divBdr>
    </w:div>
    <w:div w:id="1553616087">
      <w:bodyDiv w:val="1"/>
      <w:marLeft w:val="0"/>
      <w:marRight w:val="0"/>
      <w:marTop w:val="0"/>
      <w:marBottom w:val="0"/>
      <w:divBdr>
        <w:top w:val="none" w:sz="0" w:space="0" w:color="auto"/>
        <w:left w:val="none" w:sz="0" w:space="0" w:color="auto"/>
        <w:bottom w:val="none" w:sz="0" w:space="0" w:color="auto"/>
        <w:right w:val="none" w:sz="0" w:space="0" w:color="auto"/>
      </w:divBdr>
    </w:div>
    <w:div w:id="1576890743">
      <w:bodyDiv w:val="1"/>
      <w:marLeft w:val="0"/>
      <w:marRight w:val="0"/>
      <w:marTop w:val="0"/>
      <w:marBottom w:val="0"/>
      <w:divBdr>
        <w:top w:val="none" w:sz="0" w:space="0" w:color="auto"/>
        <w:left w:val="none" w:sz="0" w:space="0" w:color="auto"/>
        <w:bottom w:val="none" w:sz="0" w:space="0" w:color="auto"/>
        <w:right w:val="none" w:sz="0" w:space="0" w:color="auto"/>
      </w:divBdr>
    </w:div>
    <w:div w:id="1582374571">
      <w:bodyDiv w:val="1"/>
      <w:marLeft w:val="0"/>
      <w:marRight w:val="0"/>
      <w:marTop w:val="0"/>
      <w:marBottom w:val="0"/>
      <w:divBdr>
        <w:top w:val="none" w:sz="0" w:space="0" w:color="auto"/>
        <w:left w:val="none" w:sz="0" w:space="0" w:color="auto"/>
        <w:bottom w:val="none" w:sz="0" w:space="0" w:color="auto"/>
        <w:right w:val="none" w:sz="0" w:space="0" w:color="auto"/>
      </w:divBdr>
    </w:div>
    <w:div w:id="1586381420">
      <w:bodyDiv w:val="1"/>
      <w:marLeft w:val="0"/>
      <w:marRight w:val="0"/>
      <w:marTop w:val="0"/>
      <w:marBottom w:val="0"/>
      <w:divBdr>
        <w:top w:val="none" w:sz="0" w:space="0" w:color="auto"/>
        <w:left w:val="none" w:sz="0" w:space="0" w:color="auto"/>
        <w:bottom w:val="none" w:sz="0" w:space="0" w:color="auto"/>
        <w:right w:val="none" w:sz="0" w:space="0" w:color="auto"/>
      </w:divBdr>
    </w:div>
    <w:div w:id="1591160547">
      <w:bodyDiv w:val="1"/>
      <w:marLeft w:val="0"/>
      <w:marRight w:val="0"/>
      <w:marTop w:val="0"/>
      <w:marBottom w:val="0"/>
      <w:divBdr>
        <w:top w:val="none" w:sz="0" w:space="0" w:color="auto"/>
        <w:left w:val="none" w:sz="0" w:space="0" w:color="auto"/>
        <w:bottom w:val="none" w:sz="0" w:space="0" w:color="auto"/>
        <w:right w:val="none" w:sz="0" w:space="0" w:color="auto"/>
      </w:divBdr>
    </w:div>
    <w:div w:id="1635063598">
      <w:bodyDiv w:val="1"/>
      <w:marLeft w:val="0"/>
      <w:marRight w:val="0"/>
      <w:marTop w:val="0"/>
      <w:marBottom w:val="0"/>
      <w:divBdr>
        <w:top w:val="none" w:sz="0" w:space="0" w:color="auto"/>
        <w:left w:val="none" w:sz="0" w:space="0" w:color="auto"/>
        <w:bottom w:val="none" w:sz="0" w:space="0" w:color="auto"/>
        <w:right w:val="none" w:sz="0" w:space="0" w:color="auto"/>
      </w:divBdr>
    </w:div>
    <w:div w:id="1646201464">
      <w:bodyDiv w:val="1"/>
      <w:marLeft w:val="0"/>
      <w:marRight w:val="0"/>
      <w:marTop w:val="0"/>
      <w:marBottom w:val="0"/>
      <w:divBdr>
        <w:top w:val="none" w:sz="0" w:space="0" w:color="auto"/>
        <w:left w:val="none" w:sz="0" w:space="0" w:color="auto"/>
        <w:bottom w:val="none" w:sz="0" w:space="0" w:color="auto"/>
        <w:right w:val="none" w:sz="0" w:space="0" w:color="auto"/>
      </w:divBdr>
    </w:div>
    <w:div w:id="1713188679">
      <w:bodyDiv w:val="1"/>
      <w:marLeft w:val="0"/>
      <w:marRight w:val="0"/>
      <w:marTop w:val="0"/>
      <w:marBottom w:val="0"/>
      <w:divBdr>
        <w:top w:val="none" w:sz="0" w:space="0" w:color="auto"/>
        <w:left w:val="none" w:sz="0" w:space="0" w:color="auto"/>
        <w:bottom w:val="none" w:sz="0" w:space="0" w:color="auto"/>
        <w:right w:val="none" w:sz="0" w:space="0" w:color="auto"/>
      </w:divBdr>
    </w:div>
    <w:div w:id="1716663348">
      <w:bodyDiv w:val="1"/>
      <w:marLeft w:val="0"/>
      <w:marRight w:val="0"/>
      <w:marTop w:val="0"/>
      <w:marBottom w:val="0"/>
      <w:divBdr>
        <w:top w:val="none" w:sz="0" w:space="0" w:color="auto"/>
        <w:left w:val="none" w:sz="0" w:space="0" w:color="auto"/>
        <w:bottom w:val="none" w:sz="0" w:space="0" w:color="auto"/>
        <w:right w:val="none" w:sz="0" w:space="0" w:color="auto"/>
      </w:divBdr>
    </w:div>
    <w:div w:id="1717776686">
      <w:bodyDiv w:val="1"/>
      <w:marLeft w:val="0"/>
      <w:marRight w:val="0"/>
      <w:marTop w:val="0"/>
      <w:marBottom w:val="0"/>
      <w:divBdr>
        <w:top w:val="none" w:sz="0" w:space="0" w:color="auto"/>
        <w:left w:val="none" w:sz="0" w:space="0" w:color="auto"/>
        <w:bottom w:val="none" w:sz="0" w:space="0" w:color="auto"/>
        <w:right w:val="none" w:sz="0" w:space="0" w:color="auto"/>
      </w:divBdr>
    </w:div>
    <w:div w:id="1740328933">
      <w:bodyDiv w:val="1"/>
      <w:marLeft w:val="0"/>
      <w:marRight w:val="0"/>
      <w:marTop w:val="0"/>
      <w:marBottom w:val="0"/>
      <w:divBdr>
        <w:top w:val="none" w:sz="0" w:space="0" w:color="auto"/>
        <w:left w:val="none" w:sz="0" w:space="0" w:color="auto"/>
        <w:bottom w:val="none" w:sz="0" w:space="0" w:color="auto"/>
        <w:right w:val="none" w:sz="0" w:space="0" w:color="auto"/>
      </w:divBdr>
    </w:div>
    <w:div w:id="1773042724">
      <w:bodyDiv w:val="1"/>
      <w:marLeft w:val="0"/>
      <w:marRight w:val="0"/>
      <w:marTop w:val="0"/>
      <w:marBottom w:val="0"/>
      <w:divBdr>
        <w:top w:val="none" w:sz="0" w:space="0" w:color="auto"/>
        <w:left w:val="none" w:sz="0" w:space="0" w:color="auto"/>
        <w:bottom w:val="none" w:sz="0" w:space="0" w:color="auto"/>
        <w:right w:val="none" w:sz="0" w:space="0" w:color="auto"/>
      </w:divBdr>
    </w:div>
    <w:div w:id="1789814325">
      <w:bodyDiv w:val="1"/>
      <w:marLeft w:val="0"/>
      <w:marRight w:val="0"/>
      <w:marTop w:val="0"/>
      <w:marBottom w:val="0"/>
      <w:divBdr>
        <w:top w:val="none" w:sz="0" w:space="0" w:color="auto"/>
        <w:left w:val="none" w:sz="0" w:space="0" w:color="auto"/>
        <w:bottom w:val="none" w:sz="0" w:space="0" w:color="auto"/>
        <w:right w:val="none" w:sz="0" w:space="0" w:color="auto"/>
      </w:divBdr>
    </w:div>
    <w:div w:id="1821386849">
      <w:bodyDiv w:val="1"/>
      <w:marLeft w:val="0"/>
      <w:marRight w:val="0"/>
      <w:marTop w:val="0"/>
      <w:marBottom w:val="0"/>
      <w:divBdr>
        <w:top w:val="none" w:sz="0" w:space="0" w:color="auto"/>
        <w:left w:val="none" w:sz="0" w:space="0" w:color="auto"/>
        <w:bottom w:val="none" w:sz="0" w:space="0" w:color="auto"/>
        <w:right w:val="none" w:sz="0" w:space="0" w:color="auto"/>
      </w:divBdr>
    </w:div>
    <w:div w:id="1830095188">
      <w:bodyDiv w:val="1"/>
      <w:marLeft w:val="0"/>
      <w:marRight w:val="0"/>
      <w:marTop w:val="0"/>
      <w:marBottom w:val="0"/>
      <w:divBdr>
        <w:top w:val="none" w:sz="0" w:space="0" w:color="auto"/>
        <w:left w:val="none" w:sz="0" w:space="0" w:color="auto"/>
        <w:bottom w:val="none" w:sz="0" w:space="0" w:color="auto"/>
        <w:right w:val="none" w:sz="0" w:space="0" w:color="auto"/>
      </w:divBdr>
    </w:div>
    <w:div w:id="1863397526">
      <w:bodyDiv w:val="1"/>
      <w:marLeft w:val="0"/>
      <w:marRight w:val="0"/>
      <w:marTop w:val="0"/>
      <w:marBottom w:val="0"/>
      <w:divBdr>
        <w:top w:val="none" w:sz="0" w:space="0" w:color="auto"/>
        <w:left w:val="none" w:sz="0" w:space="0" w:color="auto"/>
        <w:bottom w:val="none" w:sz="0" w:space="0" w:color="auto"/>
        <w:right w:val="none" w:sz="0" w:space="0" w:color="auto"/>
      </w:divBdr>
    </w:div>
    <w:div w:id="1875196011">
      <w:bodyDiv w:val="1"/>
      <w:marLeft w:val="0"/>
      <w:marRight w:val="0"/>
      <w:marTop w:val="0"/>
      <w:marBottom w:val="0"/>
      <w:divBdr>
        <w:top w:val="none" w:sz="0" w:space="0" w:color="auto"/>
        <w:left w:val="none" w:sz="0" w:space="0" w:color="auto"/>
        <w:bottom w:val="none" w:sz="0" w:space="0" w:color="auto"/>
        <w:right w:val="none" w:sz="0" w:space="0" w:color="auto"/>
      </w:divBdr>
    </w:div>
    <w:div w:id="1880438917">
      <w:bodyDiv w:val="1"/>
      <w:marLeft w:val="0"/>
      <w:marRight w:val="0"/>
      <w:marTop w:val="0"/>
      <w:marBottom w:val="0"/>
      <w:divBdr>
        <w:top w:val="none" w:sz="0" w:space="0" w:color="auto"/>
        <w:left w:val="none" w:sz="0" w:space="0" w:color="auto"/>
        <w:bottom w:val="none" w:sz="0" w:space="0" w:color="auto"/>
        <w:right w:val="none" w:sz="0" w:space="0" w:color="auto"/>
      </w:divBdr>
    </w:div>
    <w:div w:id="1886214978">
      <w:bodyDiv w:val="1"/>
      <w:marLeft w:val="0"/>
      <w:marRight w:val="0"/>
      <w:marTop w:val="0"/>
      <w:marBottom w:val="0"/>
      <w:divBdr>
        <w:top w:val="none" w:sz="0" w:space="0" w:color="auto"/>
        <w:left w:val="none" w:sz="0" w:space="0" w:color="auto"/>
        <w:bottom w:val="none" w:sz="0" w:space="0" w:color="auto"/>
        <w:right w:val="none" w:sz="0" w:space="0" w:color="auto"/>
      </w:divBdr>
    </w:div>
    <w:div w:id="1898542910">
      <w:bodyDiv w:val="1"/>
      <w:marLeft w:val="0"/>
      <w:marRight w:val="0"/>
      <w:marTop w:val="0"/>
      <w:marBottom w:val="0"/>
      <w:divBdr>
        <w:top w:val="none" w:sz="0" w:space="0" w:color="auto"/>
        <w:left w:val="none" w:sz="0" w:space="0" w:color="auto"/>
        <w:bottom w:val="none" w:sz="0" w:space="0" w:color="auto"/>
        <w:right w:val="none" w:sz="0" w:space="0" w:color="auto"/>
      </w:divBdr>
    </w:div>
    <w:div w:id="1932203603">
      <w:bodyDiv w:val="1"/>
      <w:marLeft w:val="0"/>
      <w:marRight w:val="0"/>
      <w:marTop w:val="0"/>
      <w:marBottom w:val="0"/>
      <w:divBdr>
        <w:top w:val="none" w:sz="0" w:space="0" w:color="auto"/>
        <w:left w:val="none" w:sz="0" w:space="0" w:color="auto"/>
        <w:bottom w:val="none" w:sz="0" w:space="0" w:color="auto"/>
        <w:right w:val="none" w:sz="0" w:space="0" w:color="auto"/>
      </w:divBdr>
    </w:div>
    <w:div w:id="1942368913">
      <w:bodyDiv w:val="1"/>
      <w:marLeft w:val="0"/>
      <w:marRight w:val="0"/>
      <w:marTop w:val="0"/>
      <w:marBottom w:val="0"/>
      <w:divBdr>
        <w:top w:val="none" w:sz="0" w:space="0" w:color="auto"/>
        <w:left w:val="none" w:sz="0" w:space="0" w:color="auto"/>
        <w:bottom w:val="none" w:sz="0" w:space="0" w:color="auto"/>
        <w:right w:val="none" w:sz="0" w:space="0" w:color="auto"/>
      </w:divBdr>
    </w:div>
    <w:div w:id="1943682367">
      <w:bodyDiv w:val="1"/>
      <w:marLeft w:val="0"/>
      <w:marRight w:val="0"/>
      <w:marTop w:val="0"/>
      <w:marBottom w:val="0"/>
      <w:divBdr>
        <w:top w:val="none" w:sz="0" w:space="0" w:color="auto"/>
        <w:left w:val="none" w:sz="0" w:space="0" w:color="auto"/>
        <w:bottom w:val="none" w:sz="0" w:space="0" w:color="auto"/>
        <w:right w:val="none" w:sz="0" w:space="0" w:color="auto"/>
      </w:divBdr>
    </w:div>
    <w:div w:id="1969628391">
      <w:bodyDiv w:val="1"/>
      <w:marLeft w:val="0"/>
      <w:marRight w:val="0"/>
      <w:marTop w:val="0"/>
      <w:marBottom w:val="0"/>
      <w:divBdr>
        <w:top w:val="none" w:sz="0" w:space="0" w:color="auto"/>
        <w:left w:val="none" w:sz="0" w:space="0" w:color="auto"/>
        <w:bottom w:val="none" w:sz="0" w:space="0" w:color="auto"/>
        <w:right w:val="none" w:sz="0" w:space="0" w:color="auto"/>
      </w:divBdr>
    </w:div>
    <w:div w:id="1976328737">
      <w:bodyDiv w:val="1"/>
      <w:marLeft w:val="0"/>
      <w:marRight w:val="0"/>
      <w:marTop w:val="0"/>
      <w:marBottom w:val="0"/>
      <w:divBdr>
        <w:top w:val="none" w:sz="0" w:space="0" w:color="auto"/>
        <w:left w:val="none" w:sz="0" w:space="0" w:color="auto"/>
        <w:bottom w:val="none" w:sz="0" w:space="0" w:color="auto"/>
        <w:right w:val="none" w:sz="0" w:space="0" w:color="auto"/>
      </w:divBdr>
    </w:div>
    <w:div w:id="1978992379">
      <w:bodyDiv w:val="1"/>
      <w:marLeft w:val="0"/>
      <w:marRight w:val="0"/>
      <w:marTop w:val="0"/>
      <w:marBottom w:val="0"/>
      <w:divBdr>
        <w:top w:val="none" w:sz="0" w:space="0" w:color="auto"/>
        <w:left w:val="none" w:sz="0" w:space="0" w:color="auto"/>
        <w:bottom w:val="none" w:sz="0" w:space="0" w:color="auto"/>
        <w:right w:val="none" w:sz="0" w:space="0" w:color="auto"/>
      </w:divBdr>
    </w:div>
    <w:div w:id="2035956591">
      <w:bodyDiv w:val="1"/>
      <w:marLeft w:val="0"/>
      <w:marRight w:val="0"/>
      <w:marTop w:val="0"/>
      <w:marBottom w:val="0"/>
      <w:divBdr>
        <w:top w:val="none" w:sz="0" w:space="0" w:color="auto"/>
        <w:left w:val="none" w:sz="0" w:space="0" w:color="auto"/>
        <w:bottom w:val="none" w:sz="0" w:space="0" w:color="auto"/>
        <w:right w:val="none" w:sz="0" w:space="0" w:color="auto"/>
      </w:divBdr>
    </w:div>
    <w:div w:id="2040929845">
      <w:bodyDiv w:val="1"/>
      <w:marLeft w:val="0"/>
      <w:marRight w:val="0"/>
      <w:marTop w:val="0"/>
      <w:marBottom w:val="0"/>
      <w:divBdr>
        <w:top w:val="none" w:sz="0" w:space="0" w:color="auto"/>
        <w:left w:val="none" w:sz="0" w:space="0" w:color="auto"/>
        <w:bottom w:val="none" w:sz="0" w:space="0" w:color="auto"/>
        <w:right w:val="none" w:sz="0" w:space="0" w:color="auto"/>
      </w:divBdr>
    </w:div>
    <w:div w:id="2041125038">
      <w:bodyDiv w:val="1"/>
      <w:marLeft w:val="0"/>
      <w:marRight w:val="0"/>
      <w:marTop w:val="0"/>
      <w:marBottom w:val="0"/>
      <w:divBdr>
        <w:top w:val="none" w:sz="0" w:space="0" w:color="auto"/>
        <w:left w:val="none" w:sz="0" w:space="0" w:color="auto"/>
        <w:bottom w:val="none" w:sz="0" w:space="0" w:color="auto"/>
        <w:right w:val="none" w:sz="0" w:space="0" w:color="auto"/>
      </w:divBdr>
    </w:div>
    <w:div w:id="2046443638">
      <w:bodyDiv w:val="1"/>
      <w:marLeft w:val="0"/>
      <w:marRight w:val="0"/>
      <w:marTop w:val="0"/>
      <w:marBottom w:val="0"/>
      <w:divBdr>
        <w:top w:val="none" w:sz="0" w:space="0" w:color="auto"/>
        <w:left w:val="none" w:sz="0" w:space="0" w:color="auto"/>
        <w:bottom w:val="none" w:sz="0" w:space="0" w:color="auto"/>
        <w:right w:val="none" w:sz="0" w:space="0" w:color="auto"/>
      </w:divBdr>
    </w:div>
    <w:div w:id="2068794589">
      <w:bodyDiv w:val="1"/>
      <w:marLeft w:val="0"/>
      <w:marRight w:val="0"/>
      <w:marTop w:val="0"/>
      <w:marBottom w:val="0"/>
      <w:divBdr>
        <w:top w:val="none" w:sz="0" w:space="0" w:color="auto"/>
        <w:left w:val="none" w:sz="0" w:space="0" w:color="auto"/>
        <w:bottom w:val="none" w:sz="0" w:space="0" w:color="auto"/>
        <w:right w:val="none" w:sz="0" w:space="0" w:color="auto"/>
      </w:divBdr>
    </w:div>
    <w:div w:id="2106880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D2E721-C8B2-4C84-8D2E-079210F84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12</Pages>
  <Words>1235</Words>
  <Characters>7040</Characters>
  <Application>Microsoft Office Word</Application>
  <DocSecurity>0</DocSecurity>
  <Lines>58</Lines>
  <Paragraphs>16</Paragraphs>
  <ScaleCrop>false</ScaleCrop>
  <Company>xmrcb</Company>
  <LinksUpToDate>false</LinksUpToDate>
  <CharactersWithSpaces>8259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chenkexmrcb</dc:creator>
  <cp:lastModifiedBy>ck</cp:lastModifiedBy>
  <cp:revision>34</cp:revision>
  <cp:lastPrinted>2020-06-04T07:22:00Z</cp:lastPrinted>
  <dcterms:created xsi:type="dcterms:W3CDTF">2021-05-13T09:40:00Z</dcterms:created>
  <dcterms:modified xsi:type="dcterms:W3CDTF">2021-05-25T04:59:00Z</dcterms:modified>
</cp:coreProperties>
</file>