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3D" w:rsidRPr="00045E09" w:rsidRDefault="00AB6499" w:rsidP="00AB41B3">
      <w:pPr>
        <w:adjustRightInd w:val="0"/>
        <w:snapToGrid w:val="0"/>
        <w:spacing w:line="480" w:lineRule="exact"/>
        <w:jc w:val="left"/>
        <w:rPr>
          <w:rFonts w:asciiTheme="majorEastAsia" w:eastAsiaTheme="majorEastAsia" w:hAnsiTheme="majorEastAsia" w:cs="Times New Roman"/>
          <w:b/>
          <w:sz w:val="40"/>
          <w:szCs w:val="32"/>
        </w:rPr>
      </w:pPr>
      <w:r w:rsidRPr="00045E09">
        <w:rPr>
          <w:rFonts w:ascii="Arial Unicode MS" w:eastAsia="Arial Unicode MS" w:hAnsi="Arial Unicode MS" w:cs="Arial Unicode MS" w:hint="eastAsia"/>
          <w:sz w:val="40"/>
          <w:szCs w:val="44"/>
        </w:rPr>
        <w:t>∙</w:t>
      </w:r>
      <w:r w:rsidR="00FB6CA6" w:rsidRPr="00045E09">
        <w:rPr>
          <w:rFonts w:asciiTheme="majorEastAsia" w:eastAsiaTheme="majorEastAsia" w:hAnsiTheme="majorEastAsia" w:cs="Times New Roman" w:hint="eastAsia"/>
          <w:b/>
          <w:sz w:val="40"/>
          <w:szCs w:val="32"/>
        </w:rPr>
        <w:t>业务概况</w:t>
      </w:r>
    </w:p>
    <w:tbl>
      <w:tblPr>
        <w:tblStyle w:val="a3"/>
        <w:tblW w:w="14208" w:type="dxa"/>
        <w:jc w:val="right"/>
        <w:tblInd w:w="1864" w:type="dxa"/>
        <w:tblLook w:val="04A0" w:firstRow="1" w:lastRow="0" w:firstColumn="1" w:lastColumn="0" w:noHBand="0" w:noVBand="1"/>
      </w:tblPr>
      <w:tblGrid>
        <w:gridCol w:w="1560"/>
        <w:gridCol w:w="5670"/>
        <w:gridCol w:w="1276"/>
        <w:gridCol w:w="2039"/>
        <w:gridCol w:w="1788"/>
        <w:gridCol w:w="1875"/>
      </w:tblGrid>
      <w:tr w:rsidR="0045726E" w:rsidRPr="00045E09" w:rsidTr="00B81B1F">
        <w:trPr>
          <w:jc w:val="right"/>
        </w:trPr>
        <w:tc>
          <w:tcPr>
            <w:tcW w:w="156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b/>
                <w:color w:val="FFFFFF" w:themeColor="background1"/>
                <w:sz w:val="24"/>
                <w:szCs w:val="32"/>
              </w:rPr>
              <w:t>业务板块</w:t>
            </w:r>
          </w:p>
        </w:tc>
        <w:tc>
          <w:tcPr>
            <w:tcW w:w="567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交易品种</w:t>
            </w:r>
          </w:p>
        </w:tc>
        <w:tc>
          <w:tcPr>
            <w:tcW w:w="1276"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笔数</w:t>
            </w:r>
          </w:p>
        </w:tc>
        <w:tc>
          <w:tcPr>
            <w:tcW w:w="2039"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合计金额</w:t>
            </w:r>
          </w:p>
        </w:tc>
        <w:tc>
          <w:tcPr>
            <w:tcW w:w="1788"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最大金额</w:t>
            </w:r>
          </w:p>
        </w:tc>
        <w:tc>
          <w:tcPr>
            <w:tcW w:w="1875"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最小金额</w:t>
            </w:r>
          </w:p>
        </w:tc>
      </w:tr>
      <w:tr w:rsidR="00757845" w:rsidRPr="00045E09" w:rsidTr="00B81B1F">
        <w:trPr>
          <w:jc w:val="right"/>
        </w:trPr>
        <w:tc>
          <w:tcPr>
            <w:tcW w:w="1560" w:type="dxa"/>
            <w:shd w:val="clear" w:color="auto" w:fill="FFFFFF" w:themeFill="background1"/>
            <w:vAlign w:val="center"/>
          </w:tcPr>
          <w:p w:rsidR="00757845"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自营业务</w:t>
            </w:r>
          </w:p>
        </w:tc>
        <w:tc>
          <w:tcPr>
            <w:tcW w:w="5670"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757845" w:rsidRPr="00045E09" w:rsidRDefault="00757845" w:rsidP="002865CC">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r>
      <w:tr w:rsidR="0045726E" w:rsidRPr="00E13056" w:rsidTr="00B81B1F">
        <w:trPr>
          <w:jc w:val="right"/>
        </w:trPr>
        <w:tc>
          <w:tcPr>
            <w:tcW w:w="1560" w:type="dxa"/>
            <w:shd w:val="clear" w:color="auto" w:fill="FFFFFF" w:themeFill="background1"/>
            <w:vAlign w:val="center"/>
          </w:tcPr>
          <w:p w:rsidR="0045726E"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理财业务</w:t>
            </w:r>
          </w:p>
        </w:tc>
        <w:tc>
          <w:tcPr>
            <w:tcW w:w="5670"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r>
    </w:tbl>
    <w:p w:rsidR="008C491C" w:rsidRPr="00F946D5" w:rsidRDefault="008C491C" w:rsidP="00AB41B3">
      <w:pPr>
        <w:adjustRightInd w:val="0"/>
        <w:snapToGrid w:val="0"/>
        <w:spacing w:line="480" w:lineRule="exact"/>
        <w:jc w:val="left"/>
        <w:rPr>
          <w:rFonts w:ascii="Arial Unicode MS" w:eastAsia="Arial Unicode MS" w:hAnsi="Arial Unicode MS" w:cs="Arial Unicode MS"/>
          <w:sz w:val="40"/>
          <w:szCs w:val="44"/>
        </w:rPr>
      </w:pPr>
      <w:r w:rsidRPr="00F946D5">
        <w:rPr>
          <w:rFonts w:ascii="Arial Unicode MS" w:eastAsia="Arial Unicode MS" w:hAnsi="Arial Unicode MS" w:cs="Arial Unicode MS" w:hint="eastAsia"/>
          <w:sz w:val="40"/>
          <w:szCs w:val="44"/>
        </w:rPr>
        <w:t>∙</w:t>
      </w:r>
      <w:r w:rsidRPr="00F946D5">
        <w:rPr>
          <w:rFonts w:asciiTheme="majorEastAsia" w:eastAsiaTheme="majorEastAsia" w:hAnsiTheme="majorEastAsia" w:cs="Times New Roman" w:hint="eastAsia"/>
          <w:b/>
          <w:sz w:val="40"/>
          <w:szCs w:val="32"/>
        </w:rPr>
        <w:t>风险概况</w:t>
      </w:r>
    </w:p>
    <w:tbl>
      <w:tblPr>
        <w:tblStyle w:val="a3"/>
        <w:tblW w:w="0" w:type="auto"/>
        <w:tblLayout w:type="fixed"/>
        <w:tblLook w:val="04A0" w:firstRow="1" w:lastRow="0" w:firstColumn="1" w:lastColumn="0" w:noHBand="0" w:noVBand="1"/>
      </w:tblPr>
      <w:tblGrid>
        <w:gridCol w:w="1526"/>
        <w:gridCol w:w="1276"/>
        <w:gridCol w:w="1701"/>
        <w:gridCol w:w="1417"/>
        <w:gridCol w:w="2552"/>
        <w:gridCol w:w="1984"/>
        <w:gridCol w:w="1843"/>
        <w:gridCol w:w="1843"/>
      </w:tblGrid>
      <w:tr w:rsidR="00DD19E3" w:rsidRPr="00F946D5" w:rsidTr="00203757">
        <w:tc>
          <w:tcPr>
            <w:tcW w:w="152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127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主体</w:t>
            </w:r>
          </w:p>
        </w:tc>
        <w:tc>
          <w:tcPr>
            <w:tcW w:w="1701"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&gt;1亿主体</w:t>
            </w:r>
          </w:p>
        </w:tc>
        <w:tc>
          <w:tcPr>
            <w:tcW w:w="1417"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久期</w:t>
            </w:r>
            <w:proofErr w:type="gramEnd"/>
          </w:p>
        </w:tc>
        <w:tc>
          <w:tcPr>
            <w:tcW w:w="2552"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杠杆率</w:t>
            </w:r>
          </w:p>
        </w:tc>
        <w:tc>
          <w:tcPr>
            <w:tcW w:w="1984" w:type="dxa"/>
            <w:shd w:val="clear" w:color="auto" w:fill="548DD4" w:themeFill="text2" w:themeFillTint="99"/>
          </w:tcPr>
          <w:p w:rsidR="00F72423" w:rsidRPr="00F946D5" w:rsidRDefault="00056C0D"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止损</w:t>
            </w:r>
          </w:p>
        </w:tc>
        <w:tc>
          <w:tcPr>
            <w:tcW w:w="1843" w:type="dxa"/>
            <w:tcBorders>
              <w:bottom w:val="single" w:sz="4" w:space="0" w:color="auto"/>
            </w:tcBorders>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预警</w:t>
            </w:r>
          </w:p>
        </w:tc>
        <w:tc>
          <w:tcPr>
            <w:tcW w:w="1843"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违约</w:t>
            </w:r>
          </w:p>
        </w:tc>
      </w:tr>
      <w:tr w:rsidR="00056C0D" w:rsidRPr="00F946D5" w:rsidTr="00056C0D">
        <w:tc>
          <w:tcPr>
            <w:tcW w:w="152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127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417" w:type="dxa"/>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984"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shd w:val="clear" w:color="auto" w:fill="FFFFFF" w:themeFill="background1"/>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056C0D" w:rsidRPr="00F946D5" w:rsidTr="00DE09FF">
        <w:tc>
          <w:tcPr>
            <w:tcW w:w="152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127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1417"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Borders>
              <w:bottom w:val="single" w:sz="4" w:space="0" w:color="auto"/>
            </w:tcBorders>
          </w:tcPr>
          <w:p w:rsidR="00056C0D" w:rsidRPr="00F946D5" w:rsidRDefault="00056C0D" w:rsidP="002865CC">
            <w:pPr>
              <w:adjustRightInd w:val="0"/>
              <w:snapToGrid w:val="0"/>
              <w:jc w:val="center"/>
              <w:rPr>
                <w:rFonts w:ascii="宋体" w:eastAsia="宋体" w:hAnsi="宋体" w:cs="宋体"/>
                <w:color w:val="000000"/>
                <w:sz w:val="24"/>
              </w:rPr>
            </w:pPr>
          </w:p>
        </w:tc>
        <w:tc>
          <w:tcPr>
            <w:tcW w:w="1984"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shd w:val="clear" w:color="auto" w:fill="FFFFFF" w:themeFill="background1"/>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2977"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信用债占比</w:t>
            </w:r>
            <w:proofErr w:type="gramEnd"/>
          </w:p>
        </w:tc>
        <w:tc>
          <w:tcPr>
            <w:tcW w:w="3969"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城</w:t>
            </w:r>
            <w:proofErr w:type="gramStart"/>
            <w:r w:rsidRPr="00F946D5">
              <w:rPr>
                <w:rFonts w:asciiTheme="majorEastAsia" w:eastAsiaTheme="majorEastAsia" w:hAnsiTheme="majorEastAsia" w:cs="Times New Roman" w:hint="eastAsia"/>
                <w:b/>
                <w:color w:val="FFFFFF" w:themeColor="background1"/>
                <w:sz w:val="24"/>
                <w:szCs w:val="32"/>
              </w:rPr>
              <w:t>投债占</w:t>
            </w:r>
            <w:proofErr w:type="gramEnd"/>
            <w:r w:rsidRPr="00F946D5">
              <w:rPr>
                <w:rFonts w:asciiTheme="majorEastAsia" w:eastAsiaTheme="majorEastAsia" w:hAnsiTheme="majorEastAsia" w:cs="Times New Roman" w:hint="eastAsia"/>
                <w:b/>
                <w:color w:val="FFFFFF" w:themeColor="background1"/>
                <w:sz w:val="24"/>
                <w:szCs w:val="32"/>
              </w:rPr>
              <w:t>比</w:t>
            </w:r>
          </w:p>
        </w:tc>
        <w:tc>
          <w:tcPr>
            <w:tcW w:w="1984"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私募债占比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永续债占比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次级债占比</w:t>
            </w:r>
            <w:proofErr w:type="gramEnd"/>
          </w:p>
        </w:tc>
      </w:tr>
      <w:tr w:rsidR="00115E67" w:rsidRPr="00F946D5"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bl>
    <w:p w:rsidR="00755AED" w:rsidRPr="00E7080C" w:rsidRDefault="00755AED" w:rsidP="00755AED">
      <w:pPr>
        <w:adjustRightInd w:val="0"/>
        <w:snapToGrid w:val="0"/>
        <w:spacing w:line="480" w:lineRule="exact"/>
        <w:jc w:val="left"/>
        <w:rPr>
          <w:rFonts w:asciiTheme="majorEastAsia" w:eastAsiaTheme="majorEastAsia" w:hAnsiTheme="majorEastAsia" w:cs="Times New Roman"/>
          <w:b/>
          <w:sz w:val="40"/>
          <w:szCs w:val="32"/>
        </w:rPr>
      </w:pPr>
      <w:r w:rsidRPr="00E7080C">
        <w:rPr>
          <w:rFonts w:ascii="Arial Unicode MS" w:eastAsia="Arial Unicode MS" w:hAnsi="Arial Unicode MS" w:cs="Arial Unicode MS" w:hint="eastAsia"/>
          <w:sz w:val="40"/>
          <w:szCs w:val="44"/>
        </w:rPr>
        <w:t>∙</w:t>
      </w:r>
      <w:r w:rsidRPr="00E7080C">
        <w:rPr>
          <w:rFonts w:asciiTheme="majorEastAsia" w:eastAsiaTheme="majorEastAsia" w:hAnsiTheme="majorEastAsia" w:cs="Times New Roman" w:hint="eastAsia"/>
          <w:b/>
          <w:sz w:val="40"/>
          <w:szCs w:val="32"/>
        </w:rPr>
        <w:t>负面舆情监测</w:t>
      </w:r>
    </w:p>
    <w:tbl>
      <w:tblPr>
        <w:tblStyle w:val="a3"/>
        <w:tblW w:w="5000" w:type="pct"/>
        <w:jc w:val="center"/>
        <w:tblLook w:val="04A0" w:firstRow="1" w:lastRow="0" w:firstColumn="1" w:lastColumn="0" w:noHBand="0" w:noVBand="1"/>
      </w:tblPr>
      <w:tblGrid>
        <w:gridCol w:w="1242"/>
        <w:gridCol w:w="808"/>
        <w:gridCol w:w="2027"/>
        <w:gridCol w:w="709"/>
        <w:gridCol w:w="1417"/>
        <w:gridCol w:w="1417"/>
        <w:gridCol w:w="709"/>
        <w:gridCol w:w="3830"/>
        <w:gridCol w:w="992"/>
        <w:gridCol w:w="1023"/>
      </w:tblGrid>
      <w:tr w:rsidR="00AC3E55" w:rsidRPr="00E7080C" w:rsidTr="00E7080C">
        <w:trPr>
          <w:jc w:val="center"/>
        </w:trPr>
        <w:tc>
          <w:tcPr>
            <w:tcW w:w="438"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监测对象</w:t>
            </w:r>
          </w:p>
        </w:tc>
        <w:tc>
          <w:tcPr>
            <w:tcW w:w="28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类别</w:t>
            </w:r>
          </w:p>
        </w:tc>
        <w:tc>
          <w:tcPr>
            <w:tcW w:w="71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发行主体</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金额</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起息日</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到期日</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部门</w:t>
            </w:r>
          </w:p>
        </w:tc>
        <w:tc>
          <w:tcPr>
            <w:tcW w:w="135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影响/建议</w:t>
            </w:r>
          </w:p>
        </w:tc>
        <w:tc>
          <w:tcPr>
            <w:tcW w:w="3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成本</w:t>
            </w:r>
          </w:p>
        </w:tc>
        <w:tc>
          <w:tcPr>
            <w:tcW w:w="36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估值</w:t>
            </w:r>
          </w:p>
        </w:tc>
      </w:tr>
      <w:tr w:rsidR="00AC3E55" w:rsidRPr="00E7080C" w:rsidTr="00AC3E55">
        <w:trPr>
          <w:jc w:val="center"/>
        </w:trPr>
        <w:tc>
          <w:tcPr>
            <w:tcW w:w="438"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8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71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1351" w:type="pct"/>
            <w:shd w:val="clear" w:color="auto" w:fill="FFFFFF" w:themeFill="background1"/>
            <w:vAlign w:val="center"/>
          </w:tcPr>
          <w:p w:rsidR="002865CC" w:rsidRPr="00E7080C" w:rsidRDefault="002865CC" w:rsidP="002865CC">
            <w:pPr>
              <w:adjustRightInd w:val="0"/>
              <w:snapToGrid w:val="0"/>
              <w:rPr>
                <w:rFonts w:asciiTheme="majorEastAsia" w:eastAsiaTheme="majorEastAsia" w:hAnsiTheme="majorEastAsia" w:cs="Times New Roman"/>
                <w:sz w:val="24"/>
                <w:szCs w:val="32"/>
              </w:rPr>
            </w:pPr>
          </w:p>
        </w:tc>
        <w:tc>
          <w:tcPr>
            <w:tcW w:w="3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361"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r>
    </w:tbl>
    <w:tbl>
      <w:tblPr>
        <w:tblStyle w:val="a3"/>
        <w:tblpPr w:leftFromText="180" w:rightFromText="180"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276"/>
        <w:gridCol w:w="3275"/>
        <w:gridCol w:w="1274"/>
        <w:gridCol w:w="4381"/>
        <w:gridCol w:w="1276"/>
        <w:gridCol w:w="1875"/>
      </w:tblGrid>
      <w:tr w:rsidR="00755AED" w:rsidRPr="00E7080C" w:rsidTr="00755AED">
        <w:trPr>
          <w:trHeight w:val="304"/>
        </w:trPr>
        <w:tc>
          <w:tcPr>
            <w:tcW w:w="817" w:type="dxa"/>
            <w:shd w:val="clear" w:color="auto" w:fill="FFFFFF" w:themeFill="background1"/>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p>
        </w:tc>
        <w:tc>
          <w:tcPr>
            <w:tcW w:w="1276" w:type="dxa"/>
            <w:shd w:val="clear" w:color="auto" w:fill="C00000"/>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sz w:val="24"/>
                <w:szCs w:val="32"/>
              </w:rPr>
              <w:t>红色事件</w:t>
            </w:r>
          </w:p>
        </w:tc>
        <w:tc>
          <w:tcPr>
            <w:tcW w:w="32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风险，采取措施</w:t>
            </w:r>
          </w:p>
        </w:tc>
        <w:tc>
          <w:tcPr>
            <w:tcW w:w="1274" w:type="dxa"/>
            <w:shd w:val="clear" w:color="auto" w:fill="E36C0A" w:themeFill="accent6" w:themeFillShade="BF"/>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color w:val="FFFFFF" w:themeColor="background1"/>
                <w:sz w:val="24"/>
                <w:szCs w:val="32"/>
              </w:rPr>
              <w:t>橙色事件</w:t>
            </w:r>
          </w:p>
        </w:tc>
        <w:tc>
          <w:tcPr>
            <w:tcW w:w="4381"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预警，分析反馈</w:t>
            </w:r>
          </w:p>
        </w:tc>
        <w:tc>
          <w:tcPr>
            <w:tcW w:w="1276" w:type="dxa"/>
            <w:shd w:val="clear" w:color="auto" w:fill="548DD4" w:themeFill="text2" w:themeFillTint="99"/>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蓝色事件</w:t>
            </w:r>
          </w:p>
        </w:tc>
        <w:tc>
          <w:tcPr>
            <w:tcW w:w="18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提示关注</w:t>
            </w:r>
          </w:p>
        </w:tc>
      </w:tr>
    </w:tbl>
    <w:p w:rsidR="00045135" w:rsidRPr="00E7080C" w:rsidRDefault="00045135" w:rsidP="00045135">
      <w:pPr>
        <w:spacing w:line="560" w:lineRule="exact"/>
        <w:jc w:val="left"/>
        <w:rPr>
          <w:rFonts w:ascii="仿宋_GB2312" w:eastAsia="仿宋_GB2312" w:hAnsi="Calibri" w:cs="Times New Roman"/>
          <w:sz w:val="32"/>
          <w:szCs w:val="32"/>
        </w:rPr>
        <w:sectPr w:rsidR="00045135" w:rsidRPr="00E7080C" w:rsidSect="000521EA">
          <w:headerReference w:type="first" r:id="rId8"/>
          <w:pgSz w:w="16838" w:h="11906" w:orient="landscape" w:code="9"/>
          <w:pgMar w:top="1134" w:right="1440" w:bottom="1134" w:left="1440" w:header="851" w:footer="992" w:gutter="0"/>
          <w:cols w:space="425"/>
          <w:titlePg/>
          <w:docGrid w:linePitch="312"/>
        </w:sectPr>
      </w:pP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lastRenderedPageBreak/>
        <w:t>一、业务结构</w:t>
      </w: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t>（一）同业业务中心</w:t>
      </w:r>
    </w:p>
    <w:tbl>
      <w:tblPr>
        <w:tblStyle w:val="a3"/>
        <w:tblW w:w="8776" w:type="dxa"/>
        <w:tblLayout w:type="fixed"/>
        <w:tblLook w:val="04A0" w:firstRow="1" w:lastRow="0" w:firstColumn="1" w:lastColumn="0" w:noHBand="0" w:noVBand="1"/>
      </w:tblPr>
      <w:tblGrid>
        <w:gridCol w:w="1384"/>
        <w:gridCol w:w="1985"/>
        <w:gridCol w:w="1134"/>
        <w:gridCol w:w="1417"/>
        <w:gridCol w:w="1701"/>
        <w:gridCol w:w="1155"/>
      </w:tblGrid>
      <w:tr w:rsidR="00432F41" w:rsidRPr="009A537B" w:rsidTr="001B5773">
        <w:trPr>
          <w:trHeight w:val="270"/>
        </w:trPr>
        <w:tc>
          <w:tcPr>
            <w:tcW w:w="3369" w:type="dxa"/>
            <w:gridSpan w:val="2"/>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部门:同业业务中心</w:t>
            </w:r>
          </w:p>
        </w:tc>
        <w:tc>
          <w:tcPr>
            <w:tcW w:w="1134"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1417"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2856" w:type="dxa"/>
            <w:gridSpan w:val="2"/>
            <w:tcBorders>
              <w:top w:val="nil"/>
              <w:left w:val="nil"/>
              <w:right w:val="nil"/>
            </w:tcBorders>
            <w:noWrap/>
            <w:vAlign w:val="center"/>
            <w:hideMark/>
          </w:tcPr>
          <w:p w:rsidR="00432F41" w:rsidRPr="009A537B" w:rsidRDefault="00432F41" w:rsidP="001B5773">
            <w:pPr>
              <w:widowControl/>
              <w:jc w:val="right"/>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单位：万元、%</w:t>
            </w:r>
          </w:p>
        </w:tc>
      </w:tr>
      <w:tr w:rsidR="00432F41" w:rsidRPr="009A537B" w:rsidTr="001B5773">
        <w:trPr>
          <w:trHeight w:val="270"/>
        </w:trPr>
        <w:tc>
          <w:tcPr>
            <w:tcW w:w="138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w:t>
            </w:r>
          </w:p>
        </w:tc>
        <w:tc>
          <w:tcPr>
            <w:tcW w:w="198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3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c>
          <w:tcPr>
            <w:tcW w:w="1417"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w:t>
            </w:r>
          </w:p>
        </w:tc>
        <w:tc>
          <w:tcPr>
            <w:tcW w:w="1701"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5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r>
      <w:tr w:rsidR="001F624B" w:rsidRPr="009A537B" w:rsidTr="002075F5">
        <w:trPr>
          <w:trHeight w:val="270"/>
        </w:trPr>
        <w:tc>
          <w:tcPr>
            <w:tcW w:w="1384" w:type="dxa"/>
            <w:noWrap/>
          </w:tcPr>
          <w:p>
            <w:pPr>
              <w:jc w:val="center"/>
            </w:pPr>
            <w:r>
              <w:rPr>
                <w:rFonts w:ascii="宋体" w:hAnsi="宋体"/>
                <w:b w:val="0"/>
                <w:sz w:val="28"/>
              </w:rPr>
              <w:t>上存约期</w:t>
            </w:r>
          </w:p>
        </w:tc>
        <w:tc>
          <w:tcPr>
            <w:tcW w:w="1985" w:type="dxa"/>
            <w:noWrap/>
            <w:vAlign w:val="center"/>
          </w:tcPr>
          <w:p>
            <w:pPr>
              <w:jc w:val="center"/>
            </w:pPr>
            <w:r>
              <w:rPr>
                <w:rFonts w:ascii="宋体" w:hAnsi="宋体"/>
                <w:b w:val="0"/>
                <w:sz w:val="28"/>
              </w:rPr>
              <w:t>6.0</w:t>
            </w:r>
          </w:p>
        </w:tc>
        <w:tc>
          <w:tcPr>
            <w:tcW w:w="1134" w:type="dxa"/>
            <w:noWrap/>
            <w:vAlign w:val="center"/>
          </w:tcPr>
          <w:p>
            <w:pPr>
              <w:jc w:val="center"/>
            </w:pPr>
            <w:r>
              <w:rPr>
                <w:rFonts w:ascii="宋体" w:hAnsi="宋体"/>
                <w:b w:val="0"/>
                <w:sz w:val="28"/>
              </w:rPr>
              <w:t>1.09%</w:t>
            </w:r>
          </w:p>
        </w:tc>
        <w:tc>
          <w:tcPr>
            <w:tcW w:w="1417" w:type="dxa"/>
            <w:noWrap/>
            <w:vAlign w:val="center"/>
          </w:tcPr>
          <w:p>
            <w:pPr>
              <w:jc w:val="center"/>
            </w:pPr>
            <w:r>
              <w:rPr>
                <w:rFonts w:ascii="宋体" w:hAnsi="宋体"/>
                <w:b w:val="0"/>
                <w:sz w:val="28"/>
              </w:rPr>
              <w:t>同业借款</w:t>
            </w:r>
          </w:p>
        </w:tc>
        <w:tc>
          <w:tcPr>
            <w:tcW w:w="1701" w:type="dxa"/>
            <w:noWrap/>
            <w:vAlign w:val="center"/>
          </w:tcPr>
          <w:p>
            <w:pPr>
              <w:jc w:val="center"/>
            </w:pPr>
            <w:r>
              <w:rPr>
                <w:rFonts w:ascii="宋体" w:hAnsi="宋体"/>
                <w:b w:val="0"/>
                <w:sz w:val="28"/>
              </w:rPr>
              <w:t>20.0</w:t>
            </w:r>
          </w:p>
        </w:tc>
        <w:tc>
          <w:tcPr>
            <w:tcW w:w="1155" w:type="dxa"/>
            <w:noWrap/>
            <w:vAlign w:val="center"/>
          </w:tcPr>
          <w:p>
            <w:pPr>
              <w:jc w:val="center"/>
            </w:pPr>
            <w:r>
              <w:rPr>
                <w:rFonts w:ascii="宋体" w:hAnsi="宋体"/>
                <w:b w:val="0"/>
                <w:sz w:val="28"/>
              </w:rPr>
              <w:t>37.13%</w:t>
            </w:r>
          </w:p>
        </w:tc>
      </w:tr>
      <w:tr w:rsidR="001F624B" w:rsidRPr="009A537B" w:rsidTr="002075F5">
        <w:trPr>
          <w:trHeight w:val="270"/>
        </w:trPr>
        <w:tc>
          <w:tcPr>
            <w:tcW w:w="1384" w:type="dxa"/>
            <w:noWrap/>
          </w:tcPr>
          <w:p>
            <w:pPr>
              <w:jc w:val="center"/>
            </w:pPr>
            <w:r>
              <w:rPr>
                <w:rFonts w:ascii="宋体" w:hAnsi="宋体"/>
                <w:b w:val="0"/>
                <w:sz w:val="28"/>
              </w:rPr>
              <w:t>代理存放同业</w:t>
            </w:r>
          </w:p>
        </w:tc>
        <w:tc>
          <w:tcPr>
            <w:tcW w:w="1985" w:type="dxa"/>
            <w:noWrap/>
            <w:vAlign w:val="center"/>
          </w:tcPr>
          <w:p>
            <w:pPr>
              <w:jc w:val="center"/>
            </w:pPr>
            <w:r>
              <w:rPr>
                <w:rFonts w:ascii="宋体" w:hAnsi="宋体"/>
                <w:b w:val="0"/>
                <w:sz w:val="28"/>
              </w:rPr>
              <w:t>19.3</w:t>
            </w:r>
          </w:p>
        </w:tc>
        <w:tc>
          <w:tcPr>
            <w:tcW w:w="1134" w:type="dxa"/>
            <w:noWrap/>
            <w:vAlign w:val="center"/>
          </w:tcPr>
          <w:p>
            <w:pPr>
              <w:jc w:val="center"/>
            </w:pPr>
            <w:r>
              <w:rPr>
                <w:rFonts w:ascii="宋体" w:hAnsi="宋体"/>
                <w:b w:val="0"/>
                <w:sz w:val="28"/>
              </w:rPr>
              <w:t>3.5%</w:t>
            </w:r>
          </w:p>
        </w:tc>
        <w:tc>
          <w:tcPr>
            <w:tcW w:w="1417" w:type="dxa"/>
            <w:noWrap/>
            <w:vAlign w:val="center"/>
          </w:tcPr>
          <w:p>
            <w:pPr>
              <w:jc w:val="center"/>
            </w:pPr>
            <w:r>
              <w:rPr>
                <w:rFonts w:ascii="宋体" w:hAnsi="宋体"/>
                <w:b w:val="0"/>
                <w:sz w:val="28"/>
              </w:rPr>
              <w:t>回购</w:t>
            </w:r>
          </w:p>
        </w:tc>
        <w:tc>
          <w:tcPr>
            <w:tcW w:w="1701" w:type="dxa"/>
            <w:noWrap/>
            <w:vAlign w:val="center"/>
          </w:tcPr>
          <w:p>
            <w:pPr>
              <w:jc w:val="center"/>
            </w:pPr>
            <w:r>
              <w:rPr>
                <w:rFonts w:ascii="宋体" w:hAnsi="宋体"/>
                <w:b w:val="0"/>
                <w:sz w:val="28"/>
              </w:rPr>
              <w:t>30.87</w:t>
            </w:r>
          </w:p>
        </w:tc>
        <w:tc>
          <w:tcPr>
            <w:tcW w:w="1155" w:type="dxa"/>
            <w:noWrap/>
            <w:vAlign w:val="center"/>
          </w:tcPr>
          <w:p>
            <w:pPr>
              <w:jc w:val="center"/>
            </w:pPr>
            <w:r>
              <w:rPr>
                <w:rFonts w:ascii="宋体" w:hAnsi="宋体"/>
                <w:b w:val="0"/>
                <w:sz w:val="28"/>
              </w:rPr>
              <w:t>57.3%</w:t>
            </w:r>
          </w:p>
        </w:tc>
      </w:tr>
      <w:tr w:rsidR="001F624B" w:rsidRPr="009A537B" w:rsidTr="002075F5">
        <w:trPr>
          <w:trHeight w:val="270"/>
        </w:trPr>
        <w:tc>
          <w:tcPr>
            <w:tcW w:w="1384" w:type="dxa"/>
            <w:noWrap/>
          </w:tcPr>
          <w:p>
            <w:pPr>
              <w:jc w:val="center"/>
            </w:pPr>
            <w:r>
              <w:rPr>
                <w:rFonts w:ascii="宋体" w:hAnsi="宋体"/>
                <w:b w:val="0"/>
                <w:sz w:val="28"/>
              </w:rPr>
              <w:t>债券</w:t>
            </w:r>
          </w:p>
        </w:tc>
        <w:tc>
          <w:tcPr>
            <w:tcW w:w="1985" w:type="dxa"/>
            <w:noWrap/>
            <w:vAlign w:val="center"/>
          </w:tcPr>
          <w:p>
            <w:pPr>
              <w:jc w:val="center"/>
            </w:pPr>
            <w:r>
              <w:rPr>
                <w:rFonts w:ascii="宋体" w:hAnsi="宋体"/>
                <w:b w:val="0"/>
                <w:sz w:val="28"/>
              </w:rPr>
              <w:t>303.52</w:t>
            </w:r>
          </w:p>
        </w:tc>
        <w:tc>
          <w:tcPr>
            <w:tcW w:w="1134" w:type="dxa"/>
            <w:noWrap/>
            <w:vAlign w:val="center"/>
          </w:tcPr>
          <w:p>
            <w:pPr>
              <w:jc w:val="center"/>
            </w:pPr>
            <w:r>
              <w:rPr>
                <w:rFonts w:ascii="宋体" w:hAnsi="宋体"/>
                <w:b w:val="0"/>
                <w:sz w:val="28"/>
              </w:rPr>
              <w:t>55.09%</w:t>
            </w:r>
          </w:p>
        </w:tc>
        <w:tc>
          <w:tcPr>
            <w:tcW w:w="1417" w:type="dxa"/>
            <w:noWrap/>
            <w:vAlign w:val="center"/>
          </w:tcPr>
          <w:p>
            <w:pPr>
              <w:jc w:val="center"/>
            </w:pPr>
            <w:r>
              <w:rPr>
                <w:rFonts w:ascii="宋体" w:hAnsi="宋体"/>
                <w:b w:val="0"/>
                <w:sz w:val="28"/>
              </w:rPr>
              <w:t>资金调剂</w:t>
            </w:r>
          </w:p>
        </w:tc>
        <w:tc>
          <w:tcPr>
            <w:tcW w:w="1701" w:type="dxa"/>
            <w:noWrap/>
            <w:vAlign w:val="center"/>
          </w:tcPr>
          <w:p>
            <w:pPr>
              <w:jc w:val="center"/>
            </w:pPr>
            <w:r>
              <w:rPr>
                <w:rFonts w:ascii="宋体" w:hAnsi="宋体"/>
                <w:b w:val="0"/>
                <w:sz w:val="28"/>
              </w:rPr>
              <w:t>3.0</w:t>
            </w:r>
          </w:p>
        </w:tc>
        <w:tc>
          <w:tcPr>
            <w:tcW w:w="1155" w:type="dxa"/>
            <w:noWrap/>
            <w:vAlign w:val="center"/>
          </w:tcPr>
          <w:p>
            <w:pPr>
              <w:jc w:val="center"/>
            </w:pPr>
            <w:r>
              <w:rPr>
                <w:rFonts w:ascii="宋体" w:hAnsi="宋体"/>
                <w:b w:val="0"/>
                <w:sz w:val="28"/>
              </w:rPr>
              <w:t>5.57%</w:t>
            </w:r>
          </w:p>
        </w:tc>
      </w:tr>
      <w:tr w:rsidR="009A537B" w:rsidRPr="009A537B" w:rsidTr="002075F5">
        <w:trPr>
          <w:trHeight w:val="270"/>
        </w:trPr>
        <w:tc>
          <w:tcPr>
            <w:tcW w:w="1384" w:type="dxa"/>
            <w:noWrap/>
          </w:tcPr>
          <w:p>
            <w:pPr>
              <w:jc w:val="center"/>
            </w:pPr>
            <w:r>
              <w:rPr>
                <w:rFonts w:ascii="宋体" w:hAnsi="宋体"/>
                <w:b w:val="0"/>
                <w:sz w:val="28"/>
              </w:rPr>
              <w:t>债券借贷</w:t>
            </w:r>
          </w:p>
        </w:tc>
        <w:tc>
          <w:tcPr>
            <w:tcW w:w="1985" w:type="dxa"/>
            <w:noWrap/>
            <w:vAlign w:val="center"/>
          </w:tcPr>
          <w:p>
            <w:pPr>
              <w:jc w:val="center"/>
            </w:pPr>
            <w:r>
              <w:rPr>
                <w:rFonts w:ascii="宋体" w:hAnsi="宋体"/>
                <w:b w:val="0"/>
                <w:sz w:val="28"/>
              </w:rPr>
              <w:t>1.5</w:t>
            </w:r>
          </w:p>
        </w:tc>
        <w:tc>
          <w:tcPr>
            <w:tcW w:w="1134" w:type="dxa"/>
            <w:noWrap/>
            <w:vAlign w:val="center"/>
          </w:tcPr>
          <w:p>
            <w:pPr>
              <w:jc w:val="center"/>
            </w:pPr>
            <w:r>
              <w:rPr>
                <w:rFonts w:ascii="宋体" w:hAnsi="宋体"/>
                <w:b w:val="0"/>
                <w:sz w:val="28"/>
              </w:rPr>
              <w:t>0.27%</w:t>
            </w:r>
          </w:p>
        </w:tc>
        <w:tc>
          <w:tcPr>
            <w:tcW w:w="1417"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9A537B" w:rsidRPr="009A537B" w:rsidTr="000F3452">
        <w:trPr>
          <w:trHeight w:val="270"/>
        </w:trPr>
        <w:tc>
          <w:tcPr>
            <w:tcW w:w="1384" w:type="dxa"/>
            <w:noWrap/>
            <w:vAlign w:val="center"/>
          </w:tcPr>
          <w:p>
            <w:pPr>
              <w:jc w:val="center"/>
            </w:pPr>
            <w:r>
              <w:rPr>
                <w:rFonts w:ascii="宋体" w:hAnsi="宋体"/>
                <w:b w:val="0"/>
                <w:sz w:val="28"/>
              </w:rPr>
              <w:t>其他资产投资</w:t>
            </w:r>
          </w:p>
        </w:tc>
        <w:tc>
          <w:tcPr>
            <w:tcW w:w="1985" w:type="dxa"/>
            <w:noWrap/>
            <w:vAlign w:val="center"/>
          </w:tcPr>
          <w:p>
            <w:pPr>
              <w:jc w:val="center"/>
            </w:pPr>
            <w:r>
              <w:rPr>
                <w:rFonts w:ascii="宋体" w:hAnsi="宋体"/>
                <w:b w:val="0"/>
                <w:sz w:val="28"/>
              </w:rPr>
              <w:t>112.39</w:t>
            </w:r>
          </w:p>
        </w:tc>
        <w:tc>
          <w:tcPr>
            <w:tcW w:w="1134" w:type="dxa"/>
            <w:noWrap/>
            <w:vAlign w:val="center"/>
          </w:tcPr>
          <w:p>
            <w:pPr>
              <w:jc w:val="center"/>
            </w:pPr>
            <w:r>
              <w:rPr>
                <w:rFonts w:ascii="宋体" w:hAnsi="宋体"/>
                <w:b w:val="0"/>
                <w:sz w:val="28"/>
              </w:rPr>
              <w:t>20.4%</w:t>
            </w:r>
          </w:p>
        </w:tc>
        <w:tc>
          <w:tcPr>
            <w:tcW w:w="1417"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10D5C">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pPr>
              <w:jc w:val="center"/>
            </w:pPr>
            <w:r>
              <w:rPr>
                <w:rFonts w:ascii="宋体" w:hAnsi="宋体"/>
                <w:b w:val="0"/>
                <w:sz w:val="28"/>
              </w:rPr>
              <w:t>同业借款</w:t>
            </w:r>
          </w:p>
        </w:tc>
        <w:tc>
          <w:tcPr>
            <w:tcW w:w="1985" w:type="dxa"/>
            <w:noWrap/>
            <w:vAlign w:val="center"/>
          </w:tcPr>
          <w:p>
            <w:pPr>
              <w:jc w:val="center"/>
            </w:pPr>
            <w:r>
              <w:rPr>
                <w:rFonts w:ascii="宋体" w:hAnsi="宋体"/>
                <w:b w:val="0"/>
                <w:sz w:val="28"/>
              </w:rPr>
              <w:t>1.0</w:t>
            </w:r>
          </w:p>
        </w:tc>
        <w:tc>
          <w:tcPr>
            <w:tcW w:w="1134" w:type="dxa"/>
            <w:noWrap/>
            <w:vAlign w:val="center"/>
          </w:tcPr>
          <w:p>
            <w:pPr>
              <w:jc w:val="center"/>
            </w:pPr>
            <w:r>
              <w:rPr>
                <w:rFonts w:ascii="宋体" w:hAnsi="宋体"/>
                <w:b w:val="0"/>
                <w:sz w:val="28"/>
              </w:rPr>
              <w:t>0.18%</w:t>
            </w:r>
          </w:p>
        </w:tc>
        <w:tc>
          <w:tcPr>
            <w:tcW w:w="1417"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E106D">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pPr>
              <w:jc w:val="center"/>
            </w:pPr>
            <w:r>
              <w:rPr>
                <w:rFonts w:ascii="宋体" w:hAnsi="宋体"/>
                <w:b w:val="0"/>
                <w:sz w:val="28"/>
              </w:rPr>
              <w:t>回购</w:t>
            </w:r>
          </w:p>
        </w:tc>
        <w:tc>
          <w:tcPr>
            <w:tcW w:w="1985" w:type="dxa"/>
            <w:noWrap/>
            <w:vAlign w:val="center"/>
          </w:tcPr>
          <w:p>
            <w:pPr>
              <w:jc w:val="center"/>
            </w:pPr>
            <w:r>
              <w:rPr>
                <w:rFonts w:ascii="宋体" w:hAnsi="宋体"/>
                <w:b w:val="0"/>
                <w:sz w:val="28"/>
              </w:rPr>
              <w:t>54.29</w:t>
            </w:r>
          </w:p>
        </w:tc>
        <w:tc>
          <w:tcPr>
            <w:tcW w:w="1134" w:type="dxa"/>
            <w:noWrap/>
            <w:vAlign w:val="center"/>
          </w:tcPr>
          <w:p>
            <w:pPr>
              <w:jc w:val="center"/>
            </w:pPr>
            <w:r>
              <w:rPr>
                <w:rFonts w:ascii="宋体" w:hAnsi="宋体"/>
                <w:b w:val="0"/>
                <w:sz w:val="28"/>
              </w:rPr>
              <w:t>9.85%</w:t>
            </w:r>
          </w:p>
        </w:tc>
        <w:tc>
          <w:tcPr>
            <w:tcW w:w="1417" w:type="dxa"/>
            <w:noWrap/>
            <w:vAlign w:val="center"/>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D06A53">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C63D8">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pPr>
              <w:jc w:val="center"/>
            </w:pPr>
            <w:r>
              <w:rPr>
                <w:rFonts w:ascii="宋体" w:hAnsi="宋体"/>
                <w:b w:val="0"/>
                <w:sz w:val="28"/>
              </w:rPr>
              <w:t>存放同业</w:t>
            </w:r>
          </w:p>
        </w:tc>
        <w:tc>
          <w:tcPr>
            <w:tcW w:w="1985" w:type="dxa"/>
            <w:noWrap/>
            <w:vAlign w:val="center"/>
          </w:tcPr>
          <w:p>
            <w:pPr>
              <w:jc w:val="center"/>
            </w:pPr>
            <w:r>
              <w:rPr>
                <w:rFonts w:ascii="宋体" w:hAnsi="宋体"/>
                <w:b w:val="0"/>
                <w:sz w:val="28"/>
              </w:rPr>
              <w:t>27.9</w:t>
            </w:r>
          </w:p>
        </w:tc>
        <w:tc>
          <w:tcPr>
            <w:tcW w:w="1134" w:type="dxa"/>
            <w:noWrap/>
            <w:vAlign w:val="center"/>
          </w:tcPr>
          <w:p>
            <w:pPr>
              <w:jc w:val="center"/>
            </w:pPr>
            <w:r>
              <w:rPr>
                <w:rFonts w:ascii="宋体" w:hAnsi="宋体"/>
                <w:b w:val="0"/>
                <w:sz w:val="28"/>
              </w:rPr>
              <w:t>5.06%</w:t>
            </w: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pPr>
              <w:jc w:val="center"/>
            </w:pPr>
            <w:r>
              <w:rPr>
                <w:rFonts w:ascii="宋体" w:hAnsi="宋体"/>
                <w:b w:val="0"/>
                <w:sz w:val="28"/>
              </w:rPr>
              <w:t>拆借</w:t>
            </w:r>
          </w:p>
        </w:tc>
        <w:tc>
          <w:tcPr>
            <w:tcW w:w="1985" w:type="dxa"/>
            <w:noWrap/>
            <w:vAlign w:val="center"/>
          </w:tcPr>
          <w:p>
            <w:pPr>
              <w:jc w:val="center"/>
            </w:pPr>
            <w:r>
              <w:rPr>
                <w:rFonts w:ascii="宋体" w:hAnsi="宋体"/>
                <w:b w:val="0"/>
                <w:sz w:val="28"/>
              </w:rPr>
              <w:t>13.3</w:t>
            </w:r>
          </w:p>
        </w:tc>
        <w:tc>
          <w:tcPr>
            <w:tcW w:w="1134" w:type="dxa"/>
            <w:noWrap/>
            <w:vAlign w:val="center"/>
          </w:tcPr>
          <w:p>
            <w:pPr>
              <w:jc w:val="center"/>
            </w:pPr>
            <w:r>
              <w:rPr>
                <w:rFonts w:ascii="宋体" w:hAnsi="宋体"/>
                <w:b w:val="0"/>
                <w:sz w:val="28"/>
              </w:rPr>
              <w:t>2.41%</w:t>
            </w: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tcPr>
          <w:p>
            <w:pPr>
              <w:jc w:val="center"/>
            </w:pPr>
            <w:r>
              <w:rPr>
                <w:rFonts w:ascii="宋体" w:hAnsi="宋体"/>
                <w:b w:val="0"/>
                <w:sz w:val="28"/>
              </w:rPr>
              <w:t>货币基金</w:t>
            </w:r>
          </w:p>
        </w:tc>
        <w:tc>
          <w:tcPr>
            <w:tcW w:w="1985" w:type="dxa"/>
            <w:noWrap/>
            <w:vAlign w:val="center"/>
          </w:tcPr>
          <w:p>
            <w:pPr>
              <w:jc w:val="center"/>
            </w:pPr>
            <w:r>
              <w:rPr>
                <w:rFonts w:ascii="宋体" w:hAnsi="宋体"/>
                <w:b w:val="0"/>
                <w:sz w:val="28"/>
              </w:rPr>
              <w:t>11.77</w:t>
            </w:r>
          </w:p>
        </w:tc>
        <w:tc>
          <w:tcPr>
            <w:tcW w:w="1134" w:type="dxa"/>
            <w:noWrap/>
            <w:vAlign w:val="center"/>
          </w:tcPr>
          <w:p>
            <w:pPr>
              <w:jc w:val="center"/>
            </w:pPr>
            <w:r>
              <w:rPr>
                <w:rFonts w:ascii="宋体" w:hAnsi="宋体"/>
                <w:b w:val="0"/>
                <w:sz w:val="28"/>
              </w:rPr>
              <w:t>2.14%</w:t>
            </w: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E13056" w:rsidRPr="009A537B" w:rsidTr="00807340">
        <w:trPr>
          <w:trHeight w:val="270"/>
        </w:trPr>
        <w:tc>
          <w:tcPr>
            <w:tcW w:w="1384" w:type="dxa"/>
            <w:tcBorders>
              <w:bottom w:val="single" w:sz="4" w:space="0" w:color="auto"/>
            </w:tcBorders>
            <w:noWrap/>
            <w:hideMark/>
          </w:tcPr>
          <w:p w:rsidR="00E13056" w:rsidRPr="009A537B" w:rsidRDefault="00E13056"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资产合计</w:t>
            </w:r>
          </w:p>
        </w:tc>
        <w:tc>
          <w:tcPr>
            <w:tcW w:w="1985" w:type="dxa"/>
            <w:tcBorders>
              <w:bottom w:val="single" w:sz="4" w:space="0" w:color="auto"/>
            </w:tcBorders>
            <w:noWrap/>
            <w:vAlign w:val="center"/>
            <w:hideMark/>
          </w:tcPr>
          <w:p>
            <w:pPr>
              <w:jc w:val="center"/>
            </w:pPr>
            <w:r>
              <w:rPr>
                <w:rFonts w:ascii="宋体" w:hAnsi="宋体"/>
                <w:b/>
                <w:sz w:val="28"/>
              </w:rPr>
              <w:t>550.97</w:t>
            </w:r>
          </w:p>
        </w:tc>
        <w:tc>
          <w:tcPr>
            <w:tcW w:w="1134"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c>
          <w:tcPr>
            <w:tcW w:w="1417" w:type="dxa"/>
            <w:tcBorders>
              <w:bottom w:val="single" w:sz="4" w:space="0" w:color="auto"/>
            </w:tcBorders>
            <w:noWrap/>
            <w:vAlign w:val="center"/>
            <w:hideMark/>
          </w:tcPr>
          <w:p w:rsidR="00E13056" w:rsidRPr="009A537B" w:rsidRDefault="00E13056" w:rsidP="00807340">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负债合计</w:t>
            </w:r>
          </w:p>
        </w:tc>
        <w:tc>
          <w:tcPr>
            <w:tcW w:w="1701" w:type="dxa"/>
            <w:tcBorders>
              <w:bottom w:val="single" w:sz="4" w:space="0" w:color="auto"/>
            </w:tcBorders>
            <w:noWrap/>
            <w:vAlign w:val="center"/>
            <w:hideMark/>
          </w:tcPr>
          <w:p>
            <w:pPr>
              <w:jc w:val="center"/>
            </w:pPr>
            <w:r>
              <w:rPr>
                <w:rFonts w:ascii="宋体" w:hAnsi="宋体"/>
                <w:b/>
                <w:sz w:val="28"/>
              </w:rPr>
              <w:t>53.87</w:t>
            </w:r>
          </w:p>
        </w:tc>
        <w:tc>
          <w:tcPr>
            <w:tcW w:w="1155"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r>
      <w:tr w:rsidR="00E13056" w:rsidRPr="009A537B" w:rsidTr="001B5773">
        <w:trPr>
          <w:trHeight w:val="270"/>
        </w:trPr>
        <w:tc>
          <w:tcPr>
            <w:tcW w:w="8776" w:type="dxa"/>
            <w:gridSpan w:val="6"/>
            <w:tcBorders>
              <w:left w:val="nil"/>
              <w:bottom w:val="nil"/>
              <w:right w:val="nil"/>
            </w:tcBorders>
            <w:noWrap/>
            <w:vAlign w:val="center"/>
          </w:tcPr>
          <w:p w:rsidR="00E13056" w:rsidRPr="009A537B" w:rsidRDefault="00E13056" w:rsidP="001B5773">
            <w:pPr>
              <w:widowControl/>
              <w:rPr>
                <w:rFonts w:ascii="宋体" w:eastAsia="宋体" w:hAnsi="宋体" w:cs="宋体"/>
                <w:color w:val="000000"/>
                <w:kern w:val="0"/>
                <w:sz w:val="22"/>
              </w:rPr>
            </w:pPr>
            <w:r w:rsidRPr="009A537B">
              <w:rPr>
                <w:rFonts w:ascii="仿宋" w:eastAsia="仿宋" w:hAnsi="仿宋" w:cs="宋体" w:hint="eastAsia"/>
                <w:color w:val="000000"/>
                <w:kern w:val="0"/>
                <w:sz w:val="24"/>
                <w:szCs w:val="24"/>
              </w:rPr>
              <w:t>数据来源：COMSTAR系统、资金业务管理系统，尚未</w:t>
            </w:r>
            <w:proofErr w:type="gramStart"/>
            <w:r w:rsidRPr="009A537B">
              <w:rPr>
                <w:rFonts w:ascii="仿宋" w:eastAsia="仿宋" w:hAnsi="仿宋" w:cs="宋体" w:hint="eastAsia"/>
                <w:color w:val="000000"/>
                <w:kern w:val="0"/>
                <w:sz w:val="24"/>
                <w:szCs w:val="24"/>
              </w:rPr>
              <w:t>涵盖省联社</w:t>
            </w:r>
            <w:proofErr w:type="gramEnd"/>
            <w:r w:rsidRPr="009A537B">
              <w:rPr>
                <w:rFonts w:ascii="仿宋" w:eastAsia="仿宋" w:hAnsi="仿宋" w:cs="宋体" w:hint="eastAsia"/>
                <w:color w:val="000000"/>
                <w:kern w:val="0"/>
                <w:sz w:val="24"/>
                <w:szCs w:val="24"/>
              </w:rPr>
              <w:t>资金统一平台数据，余额采用系统中市值数据计算，与会计核算数据口径上存在的差异</w:t>
            </w:r>
          </w:p>
        </w:tc>
      </w:tr>
    </w:tbl>
    <w:p w:rsidR="00432F41" w:rsidRPr="002A03CC" w:rsidRDefault="00432F41" w:rsidP="00432F41">
      <w:pPr>
        <w:spacing w:line="560" w:lineRule="exact"/>
        <w:ind w:firstLineChars="200" w:firstLine="643"/>
        <w:rPr>
          <w:rFonts w:ascii="仿宋_GB2312" w:eastAsia="仿宋_GB2312" w:hAnsi="Calibri" w:cs="Times New Roman"/>
          <w:b/>
          <w:sz w:val="32"/>
          <w:szCs w:val="32"/>
        </w:rPr>
      </w:pPr>
      <w:r w:rsidRPr="002A03CC">
        <w:rPr>
          <w:rFonts w:ascii="仿宋_GB2312" w:eastAsia="仿宋_GB2312" w:hAnsi="Calibri" w:cs="Times New Roman" w:hint="eastAsia"/>
          <w:b/>
          <w:sz w:val="32"/>
          <w:szCs w:val="32"/>
        </w:rPr>
        <w:t>（二）理财事业部</w:t>
      </w:r>
    </w:p>
    <w:tbl>
      <w:tblPr>
        <w:tblStyle w:val="a3"/>
        <w:tblW w:w="9238" w:type="dxa"/>
        <w:jc w:val="center"/>
        <w:tblInd w:w="416" w:type="dxa"/>
        <w:tblLook w:val="04A0" w:firstRow="1" w:lastRow="0" w:firstColumn="1" w:lastColumn="0" w:noHBand="0" w:noVBand="1"/>
      </w:tblPr>
      <w:tblGrid>
        <w:gridCol w:w="1440"/>
        <w:gridCol w:w="2120"/>
        <w:gridCol w:w="1056"/>
        <w:gridCol w:w="1581"/>
        <w:gridCol w:w="1985"/>
        <w:gridCol w:w="1056"/>
      </w:tblGrid>
      <w:tr w:rsidR="00432F41" w:rsidRPr="002A03CC" w:rsidTr="00F15BE1">
        <w:trPr>
          <w:trHeight w:val="270"/>
          <w:jc w:val="center"/>
        </w:trPr>
        <w:tc>
          <w:tcPr>
            <w:tcW w:w="4616" w:type="dxa"/>
            <w:gridSpan w:val="3"/>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部门:理财事业部</w:t>
            </w:r>
          </w:p>
        </w:tc>
        <w:tc>
          <w:tcPr>
            <w:tcW w:w="1581" w:type="dxa"/>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p>
        </w:tc>
        <w:tc>
          <w:tcPr>
            <w:tcW w:w="3041" w:type="dxa"/>
            <w:gridSpan w:val="2"/>
            <w:tcBorders>
              <w:top w:val="nil"/>
              <w:left w:val="nil"/>
              <w:right w:val="nil"/>
            </w:tcBorders>
            <w:noWrap/>
            <w:vAlign w:val="center"/>
            <w:hideMark/>
          </w:tcPr>
          <w:p w:rsidR="00432F41" w:rsidRPr="002A03CC" w:rsidRDefault="00432F41" w:rsidP="001B5773">
            <w:pPr>
              <w:widowControl/>
              <w:jc w:val="right"/>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单位：万元、%</w:t>
            </w:r>
          </w:p>
        </w:tc>
      </w:tr>
      <w:tr w:rsidR="00432F41" w:rsidRPr="002A03CC" w:rsidTr="00F15BE1">
        <w:trPr>
          <w:trHeight w:val="270"/>
          <w:jc w:val="center"/>
        </w:trPr>
        <w:tc>
          <w:tcPr>
            <w:tcW w:w="144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w:t>
            </w:r>
          </w:p>
        </w:tc>
        <w:tc>
          <w:tcPr>
            <w:tcW w:w="212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c>
          <w:tcPr>
            <w:tcW w:w="1581"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w:t>
            </w:r>
          </w:p>
        </w:tc>
        <w:tc>
          <w:tcPr>
            <w:tcW w:w="1985"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r>
      <w:tr w:rsidR="00E7627E" w:rsidRPr="002A03CC" w:rsidTr="000A57D4">
        <w:trPr>
          <w:trHeight w:val="270"/>
          <w:jc w:val="center"/>
        </w:trPr>
        <w:tc>
          <w:tcPr>
            <w:tcW w:w="1440" w:type="dxa"/>
            <w:noWrap/>
            <w:vAlign w:val="center"/>
          </w:tcPr>
          <w:p>
            <w:pPr>
              <w:jc w:val="center"/>
            </w:pPr>
            <w:r>
              <w:rPr>
                <w:rFonts w:ascii="宋体" w:hAnsi="宋体"/>
                <w:b w:val="0"/>
                <w:sz w:val="28"/>
              </w:rPr>
              <w:t>买入返售金融资产</w:t>
            </w:r>
          </w:p>
        </w:tc>
        <w:tc>
          <w:tcPr>
            <w:tcW w:w="2120" w:type="dxa"/>
            <w:noWrap/>
            <w:vAlign w:val="center"/>
          </w:tcPr>
          <w:p>
            <w:pPr>
              <w:jc w:val="center"/>
            </w:pPr>
            <w:r>
              <w:rPr>
                <w:rFonts w:ascii="宋体" w:hAnsi="宋体"/>
                <w:b w:val="0"/>
                <w:sz w:val="28"/>
              </w:rPr>
              <w:t>210200543.15</w:t>
            </w:r>
          </w:p>
        </w:tc>
        <w:tc>
          <w:tcPr>
            <w:tcW w:w="1056" w:type="dxa"/>
            <w:noWrap/>
            <w:vAlign w:val="center"/>
          </w:tcPr>
          <w:p>
            <w:pPr>
              <w:jc w:val="center"/>
            </w:pPr>
            <w:r>
              <w:rPr>
                <w:rFonts w:ascii="宋体" w:hAnsi="宋体"/>
                <w:b w:val="0"/>
                <w:sz w:val="28"/>
              </w:rPr>
              <w:t>2.64%</w:t>
            </w:r>
          </w:p>
        </w:tc>
        <w:tc>
          <w:tcPr>
            <w:tcW w:w="1581" w:type="dxa"/>
            <w:noWrap/>
            <w:vAlign w:val="center"/>
          </w:tcPr>
          <w:p>
            <w:pPr>
              <w:jc w:val="center"/>
            </w:pPr>
            <w:r>
              <w:rPr>
                <w:rFonts w:ascii="宋体" w:hAnsi="宋体"/>
                <w:b w:val="0"/>
                <w:sz w:val="28"/>
              </w:rPr>
              <w:t>产品—其他SPV</w:t>
            </w:r>
          </w:p>
        </w:tc>
        <w:tc>
          <w:tcPr>
            <w:tcW w:w="1985" w:type="dxa"/>
            <w:noWrap/>
            <w:vAlign w:val="center"/>
          </w:tcPr>
          <w:p>
            <w:pPr>
              <w:jc w:val="center"/>
            </w:pPr>
            <w:r>
              <w:rPr>
                <w:rFonts w:ascii="宋体" w:hAnsi="宋体"/>
                <w:b w:val="0"/>
                <w:sz w:val="28"/>
              </w:rPr>
              <w:t>0.0</w:t>
            </w:r>
          </w:p>
        </w:tc>
        <w:tc>
          <w:tcPr>
            <w:tcW w:w="1056" w:type="dxa"/>
            <w:noWrap/>
            <w:vAlign w:val="center"/>
          </w:tcPr>
          <w:p>
            <w:pPr>
              <w:jc w:val="center"/>
            </w:pPr>
            <w:r>
              <w:rPr>
                <w:rFonts w:ascii="宋体" w:hAnsi="宋体"/>
                <w:b w:val="0"/>
                <w:sz w:val="28"/>
              </w:rPr>
              <w:t>0.0%</w:t>
            </w:r>
          </w:p>
        </w:tc>
      </w:tr>
      <w:tr w:rsidR="00E7627E" w:rsidRPr="002A03CC" w:rsidTr="000A57D4">
        <w:trPr>
          <w:trHeight w:val="270"/>
          <w:jc w:val="center"/>
        </w:trPr>
        <w:tc>
          <w:tcPr>
            <w:tcW w:w="1440" w:type="dxa"/>
            <w:noWrap/>
            <w:vAlign w:val="center"/>
          </w:tcPr>
          <w:p>
            <w:pPr>
              <w:jc w:val="center"/>
            </w:pPr>
            <w:r>
              <w:rPr>
                <w:rFonts w:ascii="宋体" w:hAnsi="宋体"/>
                <w:b w:val="0"/>
                <w:sz w:val="28"/>
              </w:rPr>
              <w:t>交易类基金投资</w:t>
            </w:r>
          </w:p>
        </w:tc>
        <w:tc>
          <w:tcPr>
            <w:tcW w:w="2120" w:type="dxa"/>
            <w:noWrap/>
            <w:vAlign w:val="center"/>
          </w:tcPr>
          <w:p>
            <w:pPr>
              <w:jc w:val="center"/>
            </w:pPr>
            <w:r>
              <w:rPr>
                <w:rFonts w:ascii="宋体" w:hAnsi="宋体"/>
                <w:b w:val="0"/>
                <w:sz w:val="28"/>
              </w:rPr>
              <w:t>1617200.0</w:t>
            </w:r>
          </w:p>
        </w:tc>
        <w:tc>
          <w:tcPr>
            <w:tcW w:w="1056" w:type="dxa"/>
            <w:noWrap/>
            <w:vAlign w:val="center"/>
          </w:tcPr>
          <w:p>
            <w:pPr>
              <w:jc w:val="center"/>
            </w:pPr>
            <w:r>
              <w:rPr>
                <w:rFonts w:ascii="宋体" w:hAnsi="宋体"/>
                <w:b w:val="0"/>
                <w:sz w:val="28"/>
              </w:rPr>
              <w:t>0.02%</w:t>
            </w:r>
          </w:p>
        </w:tc>
        <w:tc>
          <w:tcPr>
            <w:tcW w:w="1581" w:type="dxa"/>
            <w:noWrap/>
            <w:vAlign w:val="center"/>
          </w:tcPr>
          <w:p>
            <w:pPr>
              <w:jc w:val="center"/>
            </w:pPr>
            <w:r>
              <w:rPr>
                <w:rFonts w:ascii="宋体" w:hAnsi="宋体"/>
                <w:b w:val="0"/>
                <w:sz w:val="28"/>
              </w:rPr>
              <w:t>其他应付款</w:t>
            </w:r>
          </w:p>
        </w:tc>
        <w:tc>
          <w:tcPr>
            <w:tcW w:w="1985" w:type="dxa"/>
            <w:noWrap/>
            <w:vAlign w:val="center"/>
          </w:tcPr>
          <w:p>
            <w:pPr>
              <w:jc w:val="center"/>
            </w:pPr>
            <w:r>
              <w:rPr>
                <w:rFonts w:ascii="宋体" w:hAnsi="宋体"/>
                <w:b w:val="0"/>
                <w:sz w:val="28"/>
              </w:rPr>
              <w:t>66787358.41</w:t>
            </w:r>
          </w:p>
        </w:tc>
        <w:tc>
          <w:tcPr>
            <w:tcW w:w="1056" w:type="dxa"/>
            <w:noWrap/>
            <w:vAlign w:val="center"/>
          </w:tcPr>
          <w:p>
            <w:pPr>
              <w:jc w:val="center"/>
            </w:pPr>
            <w:r>
              <w:rPr>
                <w:rFonts w:ascii="宋体" w:hAnsi="宋体"/>
                <w:b w:val="0"/>
                <w:sz w:val="28"/>
              </w:rPr>
              <w:t>6.68%</w:t>
            </w:r>
          </w:p>
        </w:tc>
      </w:tr>
      <w:tr w:rsidR="00E7627E" w:rsidRPr="002A03CC" w:rsidTr="000A57D4">
        <w:trPr>
          <w:trHeight w:val="270"/>
          <w:jc w:val="center"/>
        </w:trPr>
        <w:tc>
          <w:tcPr>
            <w:tcW w:w="1440" w:type="dxa"/>
            <w:noWrap/>
            <w:vAlign w:val="center"/>
          </w:tcPr>
          <w:p>
            <w:pPr>
              <w:jc w:val="center"/>
            </w:pPr>
            <w:r>
              <w:rPr>
                <w:rFonts w:ascii="宋体" w:hAnsi="宋体"/>
                <w:b w:val="0"/>
                <w:sz w:val="28"/>
              </w:rPr>
              <w:t>产品—其他SPV</w:t>
            </w:r>
          </w:p>
        </w:tc>
        <w:tc>
          <w:tcPr>
            <w:tcW w:w="2120" w:type="dxa"/>
            <w:noWrap/>
            <w:vAlign w:val="center"/>
          </w:tcPr>
          <w:p>
            <w:pPr>
              <w:jc w:val="center"/>
            </w:pPr>
            <w:r>
              <w:rPr>
                <w:rFonts w:ascii="宋体" w:hAnsi="宋体"/>
                <w:b w:val="0"/>
                <w:sz w:val="28"/>
              </w:rPr>
              <w:t>15.81</w:t>
            </w:r>
          </w:p>
        </w:tc>
        <w:tc>
          <w:tcPr>
            <w:tcW w:w="1056" w:type="dxa"/>
            <w:noWrap/>
            <w:vAlign w:val="center"/>
          </w:tcPr>
          <w:p>
            <w:pPr>
              <w:jc w:val="center"/>
            </w:pPr>
            <w:r>
              <w:rPr>
                <w:rFonts w:ascii="宋体" w:hAnsi="宋体"/>
                <w:b w:val="0"/>
                <w:sz w:val="28"/>
              </w:rPr>
              <w:t>0.0%</w:t>
            </w:r>
          </w:p>
        </w:tc>
        <w:tc>
          <w:tcPr>
            <w:tcW w:w="1581" w:type="dxa"/>
            <w:noWrap/>
            <w:vAlign w:val="center"/>
          </w:tcPr>
          <w:p>
            <w:pPr>
              <w:jc w:val="center"/>
            </w:pPr>
            <w:r>
              <w:rPr>
                <w:rFonts w:ascii="宋体" w:hAnsi="宋体"/>
                <w:b w:val="0"/>
                <w:sz w:val="28"/>
              </w:rPr>
              <w:t>卖出回购金融资产款</w:t>
            </w:r>
          </w:p>
        </w:tc>
        <w:tc>
          <w:tcPr>
            <w:tcW w:w="1985" w:type="dxa"/>
            <w:noWrap/>
            <w:vAlign w:val="center"/>
          </w:tcPr>
          <w:p>
            <w:pPr>
              <w:jc w:val="center"/>
            </w:pPr>
            <w:r>
              <w:rPr>
                <w:rFonts w:ascii="宋体" w:hAnsi="宋体"/>
                <w:b w:val="0"/>
                <w:sz w:val="28"/>
              </w:rPr>
              <w:t>820856083.96</w:t>
            </w:r>
          </w:p>
        </w:tc>
        <w:tc>
          <w:tcPr>
            <w:tcW w:w="1056" w:type="dxa"/>
            <w:noWrap/>
            <w:vAlign w:val="center"/>
          </w:tcPr>
          <w:p>
            <w:pPr>
              <w:jc w:val="center"/>
            </w:pPr>
            <w:r>
              <w:rPr>
                <w:rFonts w:ascii="宋体" w:hAnsi="宋体"/>
                <w:b w:val="0"/>
                <w:sz w:val="28"/>
              </w:rPr>
              <w:t>82.09%</w:t>
            </w:r>
          </w:p>
        </w:tc>
      </w:tr>
      <w:tr w:rsidR="001F624B" w:rsidRPr="002A03CC" w:rsidTr="00192DAB">
        <w:trPr>
          <w:trHeight w:val="270"/>
          <w:jc w:val="center"/>
        </w:trPr>
        <w:tc>
          <w:tcPr>
            <w:tcW w:w="1440" w:type="dxa"/>
            <w:noWrap/>
            <w:vAlign w:val="center"/>
          </w:tcPr>
          <w:p>
            <w:pPr>
              <w:jc w:val="center"/>
            </w:pPr>
            <w:r>
              <w:rPr>
                <w:rFonts w:ascii="宋体" w:hAnsi="宋体"/>
                <w:b w:val="0"/>
                <w:sz w:val="28"/>
              </w:rPr>
              <w:t>债券</w:t>
            </w:r>
          </w:p>
        </w:tc>
        <w:tc>
          <w:tcPr>
            <w:tcW w:w="2120" w:type="dxa"/>
            <w:noWrap/>
            <w:vAlign w:val="center"/>
          </w:tcPr>
          <w:p>
            <w:pPr>
              <w:jc w:val="center"/>
            </w:pPr>
            <w:r>
              <w:rPr>
                <w:rFonts w:ascii="宋体" w:hAnsi="宋体"/>
                <w:b w:val="0"/>
                <w:sz w:val="28"/>
              </w:rPr>
              <w:t>6385709506.56</w:t>
            </w:r>
          </w:p>
        </w:tc>
        <w:tc>
          <w:tcPr>
            <w:tcW w:w="1056" w:type="dxa"/>
            <w:noWrap/>
            <w:vAlign w:val="center"/>
          </w:tcPr>
          <w:p>
            <w:pPr>
              <w:jc w:val="center"/>
            </w:pPr>
            <w:r>
              <w:rPr>
                <w:rFonts w:ascii="宋体" w:hAnsi="宋体"/>
                <w:b w:val="0"/>
                <w:sz w:val="28"/>
              </w:rPr>
              <w:t>80.12%</w:t>
            </w:r>
          </w:p>
        </w:tc>
        <w:tc>
          <w:tcPr>
            <w:tcW w:w="1581" w:type="dxa"/>
            <w:noWrap/>
            <w:vAlign w:val="center"/>
          </w:tcPr>
          <w:p>
            <w:pPr>
              <w:jc w:val="center"/>
            </w:pPr>
            <w:r>
              <w:rPr>
                <w:rFonts w:ascii="宋体" w:hAnsi="宋体"/>
                <w:b w:val="0"/>
                <w:sz w:val="28"/>
              </w:rPr>
              <w:t>应付交易费用</w:t>
            </w:r>
          </w:p>
        </w:tc>
        <w:tc>
          <w:tcPr>
            <w:tcW w:w="1985" w:type="dxa"/>
            <w:noWrap/>
            <w:vAlign w:val="center"/>
          </w:tcPr>
          <w:p>
            <w:pPr>
              <w:jc w:val="center"/>
            </w:pPr>
            <w:r>
              <w:rPr>
                <w:rFonts w:ascii="宋体" w:hAnsi="宋体"/>
                <w:b w:val="0"/>
                <w:sz w:val="28"/>
              </w:rPr>
              <w:t>41661.45</w:t>
            </w:r>
          </w:p>
        </w:tc>
        <w:tc>
          <w:tcPr>
            <w:tcW w:w="1056" w:type="dxa"/>
            <w:noWrap/>
            <w:vAlign w:val="center"/>
          </w:tcPr>
          <w:p>
            <w:pPr>
              <w:jc w:val="center"/>
            </w:pPr>
            <w:r>
              <w:rPr>
                <w:rFonts w:ascii="宋体" w:hAnsi="宋体"/>
                <w:b w:val="0"/>
                <w:sz w:val="28"/>
              </w:rPr>
              <w:t>0.0%</w:t>
            </w:r>
          </w:p>
        </w:tc>
      </w:tr>
      <w:tr w:rsidR="001F624B" w:rsidRPr="002A03CC" w:rsidTr="00192DAB">
        <w:trPr>
          <w:trHeight w:val="270"/>
          <w:jc w:val="center"/>
        </w:trPr>
        <w:tc>
          <w:tcPr>
            <w:tcW w:w="1440" w:type="dxa"/>
            <w:noWrap/>
            <w:vAlign w:val="center"/>
          </w:tcPr>
          <w:p>
            <w:pPr>
              <w:jc w:val="center"/>
            </w:pPr>
            <w:r>
              <w:rPr>
                <w:rFonts w:ascii="宋体" w:hAnsi="宋体"/>
                <w:b w:val="0"/>
                <w:sz w:val="28"/>
              </w:rPr>
              <w:t>净值型资产管理计划资产</w:t>
            </w:r>
          </w:p>
        </w:tc>
        <w:tc>
          <w:tcPr>
            <w:tcW w:w="2120" w:type="dxa"/>
            <w:noWrap/>
            <w:vAlign w:val="center"/>
          </w:tcPr>
          <w:p>
            <w:pPr>
              <w:jc w:val="center"/>
            </w:pPr>
            <w:r>
              <w:rPr>
                <w:rFonts w:ascii="宋体" w:hAnsi="宋体"/>
                <w:b w:val="0"/>
                <w:sz w:val="28"/>
              </w:rPr>
              <w:t>1.65</w:t>
            </w:r>
          </w:p>
        </w:tc>
        <w:tc>
          <w:tcPr>
            <w:tcW w:w="1056" w:type="dxa"/>
            <w:noWrap/>
            <w:vAlign w:val="center"/>
          </w:tcPr>
          <w:p>
            <w:pPr>
              <w:jc w:val="center"/>
            </w:pPr>
            <w:r>
              <w:rPr>
                <w:rFonts w:ascii="宋体" w:hAnsi="宋体"/>
                <w:b w:val="0"/>
                <w:sz w:val="28"/>
              </w:rPr>
              <w:t>0.0%</w:t>
            </w:r>
          </w:p>
        </w:tc>
        <w:tc>
          <w:tcPr>
            <w:tcW w:w="1581" w:type="dxa"/>
            <w:noWrap/>
            <w:vAlign w:val="center"/>
          </w:tcPr>
          <w:p>
            <w:pPr>
              <w:jc w:val="center"/>
            </w:pPr>
            <w:r>
              <w:rPr>
                <w:rFonts w:ascii="宋体" w:hAnsi="宋体"/>
                <w:b w:val="0"/>
                <w:sz w:val="28"/>
              </w:rPr>
              <w:t>应付利息</w:t>
            </w:r>
          </w:p>
        </w:tc>
        <w:tc>
          <w:tcPr>
            <w:tcW w:w="1985" w:type="dxa"/>
            <w:noWrap/>
            <w:vAlign w:val="center"/>
          </w:tcPr>
          <w:p>
            <w:pPr>
              <w:jc w:val="center"/>
            </w:pPr>
            <w:r>
              <w:rPr>
                <w:rFonts w:ascii="宋体" w:hAnsi="宋体"/>
                <w:b w:val="0"/>
                <w:sz w:val="28"/>
              </w:rPr>
              <w:t>713740.94</w:t>
            </w:r>
          </w:p>
        </w:tc>
        <w:tc>
          <w:tcPr>
            <w:tcW w:w="1056" w:type="dxa"/>
            <w:noWrap/>
            <w:vAlign w:val="center"/>
          </w:tcPr>
          <w:p>
            <w:pPr>
              <w:jc w:val="center"/>
            </w:pPr>
            <w:r>
              <w:rPr>
                <w:rFonts w:ascii="宋体" w:hAnsi="宋体"/>
                <w:b w:val="0"/>
                <w:sz w:val="28"/>
              </w:rPr>
              <w:t>0.07%</w:t>
            </w:r>
          </w:p>
        </w:tc>
      </w:tr>
      <w:tr w:rsidR="001F624B" w:rsidRPr="002A03CC" w:rsidTr="00192DAB">
        <w:trPr>
          <w:trHeight w:val="270"/>
          <w:jc w:val="center"/>
        </w:trPr>
        <w:tc>
          <w:tcPr>
            <w:tcW w:w="1440" w:type="dxa"/>
            <w:noWrap/>
            <w:vAlign w:val="center"/>
          </w:tcPr>
          <w:p>
            <w:pPr>
              <w:jc w:val="center"/>
            </w:pPr>
            <w:r>
              <w:rPr>
                <w:rFonts w:ascii="宋体" w:hAnsi="宋体"/>
                <w:b w:val="0"/>
                <w:sz w:val="28"/>
              </w:rPr>
              <w:t>净值型项目资产</w:t>
            </w:r>
          </w:p>
        </w:tc>
        <w:tc>
          <w:tcPr>
            <w:tcW w:w="2120" w:type="dxa"/>
            <w:noWrap/>
            <w:vAlign w:val="center"/>
          </w:tcPr>
          <w:p>
            <w:pPr>
              <w:jc w:val="center"/>
            </w:pPr>
            <w:r>
              <w:rPr>
                <w:rFonts w:ascii="宋体" w:hAnsi="宋体"/>
                <w:b w:val="0"/>
                <w:sz w:val="28"/>
              </w:rPr>
              <w:t>0.04</w:t>
            </w:r>
          </w:p>
        </w:tc>
        <w:tc>
          <w:tcPr>
            <w:tcW w:w="1056" w:type="dxa"/>
            <w:noWrap/>
            <w:vAlign w:val="center"/>
          </w:tcPr>
          <w:p>
            <w:pPr>
              <w:jc w:val="center"/>
            </w:pPr>
            <w:r>
              <w:rPr>
                <w:rFonts w:ascii="宋体" w:hAnsi="宋体"/>
                <w:b w:val="0"/>
                <w:sz w:val="28"/>
              </w:rPr>
              <w:t>0.0%</w:t>
            </w:r>
          </w:p>
        </w:tc>
        <w:tc>
          <w:tcPr>
            <w:tcW w:w="1581" w:type="dxa"/>
            <w:noWrap/>
            <w:vAlign w:val="center"/>
          </w:tcPr>
          <w:p>
            <w:pPr>
              <w:jc w:val="center"/>
            </w:pPr>
            <w:r>
              <w:rPr>
                <w:rFonts w:ascii="宋体" w:hAnsi="宋体"/>
                <w:b w:val="0"/>
                <w:sz w:val="28"/>
              </w:rPr>
              <w:t>应付利润</w:t>
            </w:r>
          </w:p>
        </w:tc>
        <w:tc>
          <w:tcPr>
            <w:tcW w:w="1985" w:type="dxa"/>
            <w:noWrap/>
            <w:vAlign w:val="center"/>
          </w:tcPr>
          <w:p>
            <w:pPr>
              <w:jc w:val="center"/>
            </w:pPr>
            <w:r>
              <w:rPr>
                <w:rFonts w:ascii="宋体" w:hAnsi="宋体"/>
                <w:b w:val="0"/>
                <w:sz w:val="28"/>
              </w:rPr>
              <w:t>30333060.0</w:t>
            </w:r>
          </w:p>
        </w:tc>
        <w:tc>
          <w:tcPr>
            <w:tcW w:w="1056" w:type="dxa"/>
            <w:noWrap/>
            <w:vAlign w:val="center"/>
          </w:tcPr>
          <w:p>
            <w:pPr>
              <w:jc w:val="center"/>
            </w:pPr>
            <w:r>
              <w:rPr>
                <w:rFonts w:ascii="宋体" w:hAnsi="宋体"/>
                <w:b w:val="0"/>
                <w:sz w:val="28"/>
              </w:rPr>
              <w:t>3.03%</w:t>
            </w:r>
          </w:p>
        </w:tc>
      </w:tr>
      <w:tr w:rsidR="001F624B" w:rsidRPr="002A03CC" w:rsidTr="00192DAB">
        <w:trPr>
          <w:trHeight w:val="270"/>
          <w:jc w:val="center"/>
        </w:trPr>
        <w:tc>
          <w:tcPr>
            <w:tcW w:w="1440" w:type="dxa"/>
            <w:noWrap/>
            <w:vAlign w:val="center"/>
          </w:tcPr>
          <w:p>
            <w:pPr>
              <w:jc w:val="center"/>
            </w:pPr>
            <w:r>
              <w:rPr>
                <w:rFonts w:ascii="宋体" w:hAnsi="宋体"/>
                <w:b w:val="0"/>
                <w:sz w:val="28"/>
              </w:rPr>
              <w:t>利率型项目资产</w:t>
            </w:r>
          </w:p>
        </w:tc>
        <w:tc>
          <w:tcPr>
            <w:tcW w:w="2120" w:type="dxa"/>
            <w:noWrap/>
            <w:vAlign w:val="center"/>
          </w:tcPr>
          <w:p>
            <w:pPr>
              <w:jc w:val="center"/>
            </w:pPr>
            <w:r>
              <w:rPr>
                <w:rFonts w:ascii="宋体" w:hAnsi="宋体"/>
                <w:b w:val="0"/>
                <w:sz w:val="28"/>
              </w:rPr>
              <w:t>6.07</w:t>
            </w:r>
          </w:p>
        </w:tc>
        <w:tc>
          <w:tcPr>
            <w:tcW w:w="1056" w:type="dxa"/>
            <w:noWrap/>
            <w:vAlign w:val="center"/>
          </w:tcPr>
          <w:p>
            <w:pPr>
              <w:jc w:val="center"/>
            </w:pPr>
            <w:r>
              <w:rPr>
                <w:rFonts w:ascii="宋体" w:hAnsi="宋体"/>
                <w:b w:val="0"/>
                <w:sz w:val="28"/>
              </w:rPr>
              <w:t>0.0%</w:t>
            </w:r>
          </w:p>
        </w:tc>
        <w:tc>
          <w:tcPr>
            <w:tcW w:w="1581" w:type="dxa"/>
            <w:noWrap/>
            <w:vAlign w:val="center"/>
          </w:tcPr>
          <w:p>
            <w:pPr>
              <w:jc w:val="center"/>
            </w:pPr>
            <w:r>
              <w:rPr>
                <w:rFonts w:ascii="宋体" w:hAnsi="宋体"/>
                <w:b w:val="0"/>
                <w:sz w:val="28"/>
              </w:rPr>
              <w:t>应付托管费</w:t>
            </w:r>
          </w:p>
        </w:tc>
        <w:tc>
          <w:tcPr>
            <w:tcW w:w="1985" w:type="dxa"/>
            <w:noWrap/>
            <w:vAlign w:val="center"/>
          </w:tcPr>
          <w:p>
            <w:pPr>
              <w:jc w:val="center"/>
            </w:pPr>
            <w:r>
              <w:rPr>
                <w:rFonts w:ascii="宋体" w:hAnsi="宋体"/>
                <w:b w:val="0"/>
                <w:sz w:val="28"/>
              </w:rPr>
              <w:t>103676.03</w:t>
            </w:r>
          </w:p>
        </w:tc>
        <w:tc>
          <w:tcPr>
            <w:tcW w:w="1056" w:type="dxa"/>
            <w:noWrap/>
            <w:vAlign w:val="center"/>
          </w:tcPr>
          <w:p>
            <w:pPr>
              <w:jc w:val="center"/>
            </w:pPr>
            <w:r>
              <w:rPr>
                <w:rFonts w:ascii="宋体" w:hAnsi="宋体"/>
                <w:b w:val="0"/>
                <w:sz w:val="28"/>
              </w:rPr>
              <w:t>0.01%</w:t>
            </w:r>
          </w:p>
        </w:tc>
      </w:tr>
      <w:tr w:rsidR="001F624B" w:rsidRPr="002A03CC" w:rsidTr="00192DAB">
        <w:trPr>
          <w:trHeight w:val="270"/>
          <w:jc w:val="center"/>
        </w:trPr>
        <w:tc>
          <w:tcPr>
            <w:tcW w:w="1440" w:type="dxa"/>
            <w:noWrap/>
            <w:vAlign w:val="center"/>
          </w:tcPr>
          <w:p>
            <w:pPr>
              <w:jc w:val="center"/>
            </w:pPr>
            <w:r>
              <w:rPr>
                <w:rFonts w:ascii="宋体" w:hAnsi="宋体"/>
                <w:b w:val="0"/>
                <w:sz w:val="28"/>
              </w:rPr>
              <w:t>同业资产</w:t>
            </w:r>
          </w:p>
        </w:tc>
        <w:tc>
          <w:tcPr>
            <w:tcW w:w="2120" w:type="dxa"/>
            <w:noWrap/>
            <w:vAlign w:val="center"/>
          </w:tcPr>
          <w:p>
            <w:pPr>
              <w:jc w:val="center"/>
            </w:pPr>
            <w:r>
              <w:rPr>
                <w:rFonts w:ascii="宋体" w:hAnsi="宋体"/>
                <w:b w:val="0"/>
                <w:sz w:val="28"/>
              </w:rPr>
              <w:t>0.95</w:t>
            </w:r>
          </w:p>
        </w:tc>
        <w:tc>
          <w:tcPr>
            <w:tcW w:w="1056" w:type="dxa"/>
            <w:noWrap/>
            <w:vAlign w:val="center"/>
          </w:tcPr>
          <w:p>
            <w:pPr>
              <w:jc w:val="center"/>
            </w:pPr>
            <w:r>
              <w:rPr>
                <w:rFonts w:ascii="宋体" w:hAnsi="宋体"/>
                <w:b w:val="0"/>
                <w:sz w:val="28"/>
              </w:rPr>
              <w:t>0.0%</w:t>
            </w:r>
          </w:p>
        </w:tc>
        <w:tc>
          <w:tcPr>
            <w:tcW w:w="1581" w:type="dxa"/>
            <w:noWrap/>
            <w:vAlign w:val="center"/>
          </w:tcPr>
          <w:p>
            <w:pPr>
              <w:jc w:val="center"/>
            </w:pPr>
            <w:r>
              <w:rPr>
                <w:rFonts w:ascii="宋体" w:hAnsi="宋体"/>
                <w:b w:val="0"/>
                <w:sz w:val="28"/>
              </w:rPr>
              <w:t>应付税费</w:t>
            </w:r>
          </w:p>
        </w:tc>
        <w:tc>
          <w:tcPr>
            <w:tcW w:w="1985" w:type="dxa"/>
            <w:noWrap/>
            <w:vAlign w:val="center"/>
          </w:tcPr>
          <w:p>
            <w:pPr>
              <w:jc w:val="center"/>
            </w:pPr>
            <w:r>
              <w:rPr>
                <w:rFonts w:ascii="宋体" w:hAnsi="宋体"/>
                <w:b w:val="0"/>
                <w:sz w:val="28"/>
              </w:rPr>
              <w:t>1404981.89</w:t>
            </w:r>
          </w:p>
        </w:tc>
        <w:tc>
          <w:tcPr>
            <w:tcW w:w="1056" w:type="dxa"/>
            <w:noWrap/>
            <w:vAlign w:val="center"/>
          </w:tcPr>
          <w:p>
            <w:pPr>
              <w:jc w:val="center"/>
            </w:pPr>
            <w:r>
              <w:rPr>
                <w:rFonts w:ascii="宋体" w:hAnsi="宋体"/>
                <w:b w:val="0"/>
                <w:sz w:val="28"/>
              </w:rPr>
              <w:t>0.14%</w:t>
            </w:r>
          </w:p>
        </w:tc>
      </w:tr>
      <w:tr w:rsidR="001F624B" w:rsidRPr="002A03CC" w:rsidTr="00192DAB">
        <w:trPr>
          <w:trHeight w:val="270"/>
          <w:jc w:val="center"/>
        </w:trPr>
        <w:tc>
          <w:tcPr>
            <w:tcW w:w="1440" w:type="dxa"/>
            <w:noWrap/>
            <w:vAlign w:val="center"/>
          </w:tcPr>
          <w:p>
            <w:pPr>
              <w:jc w:val="center"/>
            </w:pPr>
            <w:r>
              <w:rPr>
                <w:rFonts w:ascii="宋体" w:hAnsi="宋体"/>
                <w:b w:val="0"/>
                <w:sz w:val="28"/>
              </w:rPr>
              <w:t>应收利息</w:t>
            </w:r>
          </w:p>
        </w:tc>
        <w:tc>
          <w:tcPr>
            <w:tcW w:w="2120" w:type="dxa"/>
            <w:noWrap/>
            <w:vAlign w:val="center"/>
          </w:tcPr>
          <w:p>
            <w:pPr>
              <w:jc w:val="center"/>
            </w:pPr>
            <w:r>
              <w:rPr>
                <w:rFonts w:ascii="宋体" w:hAnsi="宋体"/>
                <w:b w:val="0"/>
                <w:sz w:val="28"/>
              </w:rPr>
              <w:t>153688128.53</w:t>
            </w:r>
          </w:p>
        </w:tc>
        <w:tc>
          <w:tcPr>
            <w:tcW w:w="1056" w:type="dxa"/>
            <w:noWrap/>
            <w:vAlign w:val="center"/>
          </w:tcPr>
          <w:p>
            <w:pPr>
              <w:jc w:val="center"/>
            </w:pPr>
            <w:r>
              <w:rPr>
                <w:rFonts w:ascii="宋体" w:hAnsi="宋体"/>
                <w:b w:val="0"/>
                <w:sz w:val="28"/>
              </w:rPr>
              <w:t>1.93%</w:t>
            </w:r>
          </w:p>
        </w:tc>
        <w:tc>
          <w:tcPr>
            <w:tcW w:w="1581" w:type="dxa"/>
            <w:noWrap/>
            <w:vAlign w:val="center"/>
          </w:tcPr>
          <w:p>
            <w:pPr>
              <w:jc w:val="center"/>
            </w:pPr>
            <w:r>
              <w:rPr>
                <w:rFonts w:ascii="宋体" w:hAnsi="宋体"/>
                <w:b w:val="0"/>
                <w:sz w:val="28"/>
              </w:rPr>
              <w:t>应付管理人报酬</w:t>
            </w:r>
          </w:p>
        </w:tc>
        <w:tc>
          <w:tcPr>
            <w:tcW w:w="1985" w:type="dxa"/>
            <w:noWrap/>
            <w:vAlign w:val="center"/>
          </w:tcPr>
          <w:p>
            <w:pPr>
              <w:jc w:val="center"/>
            </w:pPr>
            <w:r>
              <w:rPr>
                <w:rFonts w:ascii="宋体" w:hAnsi="宋体"/>
                <w:b w:val="0"/>
                <w:sz w:val="28"/>
              </w:rPr>
              <w:t>11909180.76</w:t>
            </w:r>
          </w:p>
        </w:tc>
        <w:tc>
          <w:tcPr>
            <w:tcW w:w="1056" w:type="dxa"/>
            <w:noWrap/>
            <w:vAlign w:val="center"/>
          </w:tcPr>
          <w:p>
            <w:pPr>
              <w:jc w:val="center"/>
            </w:pPr>
            <w:r>
              <w:rPr>
                <w:rFonts w:ascii="宋体" w:hAnsi="宋体"/>
                <w:b w:val="0"/>
                <w:sz w:val="28"/>
              </w:rPr>
              <w:t>1.19%</w:t>
            </w:r>
          </w:p>
        </w:tc>
      </w:tr>
      <w:tr w:rsidR="00E7627E" w:rsidRPr="002A03CC" w:rsidTr="00192DAB">
        <w:trPr>
          <w:trHeight w:val="270"/>
          <w:jc w:val="center"/>
        </w:trPr>
        <w:tc>
          <w:tcPr>
            <w:tcW w:w="1440" w:type="dxa"/>
            <w:noWrap/>
            <w:vAlign w:val="center"/>
          </w:tcPr>
          <w:p>
            <w:pPr>
              <w:jc w:val="center"/>
            </w:pPr>
            <w:r>
              <w:rPr>
                <w:rFonts w:ascii="宋体" w:hAnsi="宋体"/>
                <w:b w:val="0"/>
                <w:sz w:val="28"/>
              </w:rPr>
              <w:t>活期存款</w:t>
            </w:r>
          </w:p>
        </w:tc>
        <w:tc>
          <w:tcPr>
            <w:tcW w:w="2120" w:type="dxa"/>
            <w:noWrap/>
            <w:vAlign w:val="center"/>
          </w:tcPr>
          <w:p>
            <w:pPr>
              <w:jc w:val="center"/>
            </w:pPr>
            <w:r>
              <w:rPr>
                <w:rFonts w:ascii="宋体" w:hAnsi="宋体"/>
                <w:b w:val="0"/>
                <w:sz w:val="28"/>
              </w:rPr>
              <w:t>1.14</w:t>
            </w:r>
          </w:p>
        </w:tc>
        <w:tc>
          <w:tcPr>
            <w:tcW w:w="1056" w:type="dxa"/>
            <w:noWrap/>
            <w:vAlign w:val="center"/>
          </w:tcPr>
          <w:p>
            <w:pPr>
              <w:jc w:val="center"/>
            </w:pPr>
            <w:r>
              <w:rPr>
                <w:rFonts w:ascii="宋体" w:hAnsi="宋体"/>
                <w:b w:val="0"/>
                <w:sz w:val="28"/>
              </w:rPr>
              <w:t>0.0%</w:t>
            </w:r>
          </w:p>
        </w:tc>
        <w:tc>
          <w:tcPr>
            <w:tcW w:w="1581" w:type="dxa"/>
            <w:noWrap/>
            <w:vAlign w:val="center"/>
          </w:tcPr>
          <w:p>
            <w:pPr>
              <w:jc w:val="center"/>
            </w:pPr>
            <w:r>
              <w:rPr>
                <w:rFonts w:ascii="宋体" w:hAnsi="宋体"/>
                <w:b w:val="0"/>
                <w:sz w:val="28"/>
              </w:rPr>
              <w:t>应付运营服务费</w:t>
            </w:r>
          </w:p>
        </w:tc>
        <w:tc>
          <w:tcPr>
            <w:tcW w:w="1985" w:type="dxa"/>
            <w:noWrap/>
            <w:vAlign w:val="center"/>
          </w:tcPr>
          <w:p>
            <w:pPr>
              <w:jc w:val="center"/>
            </w:pPr>
            <w:r>
              <w:rPr>
                <w:rFonts w:ascii="宋体" w:hAnsi="宋体"/>
                <w:b w:val="0"/>
                <w:sz w:val="28"/>
              </w:rPr>
              <w:t>193945.43</w:t>
            </w:r>
          </w:p>
        </w:tc>
        <w:tc>
          <w:tcPr>
            <w:tcW w:w="1056" w:type="dxa"/>
            <w:noWrap/>
            <w:vAlign w:val="center"/>
          </w:tcPr>
          <w:p>
            <w:pPr>
              <w:jc w:val="center"/>
            </w:pPr>
            <w:r>
              <w:rPr>
                <w:rFonts w:ascii="宋体" w:hAnsi="宋体"/>
                <w:b w:val="0"/>
                <w:sz w:val="28"/>
              </w:rPr>
              <w:t>0.02%</w:t>
            </w:r>
          </w:p>
        </w:tc>
      </w:tr>
      <w:tr w:rsidR="00E7627E" w:rsidRPr="002A03CC" w:rsidTr="00192DAB">
        <w:trPr>
          <w:trHeight w:val="270"/>
          <w:jc w:val="center"/>
        </w:trPr>
        <w:tc>
          <w:tcPr>
            <w:tcW w:w="1440" w:type="dxa"/>
            <w:noWrap/>
            <w:vAlign w:val="center"/>
          </w:tcPr>
          <w:p>
            <w:pPr>
              <w:jc w:val="center"/>
            </w:pPr>
            <w:r>
              <w:rPr>
                <w:rFonts w:ascii="宋体" w:hAnsi="宋体"/>
                <w:b w:val="0"/>
                <w:sz w:val="28"/>
              </w:rPr>
              <w:t>清算备付金</w:t>
            </w:r>
          </w:p>
        </w:tc>
        <w:tc>
          <w:tcPr>
            <w:tcW w:w="2120" w:type="dxa"/>
            <w:noWrap/>
            <w:vAlign w:val="center"/>
          </w:tcPr>
          <w:p>
            <w:pPr>
              <w:jc w:val="center"/>
            </w:pPr>
            <w:r>
              <w:rPr>
                <w:rFonts w:ascii="宋体" w:hAnsi="宋体"/>
                <w:b w:val="0"/>
                <w:sz w:val="28"/>
              </w:rPr>
              <w:t>37732440.32</w:t>
            </w:r>
          </w:p>
        </w:tc>
        <w:tc>
          <w:tcPr>
            <w:tcW w:w="1056" w:type="dxa"/>
            <w:noWrap/>
            <w:vAlign w:val="center"/>
          </w:tcPr>
          <w:p>
            <w:pPr>
              <w:jc w:val="center"/>
            </w:pPr>
            <w:r>
              <w:rPr>
                <w:rFonts w:ascii="宋体" w:hAnsi="宋体"/>
                <w:b w:val="0"/>
                <w:sz w:val="28"/>
              </w:rPr>
              <w:t>0.47%</w:t>
            </w:r>
          </w:p>
        </w:tc>
        <w:tc>
          <w:tcPr>
            <w:tcW w:w="1581" w:type="dxa"/>
            <w:noWrap/>
            <w:vAlign w:val="center"/>
          </w:tcPr>
          <w:p>
            <w:pPr>
              <w:jc w:val="center"/>
            </w:pPr>
            <w:r>
              <w:rPr>
                <w:rFonts w:ascii="宋体" w:hAnsi="宋体"/>
                <w:b w:val="0"/>
                <w:sz w:val="28"/>
              </w:rPr>
              <w:t>应付销售服务费</w:t>
            </w:r>
          </w:p>
        </w:tc>
        <w:tc>
          <w:tcPr>
            <w:tcW w:w="1985" w:type="dxa"/>
            <w:noWrap/>
            <w:vAlign w:val="center"/>
          </w:tcPr>
          <w:p>
            <w:pPr>
              <w:jc w:val="center"/>
            </w:pPr>
            <w:r>
              <w:rPr>
                <w:rFonts w:ascii="宋体" w:hAnsi="宋体"/>
                <w:b w:val="0"/>
                <w:sz w:val="28"/>
              </w:rPr>
              <w:t>4884117.76</w:t>
            </w:r>
          </w:p>
        </w:tc>
        <w:tc>
          <w:tcPr>
            <w:tcW w:w="1056" w:type="dxa"/>
            <w:noWrap/>
            <w:vAlign w:val="center"/>
          </w:tcPr>
          <w:p>
            <w:pPr>
              <w:jc w:val="center"/>
            </w:pPr>
            <w:r>
              <w:rPr>
                <w:rFonts w:ascii="宋体" w:hAnsi="宋体"/>
                <w:b w:val="0"/>
                <w:sz w:val="28"/>
              </w:rPr>
              <w:t>0.49%</w:t>
            </w:r>
          </w:p>
        </w:tc>
      </w:tr>
      <w:tr w:rsidR="00E7627E" w:rsidRPr="002A03CC" w:rsidTr="004564D7">
        <w:trPr>
          <w:trHeight w:val="270"/>
          <w:jc w:val="center"/>
        </w:trPr>
        <w:tc>
          <w:tcPr>
            <w:tcW w:w="1440" w:type="dxa"/>
            <w:noWrap/>
            <w:vAlign w:val="center"/>
          </w:tcPr>
          <w:p>
            <w:pPr>
              <w:jc w:val="center"/>
            </w:pPr>
            <w:r>
              <w:rPr>
                <w:rFonts w:ascii="宋体" w:hAnsi="宋体"/>
                <w:b w:val="0"/>
                <w:sz w:val="28"/>
              </w:rPr>
              <w:t>理财产品投资</w:t>
            </w:r>
          </w:p>
        </w:tc>
        <w:tc>
          <w:tcPr>
            <w:tcW w:w="2120" w:type="dxa"/>
            <w:noWrap/>
            <w:vAlign w:val="center"/>
          </w:tcPr>
          <w:p>
            <w:pPr>
              <w:jc w:val="center"/>
            </w:pPr>
            <w:r>
              <w:rPr>
                <w:rFonts w:ascii="宋体" w:hAnsi="宋体"/>
                <w:b w:val="0"/>
                <w:sz w:val="28"/>
              </w:rPr>
              <w:t>477000000.0</w:t>
            </w:r>
          </w:p>
        </w:tc>
        <w:tc>
          <w:tcPr>
            <w:tcW w:w="1056" w:type="dxa"/>
            <w:noWrap/>
            <w:vAlign w:val="center"/>
          </w:tcPr>
          <w:p>
            <w:pPr>
              <w:jc w:val="center"/>
            </w:pPr>
            <w:r>
              <w:rPr>
                <w:rFonts w:ascii="宋体" w:hAnsi="宋体"/>
                <w:b w:val="0"/>
                <w:sz w:val="28"/>
              </w:rPr>
              <w:t>5.98%</w:t>
            </w:r>
          </w:p>
        </w:tc>
        <w:tc>
          <w:tcPr>
            <w:tcW w:w="1581" w:type="dxa"/>
            <w:noWrap/>
            <w:vAlign w:val="center"/>
          </w:tcPr>
          <w:p>
            <w:pPr>
              <w:jc w:val="center"/>
            </w:pPr>
            <w:r>
              <w:rPr>
                <w:rFonts w:ascii="宋体" w:hAnsi="宋体"/>
                <w:b w:val="0"/>
                <w:sz w:val="28"/>
              </w:rPr>
              <w:t>理财产品</w:t>
            </w:r>
          </w:p>
        </w:tc>
        <w:tc>
          <w:tcPr>
            <w:tcW w:w="1985" w:type="dxa"/>
            <w:noWrap/>
            <w:vAlign w:val="center"/>
          </w:tcPr>
          <w:p>
            <w:pPr>
              <w:jc w:val="center"/>
            </w:pPr>
            <w:r>
              <w:rPr>
                <w:rFonts w:ascii="宋体" w:hAnsi="宋体"/>
                <w:b w:val="0"/>
                <w:sz w:val="28"/>
              </w:rPr>
              <w:t>68.06</w:t>
            </w:r>
          </w:p>
        </w:tc>
        <w:tc>
          <w:tcPr>
            <w:tcW w:w="1056" w:type="dxa"/>
            <w:noWrap/>
            <w:vAlign w:val="center"/>
          </w:tcPr>
          <w:p>
            <w:pPr>
              <w:jc w:val="center"/>
            </w:pPr>
            <w:r>
              <w:rPr>
                <w:rFonts w:ascii="宋体" w:hAnsi="宋体"/>
                <w:b w:val="0"/>
                <w:sz w:val="28"/>
              </w:rPr>
              <w:t>0.0%</w:t>
            </w:r>
          </w:p>
        </w:tc>
      </w:tr>
      <w:tr w:rsidR="00E7627E" w:rsidRPr="002A03CC" w:rsidTr="004564D7">
        <w:trPr>
          <w:trHeight w:val="270"/>
          <w:jc w:val="center"/>
        </w:trPr>
        <w:tc>
          <w:tcPr>
            <w:tcW w:w="1440" w:type="dxa"/>
            <w:noWrap/>
            <w:vAlign w:val="center"/>
          </w:tcPr>
          <w:p>
            <w:pPr>
              <w:jc w:val="center"/>
            </w:pPr>
            <w:r>
              <w:rPr>
                <w:rFonts w:ascii="宋体" w:hAnsi="宋体"/>
                <w:b w:val="0"/>
                <w:sz w:val="28"/>
              </w:rPr>
              <w:t>理财投资</w:t>
            </w:r>
          </w:p>
        </w:tc>
        <w:tc>
          <w:tcPr>
            <w:tcW w:w="2120" w:type="dxa"/>
            <w:noWrap/>
            <w:vAlign w:val="center"/>
          </w:tcPr>
          <w:p>
            <w:pPr>
              <w:jc w:val="center"/>
            </w:pPr>
            <w:r>
              <w:rPr>
                <w:rFonts w:ascii="宋体" w:hAnsi="宋体"/>
                <w:b w:val="0"/>
                <w:sz w:val="28"/>
              </w:rPr>
              <w:t>660305988.03</w:t>
            </w:r>
          </w:p>
        </w:tc>
        <w:tc>
          <w:tcPr>
            <w:tcW w:w="1056" w:type="dxa"/>
            <w:noWrap/>
            <w:vAlign w:val="center"/>
          </w:tcPr>
          <w:p>
            <w:pPr>
              <w:jc w:val="center"/>
            </w:pPr>
            <w:r>
              <w:rPr>
                <w:rFonts w:ascii="宋体" w:hAnsi="宋体"/>
                <w:b w:val="0"/>
                <w:sz w:val="28"/>
              </w:rPr>
              <w:t>8.28%</w:t>
            </w:r>
          </w:p>
        </w:tc>
        <w:tc>
          <w:tcPr>
            <w:tcW w:w="1581" w:type="dxa"/>
            <w:noWrap/>
            <w:vAlign w:val="center"/>
          </w:tcPr>
          <w:p>
            <w:pPr>
              <w:jc w:val="center"/>
            </w:pPr>
            <w:r>
              <w:rPr>
                <w:rFonts w:ascii="宋体" w:hAnsi="宋体"/>
                <w:b w:val="0"/>
                <w:sz w:val="28"/>
              </w:rPr>
              <w:t>理财费用</w:t>
            </w:r>
          </w:p>
        </w:tc>
        <w:tc>
          <w:tcPr>
            <w:tcW w:w="1985" w:type="dxa"/>
            <w:noWrap/>
            <w:vAlign w:val="center"/>
          </w:tcPr>
          <w:p>
            <w:pPr>
              <w:jc w:val="center"/>
            </w:pPr>
            <w:r>
              <w:rPr>
                <w:rFonts w:ascii="宋体" w:hAnsi="宋体"/>
                <w:b w:val="0"/>
                <w:sz w:val="28"/>
              </w:rPr>
              <w:t>0.03</w:t>
            </w:r>
          </w:p>
        </w:tc>
        <w:tc>
          <w:tcPr>
            <w:tcW w:w="1056" w:type="dxa"/>
            <w:noWrap/>
            <w:vAlign w:val="center"/>
          </w:tcPr>
          <w:p>
            <w:pPr>
              <w:jc w:val="center"/>
            </w:pPr>
            <w:r>
              <w:rPr>
                <w:rFonts w:ascii="宋体" w:hAnsi="宋体"/>
                <w:b w:val="0"/>
                <w:sz w:val="28"/>
              </w:rPr>
              <w:t>0.0%</w:t>
            </w:r>
          </w:p>
        </w:tc>
      </w:tr>
      <w:tr w:rsidR="00E7627E" w:rsidRPr="002A03CC" w:rsidTr="00F70155">
        <w:trPr>
          <w:trHeight w:val="270"/>
          <w:jc w:val="center"/>
        </w:trPr>
        <w:tc>
          <w:tcPr>
            <w:tcW w:w="1440" w:type="dxa"/>
            <w:noWrap/>
            <w:vAlign w:val="center"/>
          </w:tcPr>
          <w:p>
            <w:pPr>
              <w:jc w:val="center"/>
            </w:pPr>
            <w:r>
              <w:rPr>
                <w:rFonts w:ascii="宋体" w:hAnsi="宋体"/>
                <w:b w:val="0"/>
                <w:sz w:val="28"/>
              </w:rPr>
              <w:t>理财直融工具</w:t>
            </w:r>
          </w:p>
        </w:tc>
        <w:tc>
          <w:tcPr>
            <w:tcW w:w="2120" w:type="dxa"/>
            <w:noWrap/>
            <w:vAlign w:val="center"/>
          </w:tcPr>
          <w:p>
            <w:pPr>
              <w:jc w:val="center"/>
            </w:pPr>
            <w:r>
              <w:rPr>
                <w:rFonts w:ascii="宋体" w:hAnsi="宋体"/>
                <w:b w:val="0"/>
                <w:sz w:val="28"/>
              </w:rPr>
              <w:t>2.47</w:t>
            </w:r>
          </w:p>
        </w:tc>
        <w:tc>
          <w:tcPr>
            <w:tcW w:w="1056" w:type="dxa"/>
            <w:noWrap/>
            <w:vAlign w:val="center"/>
          </w:tcPr>
          <w:p>
            <w:pPr>
              <w:jc w:val="center"/>
            </w:pPr>
            <w:r>
              <w:rPr>
                <w:rFonts w:ascii="宋体" w:hAnsi="宋体"/>
                <w:b w:val="0"/>
                <w:sz w:val="28"/>
              </w:rPr>
              <w:t>0.0%</w:t>
            </w:r>
          </w:p>
        </w:tc>
        <w:tc>
          <w:tcPr>
            <w:tcW w:w="1581" w:type="dxa"/>
            <w:noWrap/>
            <w:vAlign w:val="center"/>
          </w:tcPr>
          <w:p>
            <w:pPr>
              <w:jc w:val="center"/>
            </w:pPr>
            <w:r>
              <w:rPr>
                <w:rFonts w:ascii="宋体" w:hAnsi="宋体"/>
                <w:b w:val="0"/>
                <w:sz w:val="28"/>
              </w:rPr>
              <w:t>证券清算款</w:t>
            </w:r>
          </w:p>
        </w:tc>
        <w:tc>
          <w:tcPr>
            <w:tcW w:w="1985" w:type="dxa"/>
            <w:noWrap/>
            <w:vAlign w:val="center"/>
          </w:tcPr>
          <w:p>
            <w:pPr>
              <w:jc w:val="center"/>
            </w:pPr>
            <w:r>
              <w:rPr>
                <w:rFonts w:ascii="宋体" w:hAnsi="宋体"/>
                <w:b w:val="0"/>
                <w:sz w:val="28"/>
              </w:rPr>
              <w:t>62724034.11</w:t>
            </w:r>
          </w:p>
        </w:tc>
        <w:tc>
          <w:tcPr>
            <w:tcW w:w="1056" w:type="dxa"/>
            <w:noWrap/>
            <w:vAlign w:val="center"/>
          </w:tcPr>
          <w:p>
            <w:pPr>
              <w:jc w:val="center"/>
            </w:pPr>
            <w:r>
              <w:rPr>
                <w:rFonts w:ascii="宋体" w:hAnsi="宋体"/>
                <w:b w:val="0"/>
                <w:sz w:val="28"/>
              </w:rPr>
              <w:t>6.27%</w:t>
            </w:r>
          </w:p>
        </w:tc>
      </w:tr>
      <w:tr w:rsidR="00E7627E" w:rsidRPr="002A03CC" w:rsidTr="00363A47">
        <w:trPr>
          <w:trHeight w:val="270"/>
          <w:jc w:val="center"/>
        </w:trPr>
        <w:tc>
          <w:tcPr>
            <w:tcW w:w="1440" w:type="dxa"/>
            <w:noWrap/>
            <w:vAlign w:val="center"/>
          </w:tcPr>
          <w:p>
            <w:pPr>
              <w:jc w:val="center"/>
            </w:pPr>
            <w:r>
              <w:rPr>
                <w:rFonts w:ascii="宋体" w:hAnsi="宋体"/>
                <w:b w:val="0"/>
                <w:sz w:val="28"/>
              </w:rPr>
              <w:t>质押式回购</w:t>
            </w:r>
          </w:p>
        </w:tc>
        <w:tc>
          <w:tcPr>
            <w:tcW w:w="2120" w:type="dxa"/>
            <w:noWrap/>
            <w:vAlign w:val="center"/>
          </w:tcPr>
          <w:p>
            <w:pPr>
              <w:jc w:val="center"/>
            </w:pPr>
            <w:r>
              <w:rPr>
                <w:rFonts w:ascii="宋体" w:hAnsi="宋体"/>
                <w:b w:val="0"/>
                <w:sz w:val="28"/>
              </w:rPr>
              <w:t>2.48</w:t>
            </w:r>
          </w:p>
        </w:tc>
        <w:tc>
          <w:tcPr>
            <w:tcW w:w="1056" w:type="dxa"/>
            <w:noWrap/>
            <w:vAlign w:val="center"/>
          </w:tcPr>
          <w:p>
            <w:pPr>
              <w:jc w:val="center"/>
            </w:pPr>
            <w:r>
              <w:rPr>
                <w:rFonts w:ascii="宋体" w:hAnsi="宋体"/>
                <w:b w:val="0"/>
                <w:sz w:val="28"/>
              </w:rPr>
              <w:t>0.0%</w:t>
            </w:r>
          </w:p>
        </w:tc>
        <w:tc>
          <w:tcPr>
            <w:tcW w:w="1581" w:type="dxa"/>
            <w:noWrap/>
            <w:vAlign w:val="center"/>
          </w:tcPr>
          <w:p>
            <w:pPr>
              <w:jc w:val="center"/>
            </w:pPr>
            <w:r>
              <w:rPr>
                <w:rFonts w:ascii="宋体" w:hAnsi="宋体"/>
                <w:b w:val="0"/>
                <w:sz w:val="28"/>
              </w:rPr>
              <w:t>质押式回购</w:t>
            </w:r>
          </w:p>
        </w:tc>
        <w:tc>
          <w:tcPr>
            <w:tcW w:w="1985" w:type="dxa"/>
            <w:noWrap/>
            <w:vAlign w:val="center"/>
          </w:tcPr>
          <w:p>
            <w:pPr>
              <w:jc w:val="center"/>
            </w:pPr>
            <w:r>
              <w:rPr>
                <w:rFonts w:ascii="宋体" w:hAnsi="宋体"/>
                <w:b w:val="0"/>
                <w:sz w:val="28"/>
              </w:rPr>
              <w:t>5.16</w:t>
            </w:r>
          </w:p>
        </w:tc>
        <w:tc>
          <w:tcPr>
            <w:tcW w:w="1056" w:type="dxa"/>
            <w:noWrap/>
            <w:vAlign w:val="center"/>
          </w:tcPr>
          <w:p>
            <w:pPr>
              <w:jc w:val="center"/>
            </w:pPr>
            <w:r>
              <w:rPr>
                <w:rFonts w:ascii="宋体" w:hAnsi="宋体"/>
                <w:b w:val="0"/>
                <w:sz w:val="28"/>
              </w:rPr>
              <w:t>0.0%</w:t>
            </w:r>
          </w:p>
        </w:tc>
      </w:tr>
      <w:tr w:rsidR="00E7627E" w:rsidRPr="002A03CC" w:rsidTr="00363A47">
        <w:trPr>
          <w:trHeight w:val="270"/>
          <w:jc w:val="center"/>
        </w:trPr>
        <w:tc>
          <w:tcPr>
            <w:tcW w:w="1440" w:type="dxa"/>
            <w:noWrap/>
            <w:vAlign w:val="center"/>
          </w:tcPr>
          <w:p>
            <w:pPr>
              <w:jc w:val="center"/>
            </w:pPr>
            <w:r>
              <w:rPr>
                <w:rFonts w:ascii="宋体" w:hAnsi="宋体"/>
                <w:b w:val="0"/>
                <w:sz w:val="28"/>
              </w:rPr>
              <w:t>资产证券化债券</w:t>
            </w:r>
          </w:p>
        </w:tc>
        <w:tc>
          <w:tcPr>
            <w:tcW w:w="2120" w:type="dxa"/>
            <w:noWrap/>
            <w:vAlign w:val="center"/>
          </w:tcPr>
          <w:p>
            <w:pPr>
              <w:jc w:val="center"/>
            </w:pPr>
            <w:r>
              <w:rPr>
                <w:rFonts w:ascii="宋体" w:hAnsi="宋体"/>
                <w:b w:val="0"/>
                <w:sz w:val="28"/>
              </w:rPr>
              <w:t>2.85</w:t>
            </w:r>
          </w:p>
        </w:tc>
        <w:tc>
          <w:tcPr>
            <w:tcW w:w="1056" w:type="dxa"/>
            <w:noWrap/>
            <w:vAlign w:val="center"/>
          </w:tcPr>
          <w:p>
            <w:pPr>
              <w:jc w:val="center"/>
            </w:pPr>
            <w:r>
              <w:rPr>
                <w:rFonts w:ascii="宋体" w:hAnsi="宋体"/>
                <w:b w:val="0"/>
                <w:sz w:val="28"/>
              </w:rPr>
              <w:t>0.0%</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E27F60">
        <w:trPr>
          <w:trHeight w:val="270"/>
          <w:jc w:val="center"/>
        </w:trPr>
        <w:tc>
          <w:tcPr>
            <w:tcW w:w="1440" w:type="dxa"/>
            <w:noWrap/>
          </w:tcPr>
          <w:p>
            <w:pPr>
              <w:jc w:val="center"/>
            </w:pPr>
            <w:r>
              <w:rPr>
                <w:rFonts w:ascii="宋体" w:hAnsi="宋体"/>
                <w:b w:val="0"/>
                <w:sz w:val="28"/>
              </w:rPr>
              <w:t>银行存款</w:t>
            </w:r>
          </w:p>
        </w:tc>
        <w:tc>
          <w:tcPr>
            <w:tcW w:w="2120" w:type="dxa"/>
            <w:noWrap/>
            <w:vAlign w:val="center"/>
          </w:tcPr>
          <w:p>
            <w:pPr>
              <w:jc w:val="center"/>
            </w:pPr>
            <w:r>
              <w:rPr>
                <w:rFonts w:ascii="宋体" w:hAnsi="宋体"/>
                <w:b w:val="0"/>
                <w:sz w:val="28"/>
              </w:rPr>
              <w:t>43963154.64</w:t>
            </w:r>
          </w:p>
        </w:tc>
        <w:tc>
          <w:tcPr>
            <w:tcW w:w="1056" w:type="dxa"/>
            <w:noWrap/>
            <w:vAlign w:val="center"/>
          </w:tcPr>
          <w:p>
            <w:pPr>
              <w:jc w:val="center"/>
            </w:pPr>
            <w:r>
              <w:rPr>
                <w:rFonts w:ascii="宋体" w:hAnsi="宋体"/>
                <w:b w:val="0"/>
                <w:sz w:val="28"/>
              </w:rPr>
              <w:t>0.55%</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A97A80" w:rsidRPr="002A03CC" w:rsidTr="00505565">
        <w:trPr>
          <w:trHeight w:val="270"/>
          <w:jc w:val="center"/>
        </w:trPr>
        <w:tc>
          <w:tcPr>
            <w:tcW w:w="1440"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资产合计</w:t>
            </w:r>
          </w:p>
        </w:tc>
        <w:tc>
          <w:tcPr>
            <w:tcW w:w="2120" w:type="dxa"/>
            <w:tcBorders>
              <w:bottom w:val="single" w:sz="4" w:space="0" w:color="auto"/>
            </w:tcBorders>
            <w:noWrap/>
            <w:vAlign w:val="center"/>
            <w:hideMark/>
          </w:tcPr>
          <w:p>
            <w:pPr>
              <w:jc w:val="center"/>
            </w:pPr>
            <w:r>
              <w:rPr>
                <w:rFonts w:ascii="宋体" w:hAnsi="宋体"/>
                <w:b/>
                <w:sz w:val="28"/>
              </w:rPr>
              <w:t>7970216994.69</w:t>
            </w:r>
          </w:p>
        </w:tc>
        <w:tc>
          <w:tcPr>
            <w:tcW w:w="1056"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c>
          <w:tcPr>
            <w:tcW w:w="1581"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负债合计</w:t>
            </w:r>
          </w:p>
        </w:tc>
        <w:tc>
          <w:tcPr>
            <w:tcW w:w="1985" w:type="dxa"/>
            <w:tcBorders>
              <w:bottom w:val="single" w:sz="4" w:space="0" w:color="auto"/>
            </w:tcBorders>
            <w:noWrap/>
            <w:vAlign w:val="center"/>
            <w:hideMark/>
          </w:tcPr>
          <w:p>
            <w:pPr>
              <w:jc w:val="center"/>
            </w:pPr>
            <w:r>
              <w:rPr>
                <w:rFonts w:ascii="宋体" w:hAnsi="宋体"/>
                <w:b/>
                <w:sz w:val="28"/>
              </w:rPr>
              <w:t>999951913.99</w:t>
            </w:r>
          </w:p>
        </w:tc>
        <w:tc>
          <w:tcPr>
            <w:tcW w:w="1056" w:type="dxa"/>
            <w:tcBorders>
              <w:bottom w:val="single" w:sz="4" w:space="0" w:color="auto"/>
            </w:tcBorders>
            <w:noWrap/>
            <w:vAlign w:val="center"/>
            <w:hideMark/>
          </w:tcPr>
          <w:p w:rsidR="00A97A80" w:rsidRPr="002A03CC" w:rsidRDefault="00A97A80" w:rsidP="008B0E56">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r>
      <w:tr w:rsidR="00A97A80" w:rsidRPr="002A03CC" w:rsidTr="00F15BE1">
        <w:trPr>
          <w:trHeight w:val="270"/>
          <w:jc w:val="center"/>
        </w:trPr>
        <w:tc>
          <w:tcPr>
            <w:tcW w:w="9238" w:type="dxa"/>
            <w:gridSpan w:val="6"/>
            <w:tcBorders>
              <w:left w:val="nil"/>
              <w:bottom w:val="nil"/>
              <w:right w:val="nil"/>
            </w:tcBorders>
            <w:noWrap/>
            <w:vAlign w:val="center"/>
          </w:tcPr>
          <w:p w:rsidR="00A97A80" w:rsidRPr="002A03CC" w:rsidRDefault="00A97A80" w:rsidP="0056016C">
            <w:pPr>
              <w:widowControl/>
              <w:rPr>
                <w:rFonts w:ascii="宋体" w:eastAsia="宋体" w:hAnsi="宋体" w:cs="宋体"/>
                <w:color w:val="000000"/>
                <w:kern w:val="0"/>
                <w:sz w:val="22"/>
              </w:rPr>
            </w:pPr>
            <w:r w:rsidRPr="002A03CC">
              <w:rPr>
                <w:rFonts w:ascii="仿宋" w:eastAsia="仿宋" w:hAnsi="仿宋" w:cs="宋体" w:hint="eastAsia"/>
                <w:color w:val="000000"/>
                <w:kern w:val="0"/>
                <w:sz w:val="24"/>
                <w:szCs w:val="24"/>
              </w:rPr>
              <w:t>数据来源：理财资产管理系统、兆</w:t>
            </w:r>
            <w:proofErr w:type="gramStart"/>
            <w:r w:rsidRPr="002A03CC">
              <w:rPr>
                <w:rFonts w:ascii="仿宋" w:eastAsia="仿宋" w:hAnsi="仿宋" w:cs="宋体" w:hint="eastAsia"/>
                <w:color w:val="000000"/>
                <w:kern w:val="0"/>
                <w:sz w:val="24"/>
                <w:szCs w:val="24"/>
              </w:rPr>
              <w:t>尹</w:t>
            </w:r>
            <w:proofErr w:type="gramEnd"/>
            <w:r w:rsidRPr="002A03CC">
              <w:rPr>
                <w:rFonts w:ascii="仿宋" w:eastAsia="仿宋" w:hAnsi="仿宋" w:cs="宋体" w:hint="eastAsia"/>
                <w:color w:val="000000"/>
                <w:kern w:val="0"/>
                <w:sz w:val="24"/>
                <w:szCs w:val="24"/>
              </w:rPr>
              <w:t>系统，余额采用系统中市值数据计算，与会计核算数据口径上存在的差异</w:t>
            </w:r>
          </w:p>
        </w:tc>
      </w:tr>
    </w:tbl>
    <w:p w:rsidR="004411DA" w:rsidRPr="00D57643" w:rsidRDefault="00432F41"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二、交易</w:t>
      </w:r>
      <w:r w:rsidR="004411DA" w:rsidRPr="00D57643">
        <w:rPr>
          <w:rFonts w:ascii="仿宋_GB2312" w:eastAsia="仿宋_GB2312" w:hAnsi="Calibri" w:cs="Times New Roman" w:hint="eastAsia"/>
          <w:b/>
          <w:sz w:val="32"/>
          <w:szCs w:val="32"/>
        </w:rPr>
        <w:t>概况</w:t>
      </w:r>
    </w:p>
    <w:p w:rsidR="008E06F4" w:rsidRPr="00D57643" w:rsidRDefault="00131002"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w:t>
      </w:r>
      <w:r w:rsidR="00432F41" w:rsidRPr="00D57643">
        <w:rPr>
          <w:rFonts w:ascii="仿宋_GB2312" w:eastAsia="仿宋_GB2312" w:hAnsi="Calibri" w:cs="Times New Roman" w:hint="eastAsia"/>
          <w:b/>
          <w:sz w:val="32"/>
          <w:szCs w:val="32"/>
        </w:rPr>
        <w:t>一</w:t>
      </w:r>
      <w:r w:rsidRPr="00D57643">
        <w:rPr>
          <w:rFonts w:ascii="仿宋_GB2312" w:eastAsia="仿宋_GB2312" w:hAnsi="Calibri" w:cs="Times New Roman" w:hint="eastAsia"/>
          <w:b/>
          <w:sz w:val="32"/>
          <w:szCs w:val="32"/>
        </w:rPr>
        <w:t>）</w:t>
      </w:r>
      <w:r w:rsidR="002C4571">
        <w:rPr>
          <w:rFonts w:ascii="仿宋_GB2312" w:eastAsia="仿宋_GB2312" w:hAnsi="Calibri" w:cs="Times New Roman" w:hint="eastAsia"/>
          <w:b/>
          <w:sz w:val="32"/>
          <w:szCs w:val="32"/>
        </w:rPr>
        <w:t>自营</w:t>
      </w:r>
      <w:r w:rsidR="008E06F4" w:rsidRPr="00D57643">
        <w:rPr>
          <w:rFonts w:ascii="仿宋_GB2312" w:eastAsia="仿宋_GB2312" w:hAnsi="Calibri" w:cs="Times New Roman" w:hint="eastAsia"/>
          <w:b/>
          <w:sz w:val="32"/>
          <w:szCs w:val="32"/>
        </w:rPr>
        <w:t>业务</w:t>
      </w:r>
    </w:p>
    <w:p w:rsidR="004411DA" w:rsidRPr="00D57643" w:rsidRDefault="004411DA"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1.按业务类别划分</w:t>
      </w:r>
    </w:p>
    <w:p w:rsidR="00B13BEC" w:rsidRPr="00D57643" w:rsidRDefault="00857F5F" w:rsidP="00B13BEC">
      <w:pPr>
        <w:wordWrap w:val="0"/>
        <w:ind w:firstLineChars="200" w:firstLine="480"/>
        <w:jc w:val="right"/>
        <w:rPr>
          <w:rFonts w:ascii="仿宋_GB2312" w:eastAsia="仿宋_GB2312" w:hAnsi="Calibri" w:cs="Times New Roman"/>
          <w:b/>
          <w:sz w:val="32"/>
          <w:szCs w:val="32"/>
        </w:rPr>
      </w:pPr>
      <w:r w:rsidRPr="00D57643">
        <w:rPr>
          <w:rFonts w:ascii="仿宋_GB2312" w:eastAsia="仿宋_GB2312" w:hAnsi="Calibri" w:cs="Times New Roman" w:hint="eastAsia"/>
          <w:sz w:val="24"/>
          <w:szCs w:val="32"/>
        </w:rPr>
        <w:t>单位：万</w:t>
      </w:r>
      <w:r w:rsidR="00B13BEC" w:rsidRPr="00D57643">
        <w:rPr>
          <w:rFonts w:ascii="仿宋_GB2312" w:eastAsia="仿宋_GB2312" w:hAnsi="Calibri" w:cs="Times New Roman" w:hint="eastAsia"/>
          <w:sz w:val="24"/>
          <w:szCs w:val="32"/>
        </w:rPr>
        <w:t>元</w:t>
      </w:r>
    </w:p>
    <w:tbl>
      <w:tblPr>
        <w:tblStyle w:val="a3"/>
        <w:tblW w:w="9298" w:type="dxa"/>
        <w:jc w:val="center"/>
        <w:tblLayout w:type="fixed"/>
        <w:tblLook w:val="04A0" w:firstRow="1" w:lastRow="0" w:firstColumn="1" w:lastColumn="0" w:noHBand="0" w:noVBand="1"/>
      </w:tblPr>
      <w:tblGrid>
        <w:gridCol w:w="1341"/>
        <w:gridCol w:w="1056"/>
        <w:gridCol w:w="830"/>
        <w:gridCol w:w="2089"/>
        <w:gridCol w:w="1984"/>
        <w:gridCol w:w="1998"/>
      </w:tblGrid>
      <w:tr w:rsidR="002B1799" w:rsidRPr="002E2174" w:rsidTr="00C13DED">
        <w:trPr>
          <w:trHeight w:val="288"/>
          <w:jc w:val="center"/>
        </w:trPr>
        <w:tc>
          <w:tcPr>
            <w:tcW w:w="1341"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业务类别</w:t>
            </w:r>
          </w:p>
        </w:tc>
        <w:tc>
          <w:tcPr>
            <w:tcW w:w="1056"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方向</w:t>
            </w:r>
          </w:p>
        </w:tc>
        <w:tc>
          <w:tcPr>
            <w:tcW w:w="830"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笔数</w:t>
            </w:r>
          </w:p>
        </w:tc>
        <w:tc>
          <w:tcPr>
            <w:tcW w:w="2089"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金额</w:t>
            </w:r>
          </w:p>
        </w:tc>
        <w:tc>
          <w:tcPr>
            <w:tcW w:w="1984"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最大单笔金额</w:t>
            </w:r>
          </w:p>
        </w:tc>
        <w:tc>
          <w:tcPr>
            <w:tcW w:w="1998"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最小单笔金额</w:t>
            </w:r>
          </w:p>
        </w:tc>
      </w:tr>
      <w:tr w:rsidR="00BF5498" w:rsidRPr="002E2174" w:rsidTr="00C13DED">
        <w:trPr>
          <w:trHeight w:val="288"/>
          <w:jc w:val="center"/>
        </w:trPr>
        <w:tc>
          <w:tcPr>
            <w:tcW w:w="1341" w:type="dxa"/>
            <w:noWrap/>
            <w:vAlign w:val="center"/>
          </w:tcPr>
          <w:p w:rsidR="00BF5498" w:rsidRPr="002E2174" w:rsidRDefault="00BF5498"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同业拆借</w:t>
            </w:r>
          </w:p>
        </w:tc>
        <w:tc>
          <w:tcPr>
            <w:tcW w:w="1056" w:type="dxa"/>
            <w:noWrap/>
            <w:vAlign w:val="center"/>
          </w:tcPr>
          <w:p w:rsidR="00BF5498" w:rsidRPr="002E2174" w:rsidRDefault="00BF5498"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拆出</w:t>
            </w:r>
          </w:p>
        </w:tc>
        <w:tc>
          <w:tcPr>
            <w:tcW w:w="830"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p>
        </w:tc>
        <w:tc>
          <w:tcPr>
            <w:tcW w:w="2089"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90</w:t>
            </w:r>
            <w:r w:rsidR="00BF5498" w:rsidRPr="002E2174">
              <w:rPr>
                <w:rFonts w:asciiTheme="minorEastAsia" w:hAnsiTheme="minorEastAsia" w:cs="Times New Roman" w:hint="eastAsia"/>
                <w:sz w:val="28"/>
                <w:szCs w:val="28"/>
              </w:rPr>
              <w:t>,000.00</w:t>
            </w:r>
          </w:p>
        </w:tc>
        <w:tc>
          <w:tcPr>
            <w:tcW w:w="1984" w:type="dxa"/>
            <w:vAlign w:val="center"/>
          </w:tcPr>
          <w:p w:rsidR="00BF5498" w:rsidRPr="002E2174" w:rsidRDefault="0011006C"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r w:rsidR="00BF5498" w:rsidRPr="002E2174">
              <w:rPr>
                <w:rFonts w:asciiTheme="minorEastAsia" w:hAnsiTheme="minorEastAsia" w:cs="Times New Roman" w:hint="eastAsia"/>
                <w:sz w:val="28"/>
                <w:szCs w:val="28"/>
              </w:rPr>
              <w:t>0,000.00</w:t>
            </w:r>
          </w:p>
        </w:tc>
        <w:tc>
          <w:tcPr>
            <w:tcW w:w="1998"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10</w:t>
            </w:r>
            <w:r w:rsidR="00BF5498" w:rsidRPr="002E2174">
              <w:rPr>
                <w:rFonts w:asciiTheme="minorEastAsia" w:hAnsiTheme="minorEastAsia" w:cs="Times New Roman" w:hint="eastAsia"/>
                <w:sz w:val="28"/>
                <w:szCs w:val="28"/>
              </w:rPr>
              <w:t>,000.00</w:t>
            </w: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AF0C52" w:rsidRPr="000317CB" w:rsidTr="00C13DED">
        <w:trPr>
          <w:trHeight w:val="288"/>
          <w:jc w:val="center"/>
        </w:trPr>
        <w:tc>
          <w:tcPr>
            <w:tcW w:w="2397" w:type="dxa"/>
            <w:gridSpan w:val="2"/>
            <w:vAlign w:val="center"/>
          </w:tcPr>
          <w:p w:rsidR="00AF0C52" w:rsidRPr="000317CB" w:rsidRDefault="00AF0C52"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合计</w:t>
            </w:r>
          </w:p>
        </w:tc>
        <w:tc>
          <w:tcPr>
            <w:tcW w:w="830"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089"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98"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50" w:firstLine="600"/>
        <w:rPr>
          <w:rFonts w:ascii="仿宋_GB2312" w:eastAsia="仿宋_GB2312" w:hAnsi="Calibri" w:cs="Times New Roman"/>
          <w:sz w:val="24"/>
          <w:szCs w:val="32"/>
        </w:rPr>
      </w:pPr>
      <w:r w:rsidRPr="000317CB">
        <w:rPr>
          <w:rFonts w:ascii="仿宋_GB2312" w:eastAsia="仿宋_GB2312" w:hAnsi="Calibri" w:cs="Times New Roman" w:hint="eastAsia"/>
          <w:sz w:val="24"/>
          <w:szCs w:val="32"/>
        </w:rPr>
        <w:lastRenderedPageBreak/>
        <w:t>数据来源：COMSTAR系统</w:t>
      </w:r>
    </w:p>
    <w:p w:rsidR="004411DA" w:rsidRPr="000317CB" w:rsidRDefault="004411DA" w:rsidP="00F42EAF">
      <w:pPr>
        <w:spacing w:line="60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2.按</w:t>
      </w:r>
      <w:proofErr w:type="gramStart"/>
      <w:r w:rsidRPr="000317CB">
        <w:rPr>
          <w:rFonts w:ascii="仿宋_GB2312" w:eastAsia="仿宋_GB2312" w:hAnsi="Calibri" w:cs="Times New Roman" w:hint="eastAsia"/>
          <w:b/>
          <w:sz w:val="32"/>
          <w:szCs w:val="32"/>
        </w:rPr>
        <w:t>投组划分</w:t>
      </w:r>
      <w:proofErr w:type="gramEnd"/>
    </w:p>
    <w:p w:rsidR="00B13BEC" w:rsidRPr="000317CB" w:rsidRDefault="009A42D9" w:rsidP="00031324">
      <w:pPr>
        <w:wordWrap w:val="0"/>
        <w:adjustRightInd w:val="0"/>
        <w:snapToGrid w:val="0"/>
        <w:ind w:firstLineChars="200" w:firstLine="480"/>
        <w:jc w:val="right"/>
        <w:rPr>
          <w:rFonts w:ascii="仿宋_GB2312" w:eastAsia="仿宋_GB2312" w:hAnsi="Calibri" w:cs="Times New Roman"/>
          <w:b/>
          <w:sz w:val="32"/>
          <w:szCs w:val="32"/>
        </w:rPr>
      </w:pPr>
      <w:r w:rsidRPr="000317CB">
        <w:rPr>
          <w:rFonts w:ascii="仿宋_GB2312" w:eastAsia="仿宋_GB2312" w:hAnsi="Calibri" w:cs="Times New Roman" w:hint="eastAsia"/>
          <w:sz w:val="24"/>
          <w:szCs w:val="32"/>
        </w:rPr>
        <w:t>单位：万</w:t>
      </w:r>
      <w:r w:rsidR="00B13BEC" w:rsidRPr="000317CB">
        <w:rPr>
          <w:rFonts w:ascii="仿宋_GB2312" w:eastAsia="仿宋_GB2312" w:hAnsi="Calibri" w:cs="Times New Roman" w:hint="eastAsia"/>
          <w:sz w:val="24"/>
          <w:szCs w:val="32"/>
        </w:rPr>
        <w:t>元</w:t>
      </w:r>
    </w:p>
    <w:tbl>
      <w:tblPr>
        <w:tblStyle w:val="a3"/>
        <w:tblW w:w="11623" w:type="dxa"/>
        <w:jc w:val="center"/>
        <w:tblInd w:w="-837" w:type="dxa"/>
        <w:tblLayout w:type="fixed"/>
        <w:tblLook w:val="04A0" w:firstRow="1" w:lastRow="0" w:firstColumn="1" w:lastColumn="0" w:noHBand="0" w:noVBand="1"/>
      </w:tblPr>
      <w:tblGrid>
        <w:gridCol w:w="3067"/>
        <w:gridCol w:w="1374"/>
        <w:gridCol w:w="992"/>
        <w:gridCol w:w="2221"/>
        <w:gridCol w:w="1984"/>
        <w:gridCol w:w="1985"/>
      </w:tblGrid>
      <w:tr w:rsidR="002B1799" w:rsidRPr="000317CB" w:rsidTr="00B714F8">
        <w:trPr>
          <w:trHeight w:val="288"/>
          <w:jc w:val="center"/>
        </w:trPr>
        <w:tc>
          <w:tcPr>
            <w:tcW w:w="3067"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proofErr w:type="gramStart"/>
            <w:r w:rsidRPr="000317CB">
              <w:rPr>
                <w:rFonts w:ascii="宋体" w:eastAsia="宋体" w:hAnsi="宋体" w:cs="宋体" w:hint="eastAsia"/>
                <w:b/>
                <w:color w:val="000000"/>
                <w:kern w:val="0"/>
                <w:sz w:val="28"/>
              </w:rPr>
              <w:t>投组</w:t>
            </w:r>
            <w:proofErr w:type="gramEnd"/>
          </w:p>
        </w:tc>
        <w:tc>
          <w:tcPr>
            <w:tcW w:w="137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方向</w:t>
            </w:r>
          </w:p>
        </w:tc>
        <w:tc>
          <w:tcPr>
            <w:tcW w:w="992"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笔数</w:t>
            </w:r>
          </w:p>
        </w:tc>
        <w:tc>
          <w:tcPr>
            <w:tcW w:w="2221" w:type="dxa"/>
          </w:tcPr>
          <w:p w:rsidR="002B1799" w:rsidRPr="000317CB" w:rsidRDefault="004F0530"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金额</w:t>
            </w:r>
          </w:p>
        </w:tc>
        <w:tc>
          <w:tcPr>
            <w:tcW w:w="198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最大单笔金额</w:t>
            </w:r>
          </w:p>
        </w:tc>
        <w:tc>
          <w:tcPr>
            <w:tcW w:w="1985"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最小单笔金额</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r>
      <w:tr w:rsidR="000317CB" w:rsidRPr="000317CB" w:rsidTr="00B714F8">
        <w:trPr>
          <w:trHeight w:val="288"/>
          <w:jc w:val="center"/>
        </w:trPr>
        <w:tc>
          <w:tcPr>
            <w:tcW w:w="3067"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p>
        </w:tc>
        <w:tc>
          <w:tcPr>
            <w:tcW w:w="1374"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sz w:val="28"/>
                <w:szCs w:val="28"/>
              </w:rPr>
            </w:pP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p>
        </w:tc>
      </w:tr>
      <w:tr w:rsidR="000317CB" w:rsidRPr="000317CB" w:rsidTr="00B714F8">
        <w:trPr>
          <w:trHeight w:val="288"/>
          <w:jc w:val="center"/>
        </w:trPr>
        <w:tc>
          <w:tcPr>
            <w:tcW w:w="4441" w:type="dxa"/>
            <w:gridSpan w:val="2"/>
            <w:noWrap/>
            <w:vAlign w:val="center"/>
          </w:tcPr>
          <w:p w:rsidR="000317CB" w:rsidRPr="000317CB" w:rsidRDefault="000317CB" w:rsidP="00524658">
            <w:pPr>
              <w:widowControl/>
              <w:adjustRightInd w:val="0"/>
              <w:snapToGrid w:val="0"/>
              <w:jc w:val="center"/>
              <w:rPr>
                <w:rFonts w:asciiTheme="minorEastAsia" w:hAnsiTheme="minorEastAsia" w:cs="宋体"/>
                <w:b/>
                <w:color w:val="000000"/>
                <w:kern w:val="0"/>
                <w:sz w:val="28"/>
                <w:szCs w:val="28"/>
              </w:rPr>
            </w:pPr>
            <w:r w:rsidRPr="000317CB">
              <w:rPr>
                <w:rFonts w:asciiTheme="minorEastAsia" w:hAnsiTheme="minorEastAsia" w:cs="宋体" w:hint="eastAsia"/>
                <w:b/>
                <w:color w:val="000000"/>
                <w:kern w:val="0"/>
                <w:sz w:val="28"/>
                <w:szCs w:val="28"/>
              </w:rPr>
              <w:t>合计</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00" w:firstLine="48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2A5322" w:rsidRPr="000317CB" w:rsidRDefault="002A5322" w:rsidP="002A5322">
      <w:pPr>
        <w:spacing w:line="48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（二）理财业务</w:t>
      </w:r>
    </w:p>
    <w:p w:rsidR="00432F41" w:rsidRPr="007C6736" w:rsidRDefault="00432F41" w:rsidP="00432F41">
      <w:pPr>
        <w:spacing w:line="520" w:lineRule="exact"/>
        <w:ind w:firstLineChars="200" w:firstLine="643"/>
        <w:rPr>
          <w:rFonts w:ascii="仿宋_GB2312" w:eastAsia="仿宋_GB2312" w:hAnsi="Calibri" w:cs="Times New Roman"/>
          <w:b/>
          <w:sz w:val="32"/>
          <w:szCs w:val="32"/>
        </w:rPr>
      </w:pPr>
      <w:r w:rsidRPr="007C6736">
        <w:rPr>
          <w:rFonts w:ascii="仿宋_GB2312" w:eastAsia="仿宋_GB2312" w:hAnsi="Calibri" w:cs="Times New Roman" w:hint="eastAsia"/>
          <w:b/>
          <w:sz w:val="32"/>
          <w:szCs w:val="32"/>
        </w:rPr>
        <w:t>1.按业务类别划分</w:t>
      </w:r>
    </w:p>
    <w:p w:rsidR="00432F41" w:rsidRPr="007C6736" w:rsidRDefault="00432F41" w:rsidP="00432F41">
      <w:pPr>
        <w:wordWrap w:val="0"/>
        <w:ind w:firstLineChars="200" w:firstLine="480"/>
        <w:jc w:val="right"/>
        <w:rPr>
          <w:rFonts w:ascii="仿宋_GB2312" w:eastAsia="仿宋_GB2312" w:hAnsi="Calibri" w:cs="Times New Roman"/>
          <w:sz w:val="24"/>
          <w:szCs w:val="32"/>
        </w:rPr>
      </w:pPr>
      <w:r w:rsidRPr="007C6736">
        <w:rPr>
          <w:rFonts w:ascii="仿宋_GB2312" w:eastAsia="仿宋_GB2312" w:hAnsi="Calibri" w:cs="Times New Roman" w:hint="eastAsia"/>
          <w:sz w:val="24"/>
          <w:szCs w:val="32"/>
        </w:rPr>
        <w:t>单位：万元</w:t>
      </w:r>
    </w:p>
    <w:tbl>
      <w:tblPr>
        <w:tblStyle w:val="a3"/>
        <w:tblW w:w="9374" w:type="dxa"/>
        <w:jc w:val="center"/>
        <w:tblInd w:w="35" w:type="dxa"/>
        <w:tblLayout w:type="fixed"/>
        <w:tblLook w:val="04A0" w:firstRow="1" w:lastRow="0" w:firstColumn="1" w:lastColumn="0" w:noHBand="0" w:noVBand="1"/>
      </w:tblPr>
      <w:tblGrid>
        <w:gridCol w:w="1419"/>
        <w:gridCol w:w="1134"/>
        <w:gridCol w:w="850"/>
        <w:gridCol w:w="2002"/>
        <w:gridCol w:w="1984"/>
        <w:gridCol w:w="1985"/>
      </w:tblGrid>
      <w:tr w:rsidR="00432F41" w:rsidRPr="007C6736" w:rsidTr="00BC6EA4">
        <w:trPr>
          <w:trHeight w:val="288"/>
          <w:jc w:val="center"/>
        </w:trPr>
        <w:tc>
          <w:tcPr>
            <w:tcW w:w="1419"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业务类别</w:t>
            </w:r>
          </w:p>
        </w:tc>
        <w:tc>
          <w:tcPr>
            <w:tcW w:w="1134"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方向</w:t>
            </w:r>
          </w:p>
        </w:tc>
        <w:tc>
          <w:tcPr>
            <w:tcW w:w="850"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笔数</w:t>
            </w:r>
          </w:p>
        </w:tc>
        <w:tc>
          <w:tcPr>
            <w:tcW w:w="2002"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金额</w:t>
            </w:r>
          </w:p>
        </w:tc>
        <w:tc>
          <w:tcPr>
            <w:tcW w:w="1984"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最大单笔金额</w:t>
            </w:r>
          </w:p>
        </w:tc>
        <w:tc>
          <w:tcPr>
            <w:tcW w:w="1985"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最小单笔金额</w:t>
            </w: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0F3526" w:rsidRPr="000F3526" w:rsidTr="00BC6EA4">
        <w:trPr>
          <w:trHeight w:val="288"/>
          <w:jc w:val="center"/>
        </w:trPr>
        <w:tc>
          <w:tcPr>
            <w:tcW w:w="2553" w:type="dxa"/>
            <w:gridSpan w:val="2"/>
            <w:vAlign w:val="center"/>
          </w:tcPr>
          <w:p w:rsidR="000F3526" w:rsidRPr="000F3526" w:rsidRDefault="000F3526" w:rsidP="001B5773">
            <w:pPr>
              <w:widowControl/>
              <w:adjustRightInd w:val="0"/>
              <w:snapToGrid w:val="0"/>
              <w:jc w:val="center"/>
              <w:rPr>
                <w:rFonts w:ascii="宋体" w:eastAsia="宋体" w:hAnsi="宋体" w:cs="宋体"/>
                <w:b/>
                <w:color w:val="000000"/>
                <w:kern w:val="0"/>
                <w:sz w:val="28"/>
              </w:rPr>
            </w:pPr>
            <w:r w:rsidRPr="000F3526">
              <w:rPr>
                <w:rFonts w:ascii="宋体" w:eastAsia="宋体" w:hAnsi="宋体" w:cs="宋体" w:hint="eastAsia"/>
                <w:b/>
                <w:color w:val="000000"/>
                <w:kern w:val="0"/>
                <w:sz w:val="28"/>
              </w:rPr>
              <w:t>合计</w:t>
            </w:r>
          </w:p>
        </w:tc>
        <w:tc>
          <w:tcPr>
            <w:tcW w:w="850"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36</w:t>
            </w:r>
          </w:p>
        </w:tc>
        <w:tc>
          <w:tcPr>
            <w:tcW w:w="2002"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162,133.69</w:t>
            </w:r>
          </w:p>
        </w:tc>
        <w:tc>
          <w:tcPr>
            <w:tcW w:w="1984"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10,000.00</w:t>
            </w:r>
          </w:p>
        </w:tc>
        <w:tc>
          <w:tcPr>
            <w:tcW w:w="1985"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610.00</w:t>
            </w:r>
          </w:p>
        </w:tc>
      </w:tr>
    </w:tbl>
    <w:p w:rsidR="00432F41" w:rsidRPr="000F3526" w:rsidRDefault="00432F41" w:rsidP="00432F41">
      <w:pPr>
        <w:adjustRightInd w:val="0"/>
        <w:snapToGrid w:val="0"/>
        <w:ind w:firstLineChars="250" w:firstLine="600"/>
        <w:rPr>
          <w:rFonts w:ascii="仿宋_GB2312" w:eastAsia="仿宋_GB2312" w:hAnsi="Calibri" w:cs="Times New Roman"/>
          <w:sz w:val="24"/>
          <w:szCs w:val="32"/>
        </w:rPr>
      </w:pPr>
      <w:r w:rsidRPr="000F3526">
        <w:rPr>
          <w:rFonts w:ascii="仿宋_GB2312" w:eastAsia="仿宋_GB2312" w:hAnsi="Calibri" w:cs="Times New Roman" w:hint="eastAsia"/>
          <w:sz w:val="24"/>
          <w:szCs w:val="32"/>
        </w:rPr>
        <w:t>数据来源：理财资产管理系统</w:t>
      </w:r>
      <w:r w:rsidR="001A717C" w:rsidRPr="000F3526">
        <w:rPr>
          <w:rFonts w:ascii="仿宋" w:eastAsia="仿宋" w:hAnsi="仿宋" w:cs="宋体" w:hint="eastAsia"/>
          <w:color w:val="000000"/>
          <w:kern w:val="0"/>
          <w:sz w:val="24"/>
          <w:szCs w:val="24"/>
        </w:rPr>
        <w:t>、兆</w:t>
      </w:r>
      <w:proofErr w:type="gramStart"/>
      <w:r w:rsidR="001A717C" w:rsidRPr="000F3526">
        <w:rPr>
          <w:rFonts w:ascii="仿宋" w:eastAsia="仿宋" w:hAnsi="仿宋" w:cs="宋体" w:hint="eastAsia"/>
          <w:color w:val="000000"/>
          <w:kern w:val="0"/>
          <w:sz w:val="24"/>
          <w:szCs w:val="24"/>
        </w:rPr>
        <w:t>尹</w:t>
      </w:r>
      <w:proofErr w:type="gramEnd"/>
      <w:r w:rsidR="001A717C" w:rsidRPr="000F3526">
        <w:rPr>
          <w:rFonts w:ascii="仿宋" w:eastAsia="仿宋" w:hAnsi="仿宋" w:cs="宋体" w:hint="eastAsia"/>
          <w:color w:val="000000"/>
          <w:kern w:val="0"/>
          <w:sz w:val="24"/>
          <w:szCs w:val="24"/>
        </w:rPr>
        <w:t>系统</w:t>
      </w:r>
    </w:p>
    <w:p w:rsidR="00432F41" w:rsidRPr="00F410A8" w:rsidRDefault="00432F41" w:rsidP="00432F41">
      <w:pPr>
        <w:spacing w:line="520" w:lineRule="exact"/>
        <w:ind w:firstLineChars="200" w:firstLine="643"/>
        <w:rPr>
          <w:rFonts w:ascii="仿宋_GB2312" w:eastAsia="仿宋_GB2312" w:hAnsi="Calibri" w:cs="Times New Roman"/>
          <w:b/>
          <w:sz w:val="32"/>
          <w:szCs w:val="32"/>
        </w:rPr>
      </w:pPr>
      <w:r w:rsidRPr="00F410A8">
        <w:rPr>
          <w:rFonts w:ascii="仿宋_GB2312" w:eastAsia="仿宋_GB2312" w:hAnsi="Calibri" w:cs="Times New Roman" w:hint="eastAsia"/>
          <w:b/>
          <w:sz w:val="32"/>
          <w:szCs w:val="32"/>
        </w:rPr>
        <w:t>2.按投组划分</w:t>
      </w:r>
    </w:p>
    <w:tbl>
      <w:tblPr>
        <w:tblStyle w:val="a3"/>
        <w:tblW w:w="10857" w:type="dxa"/>
        <w:jc w:val="center"/>
        <w:tblInd w:w="-366" w:type="dxa"/>
        <w:tblLayout w:type="fixed"/>
        <w:tblLook w:val="04A0" w:firstRow="1" w:lastRow="0" w:firstColumn="1" w:lastColumn="0" w:noHBand="0" w:noVBand="1"/>
      </w:tblPr>
      <w:tblGrid>
        <w:gridCol w:w="1985"/>
        <w:gridCol w:w="1985"/>
        <w:gridCol w:w="992"/>
        <w:gridCol w:w="1926"/>
        <w:gridCol w:w="1985"/>
        <w:gridCol w:w="1984"/>
      </w:tblGrid>
      <w:tr w:rsidR="00432F41" w:rsidRPr="00F410A8" w:rsidTr="001B5773">
        <w:trPr>
          <w:trHeight w:val="288"/>
          <w:jc w:val="center"/>
        </w:trPr>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992"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26" w:type="dxa"/>
            <w:tcBorders>
              <w:top w:val="nil"/>
              <w:left w:val="nil"/>
              <w:right w:val="nil"/>
            </w:tcBorders>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4"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仿宋_GB2312" w:eastAsia="仿宋_GB2312" w:hAnsi="Calibri" w:cs="Times New Roman" w:hint="eastAsia"/>
                <w:sz w:val="24"/>
                <w:szCs w:val="32"/>
              </w:rPr>
              <w:t>单位：万元</w:t>
            </w:r>
          </w:p>
        </w:tc>
      </w:tr>
      <w:tr w:rsidR="00432F41" w:rsidRPr="00F410A8" w:rsidTr="001B5773">
        <w:trPr>
          <w:trHeight w:val="288"/>
          <w:jc w:val="center"/>
        </w:trPr>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proofErr w:type="gramStart"/>
            <w:r w:rsidRPr="00F410A8">
              <w:rPr>
                <w:rFonts w:ascii="宋体" w:eastAsia="宋体" w:hAnsi="宋体" w:cs="宋体" w:hint="eastAsia"/>
                <w:b/>
                <w:color w:val="000000"/>
                <w:kern w:val="0"/>
                <w:sz w:val="28"/>
              </w:rPr>
              <w:t>投组</w:t>
            </w:r>
            <w:proofErr w:type="gramEnd"/>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方向</w:t>
            </w:r>
          </w:p>
        </w:tc>
        <w:tc>
          <w:tcPr>
            <w:tcW w:w="992"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笔数</w:t>
            </w:r>
          </w:p>
        </w:tc>
        <w:tc>
          <w:tcPr>
            <w:tcW w:w="1926" w:type="dxa"/>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金额</w:t>
            </w:r>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最大单笔金额</w:t>
            </w:r>
          </w:p>
        </w:tc>
        <w:tc>
          <w:tcPr>
            <w:tcW w:w="1984"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最小单笔金额</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r>
      <w:tr w:rsidR="000F3526" w:rsidRPr="00F410A8" w:rsidTr="009F2B69">
        <w:trPr>
          <w:trHeight w:val="288"/>
          <w:jc w:val="center"/>
        </w:trPr>
        <w:tc>
          <w:tcPr>
            <w:tcW w:w="3970" w:type="dxa"/>
            <w:gridSpan w:val="2"/>
            <w:noWrap/>
            <w:vAlign w:val="center"/>
          </w:tcPr>
          <w:p w:rsidR="000F3526" w:rsidRPr="00F410A8" w:rsidRDefault="000F3526" w:rsidP="00374C02">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合计</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36</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162,133.69</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10,000.00</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610.00</w:t>
            </w:r>
          </w:p>
        </w:tc>
      </w:tr>
    </w:tbl>
    <w:p w:rsidR="00432F41" w:rsidRPr="00F410A8" w:rsidRDefault="00432F41" w:rsidP="00432F41">
      <w:pPr>
        <w:adjustRightInd w:val="0"/>
        <w:snapToGrid w:val="0"/>
        <w:ind w:firstLineChars="250" w:firstLine="600"/>
        <w:rPr>
          <w:rFonts w:ascii="仿宋_GB2312" w:eastAsia="仿宋_GB2312" w:hAnsi="Calibri" w:cs="Times New Roman"/>
          <w:sz w:val="24"/>
          <w:szCs w:val="32"/>
        </w:rPr>
      </w:pPr>
      <w:r w:rsidRPr="00F410A8">
        <w:rPr>
          <w:rFonts w:ascii="仿宋_GB2312" w:eastAsia="仿宋_GB2312" w:hAnsi="Calibri" w:cs="Times New Roman" w:hint="eastAsia"/>
          <w:sz w:val="24"/>
          <w:szCs w:val="32"/>
        </w:rPr>
        <w:t>数据来源：理财资产管理系统</w:t>
      </w:r>
      <w:r w:rsidR="001A717C" w:rsidRPr="00F410A8">
        <w:rPr>
          <w:rFonts w:ascii="仿宋" w:eastAsia="仿宋" w:hAnsi="仿宋" w:cs="宋体" w:hint="eastAsia"/>
          <w:color w:val="000000"/>
          <w:kern w:val="0"/>
          <w:sz w:val="24"/>
          <w:szCs w:val="24"/>
        </w:rPr>
        <w:t>、兆</w:t>
      </w:r>
      <w:proofErr w:type="gramStart"/>
      <w:r w:rsidR="001A717C" w:rsidRPr="00F410A8">
        <w:rPr>
          <w:rFonts w:ascii="仿宋" w:eastAsia="仿宋" w:hAnsi="仿宋" w:cs="宋体" w:hint="eastAsia"/>
          <w:color w:val="000000"/>
          <w:kern w:val="0"/>
          <w:sz w:val="24"/>
          <w:szCs w:val="24"/>
        </w:rPr>
        <w:t>尹</w:t>
      </w:r>
      <w:proofErr w:type="gramEnd"/>
      <w:r w:rsidR="001A717C" w:rsidRPr="00F410A8">
        <w:rPr>
          <w:rFonts w:ascii="仿宋" w:eastAsia="仿宋" w:hAnsi="仿宋" w:cs="宋体" w:hint="eastAsia"/>
          <w:color w:val="000000"/>
          <w:kern w:val="0"/>
          <w:sz w:val="24"/>
          <w:szCs w:val="24"/>
        </w:rPr>
        <w:t>系统</w:t>
      </w:r>
    </w:p>
    <w:p w:rsidR="00EE2B2D" w:rsidRPr="00542893" w:rsidRDefault="002E58C4" w:rsidP="00F42EAF">
      <w:pPr>
        <w:spacing w:line="600" w:lineRule="exact"/>
        <w:ind w:firstLineChars="200" w:firstLine="643"/>
        <w:rPr>
          <w:rFonts w:ascii="仿宋_GB2312" w:eastAsia="仿宋_GB2312" w:hAnsi="Calibri" w:cs="Times New Roman"/>
          <w:b/>
          <w:sz w:val="32"/>
          <w:szCs w:val="32"/>
        </w:rPr>
      </w:pPr>
      <w:r w:rsidRPr="00542893">
        <w:rPr>
          <w:rFonts w:ascii="仿宋_GB2312" w:eastAsia="仿宋_GB2312" w:hAnsi="Calibri" w:cs="Times New Roman" w:hint="eastAsia"/>
          <w:b/>
          <w:sz w:val="32"/>
          <w:szCs w:val="32"/>
        </w:rPr>
        <w:t>（四）</w:t>
      </w:r>
      <w:r w:rsidR="00EE2B2D" w:rsidRPr="00542893">
        <w:rPr>
          <w:rFonts w:ascii="仿宋_GB2312" w:eastAsia="仿宋_GB2312" w:hAnsi="Calibri" w:cs="Times New Roman" w:hint="eastAsia"/>
          <w:b/>
          <w:sz w:val="32"/>
          <w:szCs w:val="32"/>
        </w:rPr>
        <w:t>交易对手</w:t>
      </w:r>
    </w:p>
    <w:tbl>
      <w:tblPr>
        <w:tblStyle w:val="a3"/>
        <w:tblW w:w="11157" w:type="dxa"/>
        <w:jc w:val="center"/>
        <w:tblInd w:w="-61" w:type="dxa"/>
        <w:tblLayout w:type="fixed"/>
        <w:tblLook w:val="04A0" w:firstRow="1" w:lastRow="0" w:firstColumn="1" w:lastColumn="0" w:noHBand="0" w:noVBand="1"/>
      </w:tblPr>
      <w:tblGrid>
        <w:gridCol w:w="1673"/>
        <w:gridCol w:w="851"/>
        <w:gridCol w:w="850"/>
        <w:gridCol w:w="906"/>
        <w:gridCol w:w="498"/>
        <w:gridCol w:w="851"/>
        <w:gridCol w:w="850"/>
        <w:gridCol w:w="851"/>
        <w:gridCol w:w="850"/>
        <w:gridCol w:w="851"/>
        <w:gridCol w:w="425"/>
        <w:gridCol w:w="851"/>
        <w:gridCol w:w="850"/>
      </w:tblGrid>
      <w:tr w:rsidR="009C1DC5" w:rsidRPr="00542893" w:rsidTr="00BA4191">
        <w:trPr>
          <w:trHeight w:val="270"/>
          <w:jc w:val="center"/>
        </w:trPr>
        <w:tc>
          <w:tcPr>
            <w:tcW w:w="1673"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1"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0"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906" w:type="dxa"/>
            <w:tcBorders>
              <w:top w:val="nil"/>
              <w:left w:val="nil"/>
              <w:right w:val="nil"/>
            </w:tcBorders>
            <w:noWrap/>
          </w:tcPr>
          <w:p w:rsidR="009C1DC5" w:rsidRPr="00542893" w:rsidRDefault="009C1DC5" w:rsidP="00EE52A0">
            <w:pPr>
              <w:widowControl/>
              <w:jc w:val="right"/>
              <w:rPr>
                <w:rFonts w:ascii="宋体" w:eastAsia="宋体" w:hAnsi="宋体" w:cs="宋体"/>
                <w:color w:val="000000"/>
                <w:kern w:val="0"/>
                <w:sz w:val="22"/>
              </w:rPr>
            </w:pPr>
          </w:p>
        </w:tc>
        <w:tc>
          <w:tcPr>
            <w:tcW w:w="6877" w:type="dxa"/>
            <w:gridSpan w:val="9"/>
            <w:tcBorders>
              <w:top w:val="nil"/>
              <w:left w:val="nil"/>
              <w:right w:val="nil"/>
            </w:tcBorders>
            <w:noWrap/>
          </w:tcPr>
          <w:p w:rsidR="009C1DC5" w:rsidRPr="00542893" w:rsidRDefault="009C1DC5" w:rsidP="00EE52A0">
            <w:pPr>
              <w:widowControl/>
              <w:jc w:val="right"/>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单位：亿元</w:t>
            </w:r>
          </w:p>
        </w:tc>
      </w:tr>
      <w:tr w:rsidR="00524327" w:rsidRPr="00E13056" w:rsidTr="00BA4191">
        <w:trPr>
          <w:trHeight w:val="270"/>
          <w:jc w:val="center"/>
        </w:trPr>
        <w:tc>
          <w:tcPr>
            <w:tcW w:w="1673"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交易对手</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906"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98"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25"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bookmarkStart w:id="0" w:name="_GoBack"/>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bookmarkEnd w:id="0"/>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1157" w:type="dxa"/>
            <w:gridSpan w:val="13"/>
            <w:tcBorders>
              <w:left w:val="nil"/>
              <w:bottom w:val="nil"/>
              <w:right w:val="nil"/>
            </w:tcBorders>
            <w:noWrap/>
            <w:vAlign w:val="center"/>
          </w:tcPr>
          <w:p w:rsidR="00542893" w:rsidRPr="00542893" w:rsidRDefault="00542893" w:rsidP="00524327">
            <w:pPr>
              <w:widowControl/>
              <w:rPr>
                <w:rFonts w:ascii="宋体" w:eastAsia="宋体" w:hAnsi="宋体" w:cs="宋体"/>
                <w:color w:val="000000"/>
                <w:kern w:val="0"/>
                <w:sz w:val="22"/>
              </w:rPr>
            </w:pPr>
            <w:r w:rsidRPr="00542893">
              <w:rPr>
                <w:rFonts w:ascii="仿宋" w:eastAsia="仿宋" w:hAnsi="仿宋" w:cs="宋体" w:hint="eastAsia"/>
                <w:color w:val="000000"/>
                <w:kern w:val="0"/>
                <w:sz w:val="24"/>
                <w:szCs w:val="24"/>
              </w:rPr>
              <w:t>数据来源：COMSTAR系统、资金业务管理系统、理财资产管理系统、兆</w:t>
            </w:r>
            <w:proofErr w:type="gramStart"/>
            <w:r w:rsidRPr="00542893">
              <w:rPr>
                <w:rFonts w:ascii="仿宋" w:eastAsia="仿宋" w:hAnsi="仿宋" w:cs="宋体" w:hint="eastAsia"/>
                <w:color w:val="000000"/>
                <w:kern w:val="0"/>
                <w:sz w:val="24"/>
                <w:szCs w:val="24"/>
              </w:rPr>
              <w:t>尹</w:t>
            </w:r>
            <w:proofErr w:type="gramEnd"/>
            <w:r w:rsidRPr="00542893">
              <w:rPr>
                <w:rFonts w:ascii="仿宋" w:eastAsia="仿宋" w:hAnsi="仿宋" w:cs="宋体" w:hint="eastAsia"/>
                <w:color w:val="000000"/>
                <w:kern w:val="0"/>
                <w:sz w:val="24"/>
                <w:szCs w:val="24"/>
              </w:rPr>
              <w:t>系统</w:t>
            </w:r>
          </w:p>
        </w:tc>
      </w:tr>
      <w:tr w:rsidR="00542893" w:rsidRPr="00E13056" w:rsidTr="00BA4191">
        <w:trPr>
          <w:trHeight w:val="270"/>
          <w:jc w:val="center"/>
        </w:trPr>
        <w:tc>
          <w:tcPr>
            <w:tcW w:w="11157" w:type="dxa"/>
            <w:gridSpan w:val="13"/>
            <w:tcBorders>
              <w:top w:val="nil"/>
              <w:left w:val="nil"/>
              <w:bottom w:val="nil"/>
              <w:right w:val="nil"/>
            </w:tcBorders>
            <w:noWrap/>
            <w:vAlign w:val="center"/>
          </w:tcPr>
          <w:p w:rsidR="00542893" w:rsidRPr="00542893" w:rsidRDefault="00542893" w:rsidP="00DD4F94">
            <w:pPr>
              <w:widowControl/>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备注：针对主体评级AAA以下、注册资本100亿元以下的交易对手分析</w:t>
            </w:r>
          </w:p>
        </w:tc>
      </w:tr>
    </w:tbl>
    <w:p w:rsidR="002E58C4" w:rsidRPr="005F475E" w:rsidRDefault="00EE2B2D" w:rsidP="00031324">
      <w:pPr>
        <w:spacing w:line="52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（五）</w:t>
      </w:r>
      <w:r w:rsidR="002E58C4" w:rsidRPr="005F475E">
        <w:rPr>
          <w:rFonts w:ascii="仿宋_GB2312" w:eastAsia="仿宋_GB2312" w:hAnsi="Calibri" w:cs="Times New Roman" w:hint="eastAsia"/>
          <w:b/>
          <w:sz w:val="32"/>
          <w:szCs w:val="32"/>
        </w:rPr>
        <w:t>预警债券名单</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9357" w:type="dxa"/>
        <w:tblInd w:w="-318" w:type="dxa"/>
        <w:tblLayout w:type="fixed"/>
        <w:tblLook w:val="04A0" w:firstRow="1" w:lastRow="0" w:firstColumn="1" w:lastColumn="0" w:noHBand="0" w:noVBand="1"/>
      </w:tblPr>
      <w:tblGrid>
        <w:gridCol w:w="2553"/>
        <w:gridCol w:w="4536"/>
        <w:gridCol w:w="850"/>
        <w:gridCol w:w="1418"/>
      </w:tblGrid>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青国投</w:t>
            </w:r>
            <w:proofErr w:type="gramEnd"/>
            <w:r w:rsidRPr="005F475E">
              <w:rPr>
                <w:rFonts w:asciiTheme="minorEastAsia" w:hAnsiTheme="minorEastAsia" w:cs="Times New Roman" w:hint="eastAsia"/>
                <w:sz w:val="28"/>
                <w:szCs w:val="28"/>
              </w:rPr>
              <w:t>MTN001</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青海省国有资产投资管理有限公司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0.50</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永续预警</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lastRenderedPageBreak/>
              <w:t>17</w:t>
            </w:r>
            <w:proofErr w:type="gramStart"/>
            <w:r w:rsidRPr="005F475E">
              <w:rPr>
                <w:rFonts w:asciiTheme="minorEastAsia" w:hAnsiTheme="minorEastAsia" w:cs="Times New Roman" w:hint="eastAsia"/>
                <w:sz w:val="28"/>
                <w:szCs w:val="28"/>
              </w:rPr>
              <w:t>开元专项</w:t>
            </w:r>
            <w:proofErr w:type="gramEnd"/>
            <w:r w:rsidRPr="005F475E">
              <w:rPr>
                <w:rFonts w:asciiTheme="minorEastAsia" w:hAnsiTheme="minorEastAsia" w:cs="Times New Roman" w:hint="eastAsia"/>
                <w:sz w:val="28"/>
                <w:szCs w:val="28"/>
              </w:rPr>
              <w:t>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16道桥01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15遵义道桥债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17红果专项债01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18红果专项债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停车债</w:t>
            </w:r>
          </w:p>
          <w:p w:rsidR="00766C40"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17遵义</w:t>
            </w:r>
            <w:proofErr w:type="gramStart"/>
            <w:r w:rsidRPr="005F475E">
              <w:rPr>
                <w:rFonts w:asciiTheme="minorEastAsia" w:hAnsiTheme="minorEastAsia" w:cs="Times New Roman" w:hint="eastAsia"/>
                <w:sz w:val="28"/>
                <w:szCs w:val="28"/>
              </w:rPr>
              <w:t>播投债</w:t>
            </w:r>
            <w:proofErr w:type="gramEnd"/>
            <w:r w:rsidRPr="005F475E">
              <w:rPr>
                <w:rFonts w:asciiTheme="minorEastAsia" w:hAnsiTheme="minorEastAsia" w:cs="Times New Roman" w:hint="eastAsia"/>
                <w:sz w:val="28"/>
                <w:szCs w:val="28"/>
              </w:rPr>
              <w:t>02</w:t>
            </w:r>
          </w:p>
        </w:tc>
        <w:tc>
          <w:tcPr>
            <w:tcW w:w="4536" w:type="dxa"/>
            <w:tcBorders>
              <w:bottom w:val="single" w:sz="4" w:space="0" w:color="auto"/>
            </w:tcBorders>
            <w:vAlign w:val="center"/>
          </w:tcPr>
          <w:p w:rsidR="002E58C4" w:rsidRPr="005F475E" w:rsidRDefault="002E58C4"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贵州凯里开元城市投资开发有限责任公司；遵义道桥建设（集团）有限公司；贵州省红果经济技术开发区开发有限责任公司；遵义市新区开发投资有限责任公司</w:t>
            </w:r>
            <w:r w:rsidR="00766C40" w:rsidRPr="005F475E">
              <w:rPr>
                <w:rFonts w:asciiTheme="minorEastAsia" w:hAnsiTheme="minorEastAsia" w:cs="Times New Roman" w:hint="eastAsia"/>
                <w:sz w:val="28"/>
                <w:szCs w:val="28"/>
              </w:rPr>
              <w:t>；遵义市播州区城市建设投资经营(集团)有限公司</w:t>
            </w:r>
          </w:p>
        </w:tc>
        <w:tc>
          <w:tcPr>
            <w:tcW w:w="850" w:type="dxa"/>
            <w:vAlign w:val="center"/>
          </w:tcPr>
          <w:p w:rsidR="002E58C4"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5</w:t>
            </w:r>
            <w:r w:rsidR="002E58C4" w:rsidRPr="005F475E">
              <w:rPr>
                <w:rFonts w:asciiTheme="minorEastAsia" w:hAnsiTheme="minorEastAsia" w:cs="Times New Roman" w:hint="eastAsia"/>
                <w:sz w:val="28"/>
                <w:szCs w:val="28"/>
              </w:rPr>
              <w:t>.75</w:t>
            </w:r>
          </w:p>
        </w:tc>
        <w:tc>
          <w:tcPr>
            <w:tcW w:w="1418" w:type="dxa"/>
            <w:tcBorders>
              <w:bottom w:val="single" w:sz="4" w:space="0" w:color="auto"/>
            </w:tcBorders>
            <w:vAlign w:val="center"/>
          </w:tcPr>
          <w:p w:rsidR="002E58C4" w:rsidRPr="005F475E" w:rsidRDefault="002F61FA"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区域</w:t>
            </w:r>
            <w:r w:rsidR="002E58C4" w:rsidRPr="005F475E">
              <w:rPr>
                <w:rFonts w:asciiTheme="minorEastAsia" w:hAnsiTheme="minorEastAsia" w:cs="Times New Roman"/>
                <w:sz w:val="28"/>
                <w:szCs w:val="28"/>
              </w:rPr>
              <w:t>风险</w:t>
            </w:r>
          </w:p>
        </w:tc>
      </w:tr>
      <w:tr w:rsidR="005D3352" w:rsidRPr="005F475E" w:rsidTr="0059208E">
        <w:tc>
          <w:tcPr>
            <w:tcW w:w="2553"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15营口沿海债</w:t>
            </w:r>
          </w:p>
        </w:tc>
        <w:tc>
          <w:tcPr>
            <w:tcW w:w="4536" w:type="dxa"/>
            <w:tcBorders>
              <w:bottom w:val="single" w:sz="4" w:space="0" w:color="auto"/>
            </w:tcBorders>
            <w:vAlign w:val="center"/>
          </w:tcPr>
          <w:p w:rsidR="005D3352" w:rsidRPr="005F475E" w:rsidRDefault="005D3352"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营口沿海开发建设集团有限公司</w:t>
            </w:r>
          </w:p>
        </w:tc>
        <w:tc>
          <w:tcPr>
            <w:tcW w:w="850"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w:t>
            </w:r>
            <w:r w:rsidR="00083425" w:rsidRPr="005F475E">
              <w:rPr>
                <w:rFonts w:asciiTheme="minorEastAsia" w:hAnsiTheme="minorEastAsia" w:cs="Times New Roman" w:hint="eastAsia"/>
                <w:sz w:val="28"/>
                <w:szCs w:val="28"/>
              </w:rPr>
              <w:t>0</w:t>
            </w:r>
            <w:r w:rsidRPr="005F475E">
              <w:rPr>
                <w:rFonts w:asciiTheme="minorEastAsia" w:hAnsiTheme="minorEastAsia" w:cs="Times New Roman" w:hint="eastAsia"/>
                <w:sz w:val="28"/>
                <w:szCs w:val="28"/>
              </w:rPr>
              <w:t>0</w:t>
            </w:r>
          </w:p>
        </w:tc>
        <w:tc>
          <w:tcPr>
            <w:tcW w:w="1418" w:type="dxa"/>
            <w:tcBorders>
              <w:bottom w:val="single" w:sz="4" w:space="0" w:color="auto"/>
            </w:tcBorders>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评级观察</w:t>
            </w:r>
          </w:p>
        </w:tc>
      </w:tr>
      <w:tr w:rsidR="00083425" w:rsidRPr="005F475E" w:rsidTr="0059208E">
        <w:tc>
          <w:tcPr>
            <w:tcW w:w="2553"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19</w:t>
            </w:r>
            <w:proofErr w:type="gramStart"/>
            <w:r w:rsidRPr="005F475E">
              <w:rPr>
                <w:rFonts w:asciiTheme="minorEastAsia" w:hAnsiTheme="minorEastAsia" w:cs="Times New Roman" w:hint="eastAsia"/>
                <w:sz w:val="28"/>
                <w:szCs w:val="28"/>
              </w:rPr>
              <w:t>迈科</w:t>
            </w:r>
            <w:proofErr w:type="gramEnd"/>
            <w:r w:rsidRPr="005F475E">
              <w:rPr>
                <w:rFonts w:asciiTheme="minorEastAsia" w:hAnsiTheme="minorEastAsia" w:cs="Times New Roman" w:hint="eastAsia"/>
                <w:sz w:val="28"/>
                <w:szCs w:val="28"/>
              </w:rPr>
              <w:t>A</w:t>
            </w:r>
          </w:p>
        </w:tc>
        <w:tc>
          <w:tcPr>
            <w:tcW w:w="4536" w:type="dxa"/>
            <w:tcBorders>
              <w:bottom w:val="single" w:sz="4" w:space="0" w:color="auto"/>
            </w:tcBorders>
            <w:vAlign w:val="center"/>
          </w:tcPr>
          <w:p w:rsidR="00083425" w:rsidRPr="005F475E" w:rsidRDefault="00083425"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西安迈科金属国际集团有限公司</w:t>
            </w:r>
          </w:p>
        </w:tc>
        <w:tc>
          <w:tcPr>
            <w:tcW w:w="850"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1.49</w:t>
            </w:r>
          </w:p>
        </w:tc>
        <w:tc>
          <w:tcPr>
            <w:tcW w:w="1418" w:type="dxa"/>
            <w:tcBorders>
              <w:bottom w:val="single" w:sz="4" w:space="0" w:color="auto"/>
            </w:tcBorders>
            <w:vAlign w:val="center"/>
          </w:tcPr>
          <w:p w:rsidR="00083425" w:rsidRPr="005F475E" w:rsidRDefault="00C0233D"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弱资质</w:t>
            </w:r>
          </w:p>
        </w:tc>
      </w:tr>
      <w:tr w:rsidR="002E58C4" w:rsidRPr="005F475E" w:rsidTr="0059208E">
        <w:tc>
          <w:tcPr>
            <w:tcW w:w="2553"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536" w:type="dxa"/>
            <w:tcBorders>
              <w:left w:val="nil"/>
              <w:right w:val="nil"/>
            </w:tcBorders>
            <w:vAlign w:val="center"/>
          </w:tcPr>
          <w:p w:rsidR="002E58C4" w:rsidRPr="005F475E" w:rsidRDefault="002E58C4" w:rsidP="0059208E">
            <w:pPr>
              <w:adjustRightInd w:val="0"/>
              <w:snapToGrid w:val="0"/>
              <w:jc w:val="left"/>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B36D4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8.74</w:t>
            </w:r>
          </w:p>
        </w:tc>
        <w:tc>
          <w:tcPr>
            <w:tcW w:w="1418"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2E58C4" w:rsidRPr="005F475E" w:rsidRDefault="00EE2B2D" w:rsidP="002E58C4">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（六</w:t>
      </w:r>
      <w:r w:rsidR="002E58C4" w:rsidRPr="005F475E">
        <w:rPr>
          <w:rFonts w:ascii="仿宋_GB2312" w:eastAsia="仿宋_GB2312" w:hAnsi="Calibri" w:cs="Times New Roman" w:hint="eastAsia"/>
          <w:b/>
          <w:sz w:val="32"/>
          <w:szCs w:val="32"/>
        </w:rPr>
        <w:t>）违约/欠息债券</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8931" w:type="dxa"/>
        <w:jc w:val="center"/>
        <w:tblInd w:w="-459" w:type="dxa"/>
        <w:tblLayout w:type="fixed"/>
        <w:tblLook w:val="04A0" w:firstRow="1" w:lastRow="0" w:firstColumn="1" w:lastColumn="0" w:noHBand="0" w:noVBand="1"/>
      </w:tblPr>
      <w:tblGrid>
        <w:gridCol w:w="3002"/>
        <w:gridCol w:w="4228"/>
        <w:gridCol w:w="850"/>
        <w:gridCol w:w="851"/>
      </w:tblGrid>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18永泰集团SCP001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永泰集团有限公司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17华阳04</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中国</w:t>
            </w:r>
            <w:proofErr w:type="gramStart"/>
            <w:r w:rsidRPr="005F475E">
              <w:rPr>
                <w:rFonts w:asciiTheme="minorEastAsia" w:hAnsiTheme="minorEastAsia" w:cs="Times New Roman" w:hint="eastAsia"/>
                <w:sz w:val="28"/>
                <w:szCs w:val="28"/>
              </w:rPr>
              <w:t>华阳经贸</w:t>
            </w:r>
            <w:proofErr w:type="gramEnd"/>
            <w:r w:rsidRPr="005F475E">
              <w:rPr>
                <w:rFonts w:asciiTheme="minorEastAsia" w:hAnsiTheme="minorEastAsia" w:cs="Times New Roman" w:hint="eastAsia"/>
                <w:sz w:val="28"/>
                <w:szCs w:val="28"/>
              </w:rPr>
              <w:t>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16美兰01、16美兰02</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海口美兰国际机场有限责任公司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0.80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811505" w:rsidRPr="005F475E" w:rsidTr="0059208E">
        <w:trPr>
          <w:jc w:val="center"/>
        </w:trPr>
        <w:tc>
          <w:tcPr>
            <w:tcW w:w="3002"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海航203</w:t>
            </w:r>
          </w:p>
        </w:tc>
        <w:tc>
          <w:tcPr>
            <w:tcW w:w="4228"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海南航空控股股份有限公司</w:t>
            </w:r>
          </w:p>
        </w:tc>
        <w:tc>
          <w:tcPr>
            <w:tcW w:w="850"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0.49</w:t>
            </w:r>
          </w:p>
        </w:tc>
        <w:tc>
          <w:tcPr>
            <w:tcW w:w="851"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15中信国安MTN001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中信国安集团股份有限公司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0.30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15包商银行二级</w:t>
            </w:r>
          </w:p>
        </w:tc>
        <w:tc>
          <w:tcPr>
            <w:tcW w:w="4228" w:type="dxa"/>
            <w:tcBorders>
              <w:bottom w:val="single" w:sz="4" w:space="0" w:color="auto"/>
            </w:tcBorders>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包商银行股份有限公司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tcBorders>
              <w:bottom w:val="single" w:sz="4" w:space="0" w:color="auto"/>
            </w:tcBorders>
            <w:vAlign w:val="center"/>
          </w:tcPr>
          <w:p w:rsidR="002E58C4" w:rsidRPr="005F475E" w:rsidRDefault="00AF4612" w:rsidP="0059208E">
            <w:pPr>
              <w:adjustRightInd w:val="0"/>
              <w:snapToGrid w:val="0"/>
              <w:jc w:val="center"/>
              <w:rPr>
                <w:rFonts w:asciiTheme="minorEastAsia" w:hAnsiTheme="minorEastAsia" w:cs="Times New Roman"/>
                <w:sz w:val="28"/>
                <w:szCs w:val="28"/>
              </w:rPr>
            </w:pPr>
            <w:proofErr w:type="gramStart"/>
            <w:r w:rsidRPr="005F475E">
              <w:rPr>
                <w:rFonts w:asciiTheme="minorEastAsia" w:hAnsiTheme="minorEastAsia" w:cs="Times New Roman" w:hint="eastAsia"/>
                <w:sz w:val="28"/>
                <w:szCs w:val="28"/>
              </w:rPr>
              <w:t>减记</w:t>
            </w:r>
            <w:proofErr w:type="gramEnd"/>
          </w:p>
        </w:tc>
      </w:tr>
      <w:tr w:rsidR="002E58C4" w:rsidRPr="005F475E" w:rsidTr="0059208E">
        <w:trPr>
          <w:jc w:val="center"/>
        </w:trPr>
        <w:tc>
          <w:tcPr>
            <w:tcW w:w="3002"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228" w:type="dxa"/>
            <w:tcBorders>
              <w:left w:val="nil"/>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811505"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3.99</w:t>
            </w:r>
          </w:p>
        </w:tc>
        <w:tc>
          <w:tcPr>
            <w:tcW w:w="851"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4411DA" w:rsidRPr="007672DA" w:rsidRDefault="004B5445" w:rsidP="007753CC">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三、</w:t>
      </w:r>
      <w:r w:rsidR="004411DA" w:rsidRPr="007672DA">
        <w:rPr>
          <w:rFonts w:ascii="仿宋_GB2312" w:eastAsia="仿宋_GB2312" w:hAnsi="Calibri" w:cs="Times New Roman" w:hint="eastAsia"/>
          <w:b/>
          <w:sz w:val="32"/>
          <w:szCs w:val="32"/>
        </w:rPr>
        <w:t>风险监测</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（一）监测指标</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w:t>
      </w:r>
      <w:r w:rsidR="00E6221A" w:rsidRPr="007672DA">
        <w:rPr>
          <w:rFonts w:ascii="仿宋_GB2312" w:eastAsia="仿宋_GB2312" w:hAnsi="Calibri" w:cs="Times New Roman" w:hint="eastAsia"/>
          <w:b/>
          <w:sz w:val="32"/>
          <w:szCs w:val="32"/>
        </w:rPr>
        <w:t>非金融企业债券</w:t>
      </w:r>
      <w:r w:rsidRPr="007672DA">
        <w:rPr>
          <w:rFonts w:ascii="仿宋_GB2312" w:eastAsia="仿宋_GB2312" w:hAnsi="Calibri" w:cs="Times New Roman" w:hint="eastAsia"/>
          <w:b/>
          <w:sz w:val="32"/>
          <w:szCs w:val="32"/>
        </w:rPr>
        <w:t>主体集中度</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（1）同业业务中心</w:t>
      </w:r>
    </w:p>
    <w:tbl>
      <w:tblPr>
        <w:tblStyle w:val="a3"/>
        <w:tblW w:w="8472" w:type="dxa"/>
        <w:jc w:val="center"/>
        <w:tblLayout w:type="fixed"/>
        <w:tblLook w:val="04A0" w:firstRow="1" w:lastRow="0" w:firstColumn="1" w:lastColumn="0" w:noHBand="0" w:noVBand="1"/>
      </w:tblPr>
      <w:tblGrid>
        <w:gridCol w:w="2660"/>
        <w:gridCol w:w="1417"/>
        <w:gridCol w:w="1418"/>
        <w:gridCol w:w="1701"/>
        <w:gridCol w:w="1276"/>
      </w:tblGrid>
      <w:tr w:rsidR="00BC6F6D" w:rsidRPr="007672DA" w:rsidTr="009822EF">
        <w:trPr>
          <w:trHeight w:val="270"/>
          <w:jc w:val="center"/>
        </w:trPr>
        <w:tc>
          <w:tcPr>
            <w:tcW w:w="4077" w:type="dxa"/>
            <w:gridSpan w:val="2"/>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部门:同业业务中心</w:t>
            </w:r>
          </w:p>
        </w:tc>
        <w:tc>
          <w:tcPr>
            <w:tcW w:w="14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p>
        </w:tc>
        <w:tc>
          <w:tcPr>
            <w:tcW w:w="2977"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单位：万元、笔</w:t>
            </w:r>
          </w:p>
        </w:tc>
      </w:tr>
      <w:tr w:rsidR="00BC6F6D" w:rsidRPr="007672DA" w:rsidTr="009822EF">
        <w:trPr>
          <w:trHeight w:val="270"/>
          <w:jc w:val="center"/>
        </w:trPr>
        <w:tc>
          <w:tcPr>
            <w:tcW w:w="2660"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主体持仓金额区间</w:t>
            </w:r>
          </w:p>
        </w:tc>
        <w:tc>
          <w:tcPr>
            <w:tcW w:w="1417"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主体数量</w:t>
            </w:r>
          </w:p>
        </w:tc>
        <w:tc>
          <w:tcPr>
            <w:tcW w:w="1418" w:type="dxa"/>
            <w:noWrap/>
            <w:hideMark/>
          </w:tcPr>
          <w:p w:rsidR="00BC6F6D" w:rsidRPr="007672DA" w:rsidRDefault="00BC6F6D" w:rsidP="00BC6F6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1276" w:type="dxa"/>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1B5773">
        <w:trPr>
          <w:trHeight w:val="270"/>
          <w:jc w:val="center"/>
        </w:trPr>
        <w:tc>
          <w:tcPr>
            <w:tcW w:w="2660" w:type="dxa"/>
            <w:noWrap/>
            <w:hideMark/>
          </w:tcPr>
          <w:p>
            <w:r>
              <w:t>43</w:t>
            </w:r>
          </w:p>
        </w:tc>
        <w:tc>
          <w:tcPr>
            <w:tcW w:w="1417" w:type="dxa"/>
            <w:noWrap/>
            <w:vAlign w:val="center"/>
          </w:tcPr>
          <w:p>
            <w:r>
              <w:t>44</w:t>
            </w:r>
          </w:p>
        </w:tc>
        <w:tc>
          <w:tcPr>
            <w:tcW w:w="1418" w:type="dxa"/>
            <w:noWrap/>
            <w:vAlign w:val="center"/>
          </w:tcPr>
          <w:p>
            <w:r>
              <w:t>13.99</w:t>
            </w:r>
          </w:p>
        </w:tc>
        <w:tc>
          <w:tcPr>
            <w:tcW w:w="1701" w:type="dxa"/>
            <w:noWrap/>
            <w:vAlign w:val="center"/>
          </w:tcPr>
          <w:p>
            <w:r>
              <w:t>26.55%</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30.36%</w:t>
            </w:r>
          </w:p>
        </w:tc>
      </w:tr>
      <w:tr w:rsidR="005F475E" w:rsidRPr="007672DA" w:rsidTr="001B5773">
        <w:trPr>
          <w:trHeight w:val="270"/>
          <w:jc w:val="center"/>
        </w:trPr>
        <w:tc>
          <w:tcPr>
            <w:tcW w:w="2660" w:type="dxa"/>
            <w:noWrap/>
            <w:hideMark/>
          </w:tcPr>
          <w:p>
            <w:r>
              <w:t>37</w:t>
            </w:r>
          </w:p>
        </w:tc>
        <w:tc>
          <w:tcPr>
            <w:tcW w:w="1417" w:type="dxa"/>
            <w:noWrap/>
            <w:vAlign w:val="center"/>
          </w:tcPr>
          <w:p>
            <w:r>
              <w:t>43</w:t>
            </w:r>
          </w:p>
        </w:tc>
        <w:tc>
          <w:tcPr>
            <w:tcW w:w="1418" w:type="dxa"/>
            <w:noWrap/>
            <w:vAlign w:val="center"/>
          </w:tcPr>
          <w:p>
            <w:r>
              <w:t>22.32</w:t>
            </w:r>
          </w:p>
        </w:tc>
        <w:tc>
          <w:tcPr>
            <w:tcW w:w="1701" w:type="dxa"/>
            <w:noWrap/>
            <w:vAlign w:val="center"/>
          </w:tcPr>
          <w:p>
            <w:r>
              <w:t>42.37%</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41.91%</w:t>
            </w:r>
          </w:p>
        </w:tc>
      </w:tr>
      <w:tr w:rsidR="005F475E" w:rsidRPr="007672DA" w:rsidTr="001B5773">
        <w:trPr>
          <w:trHeight w:val="270"/>
          <w:jc w:val="center"/>
        </w:trPr>
        <w:tc>
          <w:tcPr>
            <w:tcW w:w="2660" w:type="dxa"/>
            <w:noWrap/>
            <w:hideMark/>
          </w:tcPr>
          <w:p>
            <w:r>
              <w:t>11</w:t>
            </w:r>
          </w:p>
        </w:tc>
        <w:tc>
          <w:tcPr>
            <w:tcW w:w="1417" w:type="dxa"/>
            <w:noWrap/>
            <w:vAlign w:val="center"/>
          </w:tcPr>
          <w:p>
            <w:r>
              <w:t>18</w:t>
            </w:r>
          </w:p>
        </w:tc>
        <w:tc>
          <w:tcPr>
            <w:tcW w:w="1418" w:type="dxa"/>
            <w:noWrap/>
            <w:vAlign w:val="center"/>
          </w:tcPr>
          <w:p>
            <w:r>
              <w:t>14.4</w:t>
            </w:r>
          </w:p>
        </w:tc>
        <w:tc>
          <w:tcPr>
            <w:tcW w:w="1701" w:type="dxa"/>
            <w:noWrap/>
            <w:vAlign w:val="center"/>
          </w:tcPr>
          <w:p>
            <w:r>
              <w:t>27.33%</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27.73%</w:t>
            </w:r>
          </w:p>
        </w:tc>
      </w:tr>
      <w:tr w:rsidR="005F475E" w:rsidRPr="007672DA" w:rsidTr="001B5773">
        <w:trPr>
          <w:trHeight w:val="270"/>
          <w:jc w:val="center"/>
        </w:trPr>
        <w:tc>
          <w:tcPr>
            <w:tcW w:w="2660" w:type="dxa"/>
            <w:noWrap/>
            <w:hideMark/>
          </w:tcPr>
          <w:p>
            <w:r>
              <w:t>0</w:t>
            </w:r>
          </w:p>
        </w:tc>
        <w:tc>
          <w:tcPr>
            <w:tcW w:w="1417" w:type="dxa"/>
            <w:noWrap/>
            <w:vAlign w:val="center"/>
          </w:tcPr>
          <w:p>
            <w:r>
              <w:t>0</w:t>
            </w:r>
          </w:p>
        </w:tc>
        <w:tc>
          <w:tcPr>
            <w:tcW w:w="1418" w:type="dxa"/>
            <w:noWrap/>
            <w:vAlign w:val="center"/>
          </w:tcPr>
          <w:p>
            <w:r>
              <w:t>0.0</w:t>
            </w:r>
          </w:p>
        </w:tc>
        <w:tc>
          <w:tcPr>
            <w:tcW w:w="1701" w:type="dxa"/>
            <w:noWrap/>
            <w:vAlign w:val="center"/>
          </w:tcPr>
          <w:p>
            <w:r>
              <w:t>0.0%</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r w:rsidR="005F475E" w:rsidRPr="007672DA" w:rsidTr="001B5773">
        <w:trPr>
          <w:trHeight w:val="270"/>
          <w:jc w:val="center"/>
        </w:trPr>
        <w:tc>
          <w:tcPr>
            <w:tcW w:w="2660" w:type="dxa"/>
            <w:tcBorders>
              <w:bottom w:val="single" w:sz="4" w:space="0" w:color="auto"/>
            </w:tcBorders>
            <w:noWrap/>
            <w:hideMark/>
          </w:tcPr>
          <w:p w:rsidR="005F475E" w:rsidRPr="007672DA" w:rsidRDefault="005F475E"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合计</w:t>
            </w:r>
          </w:p>
        </w:tc>
        <w:tc>
          <w:tcPr>
            <w:tcW w:w="1417"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137</w:t>
            </w:r>
          </w:p>
        </w:tc>
        <w:tc>
          <w:tcPr>
            <w:tcW w:w="1418"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156</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843,056.53</w:t>
            </w:r>
          </w:p>
        </w:tc>
        <w:tc>
          <w:tcPr>
            <w:tcW w:w="1276"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360535" w:rsidRPr="007672DA" w:rsidTr="00360535">
        <w:trPr>
          <w:trHeight w:val="270"/>
          <w:jc w:val="center"/>
        </w:trPr>
        <w:tc>
          <w:tcPr>
            <w:tcW w:w="8472" w:type="dxa"/>
            <w:gridSpan w:val="5"/>
            <w:tcBorders>
              <w:left w:val="nil"/>
              <w:bottom w:val="nil"/>
              <w:right w:val="nil"/>
            </w:tcBorders>
            <w:noWrap/>
            <w:vAlign w:val="center"/>
            <w:hideMark/>
          </w:tcPr>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64915" w:rsidRPr="007672DA" w:rsidRDefault="00964915"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5249" w:type="pct"/>
        <w:jc w:val="center"/>
        <w:tblInd w:w="-1026" w:type="dxa"/>
        <w:tblLayout w:type="fixed"/>
        <w:tblLook w:val="04A0" w:firstRow="1" w:lastRow="0" w:firstColumn="1" w:lastColumn="0" w:noHBand="0" w:noVBand="1"/>
      </w:tblPr>
      <w:tblGrid>
        <w:gridCol w:w="6197"/>
        <w:gridCol w:w="1786"/>
        <w:gridCol w:w="963"/>
      </w:tblGrid>
      <w:tr w:rsidR="00964915" w:rsidRPr="007672DA" w:rsidTr="0016337A">
        <w:trPr>
          <w:trHeight w:val="270"/>
          <w:jc w:val="center"/>
        </w:trPr>
        <w:tc>
          <w:tcPr>
            <w:tcW w:w="3464" w:type="pct"/>
            <w:tcBorders>
              <w:top w:val="nil"/>
              <w:left w:val="nil"/>
              <w:right w:val="nil"/>
            </w:tcBorders>
            <w:noWrap/>
            <w:vAlign w:val="center"/>
          </w:tcPr>
          <w:p w:rsidR="00964915" w:rsidRPr="007672DA" w:rsidRDefault="00964915" w:rsidP="00964915">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lastRenderedPageBreak/>
              <w:t>部门:同业业务中心</w:t>
            </w:r>
          </w:p>
        </w:tc>
        <w:tc>
          <w:tcPr>
            <w:tcW w:w="1536" w:type="pct"/>
            <w:gridSpan w:val="2"/>
            <w:tcBorders>
              <w:top w:val="nil"/>
              <w:left w:val="nil"/>
              <w:right w:val="nil"/>
            </w:tcBorders>
            <w:noWrap/>
            <w:vAlign w:val="center"/>
          </w:tcPr>
          <w:p w:rsidR="00964915" w:rsidRPr="007672DA" w:rsidRDefault="00964915" w:rsidP="00964915">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单位：万元、笔</w:t>
            </w:r>
          </w:p>
        </w:tc>
      </w:tr>
      <w:tr w:rsidR="00C41E9D" w:rsidRPr="007672DA" w:rsidTr="0016337A">
        <w:trPr>
          <w:trHeight w:val="270"/>
          <w:jc w:val="center"/>
        </w:trPr>
        <w:tc>
          <w:tcPr>
            <w:tcW w:w="3464"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99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53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16337A">
        <w:trPr>
          <w:trHeight w:val="270"/>
          <w:jc w:val="center"/>
        </w:trPr>
        <w:tc>
          <w:tcPr>
            <w:tcW w:w="3464" w:type="pct"/>
            <w:noWrap/>
            <w:vAlign w:val="center"/>
            <w:hideMark/>
          </w:tcPr>
          <w:p>
            <w:r>
              <w:t>江苏陶都城市发展投资有限公司</w:t>
            </w:r>
          </w:p>
        </w:tc>
        <w:tc>
          <w:tcPr>
            <w:tcW w:w="998" w:type="pct"/>
            <w:noWrap/>
            <w:vAlign w:val="center"/>
            <w:hideMark/>
          </w:tcPr>
          <w:p>
            <w:r>
              <w:t>0.24</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苏州市相城城市建设投资(集团)有限公司</w:t>
            </w:r>
          </w:p>
        </w:tc>
        <w:tc>
          <w:tcPr>
            <w:tcW w:w="998" w:type="pct"/>
            <w:noWrap/>
            <w:vAlign w:val="center"/>
            <w:hideMark/>
          </w:tcPr>
          <w:p>
            <w:r>
              <w:t>0.4</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福建永荣控股集团有限公司</w:t>
            </w:r>
          </w:p>
        </w:tc>
        <w:tc>
          <w:tcPr>
            <w:tcW w:w="998" w:type="pct"/>
            <w:noWrap/>
            <w:vAlign w:val="center"/>
            <w:hideMark/>
          </w:tcPr>
          <w:p>
            <w:r>
              <w:t>0.4</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贵州宏财投资集团有限责任公司</w:t>
            </w:r>
          </w:p>
        </w:tc>
        <w:tc>
          <w:tcPr>
            <w:tcW w:w="998" w:type="pct"/>
            <w:noWrap/>
            <w:vAlign w:val="center"/>
            <w:hideMark/>
          </w:tcPr>
          <w:p>
            <w:r>
              <w:t>0.49</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营口北海新区城区开发建设投资有限公司</w:t>
            </w:r>
          </w:p>
        </w:tc>
        <w:tc>
          <w:tcPr>
            <w:tcW w:w="998" w:type="pct"/>
            <w:noWrap/>
            <w:vAlign w:val="center"/>
            <w:hideMark/>
          </w:tcPr>
          <w:p>
            <w:r>
              <w:t>0.56</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北京国有资本经营管理中心</w:t>
            </w:r>
          </w:p>
        </w:tc>
        <w:tc>
          <w:tcPr>
            <w:tcW w:w="998" w:type="pct"/>
            <w:noWrap/>
            <w:vAlign w:val="center"/>
            <w:hideMark/>
          </w:tcPr>
          <w:p>
            <w:r>
              <w:t>0.61</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湖南省娄底经济技术开发投资建设集团有限公司</w:t>
            </w:r>
          </w:p>
        </w:tc>
        <w:tc>
          <w:tcPr>
            <w:tcW w:w="998" w:type="pct"/>
            <w:noWrap/>
            <w:vAlign w:val="center"/>
            <w:hideMark/>
          </w:tcPr>
          <w:p>
            <w:r>
              <w:t>0.52</w:t>
            </w:r>
          </w:p>
        </w:tc>
        <w:tc>
          <w:tcPr>
            <w:tcW w:w="538" w:type="pct"/>
            <w:noWrap/>
            <w:vAlign w:val="center"/>
            <w:hideMark/>
          </w:tcPr>
          <w:p>
            <w:r>
              <w:t>2</w:t>
            </w:r>
          </w:p>
        </w:tc>
      </w:tr>
      <w:tr w:rsidR="005F475E" w:rsidRPr="007672DA" w:rsidTr="0016337A">
        <w:trPr>
          <w:trHeight w:val="270"/>
          <w:jc w:val="center"/>
        </w:trPr>
        <w:tc>
          <w:tcPr>
            <w:tcW w:w="3464" w:type="pct"/>
            <w:noWrap/>
            <w:vAlign w:val="center"/>
            <w:hideMark/>
          </w:tcPr>
          <w:p>
            <w:r>
              <w:t>华融金融租赁股份有限公司</w:t>
            </w:r>
          </w:p>
        </w:tc>
        <w:tc>
          <w:tcPr>
            <w:tcW w:w="998" w:type="pct"/>
            <w:noWrap/>
            <w:vAlign w:val="center"/>
            <w:hideMark/>
          </w:tcPr>
          <w:p>
            <w:r>
              <w:t>0.95</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北京市基础设施投资有限公司</w:t>
            </w:r>
          </w:p>
        </w:tc>
        <w:tc>
          <w:tcPr>
            <w:tcW w:w="998" w:type="pct"/>
            <w:noWrap/>
            <w:vAlign w:val="center"/>
            <w:hideMark/>
          </w:tcPr>
          <w:p>
            <w:r>
              <w:t>0.31</w:t>
            </w:r>
          </w:p>
        </w:tc>
        <w:tc>
          <w:tcPr>
            <w:tcW w:w="538" w:type="pct"/>
            <w:noWrap/>
            <w:vAlign w:val="center"/>
            <w:hideMark/>
          </w:tcPr>
          <w:p>
            <w:r>
              <w:t>1</w:t>
            </w:r>
          </w:p>
        </w:tc>
      </w:tr>
      <w:tr w:rsidR="005F475E" w:rsidRPr="007672DA" w:rsidTr="0016337A">
        <w:trPr>
          <w:trHeight w:val="270"/>
          <w:jc w:val="center"/>
        </w:trPr>
        <w:tc>
          <w:tcPr>
            <w:tcW w:w="3464" w:type="pct"/>
            <w:tcBorders>
              <w:bottom w:val="single" w:sz="4" w:space="0" w:color="auto"/>
            </w:tcBorders>
            <w:noWrap/>
            <w:vAlign w:val="center"/>
            <w:hideMark/>
          </w:tcPr>
          <w:p>
            <w:r>
              <w:t>温州高新技术产业开发区投资建设开发有限公司</w:t>
            </w:r>
          </w:p>
        </w:tc>
        <w:tc>
          <w:tcPr>
            <w:tcW w:w="998" w:type="pct"/>
            <w:tcBorders>
              <w:bottom w:val="single" w:sz="4" w:space="0" w:color="auto"/>
            </w:tcBorders>
            <w:noWrap/>
            <w:vAlign w:val="center"/>
            <w:hideMark/>
          </w:tcPr>
          <w:p>
            <w:r>
              <w:t>0.24</w:t>
            </w:r>
          </w:p>
        </w:tc>
        <w:tc>
          <w:tcPr>
            <w:tcW w:w="538" w:type="pct"/>
            <w:tcBorders>
              <w:bottom w:val="single" w:sz="4" w:space="0" w:color="auto"/>
            </w:tcBorders>
            <w:noWrap/>
            <w:vAlign w:val="center"/>
            <w:hideMark/>
          </w:tcPr>
          <w:p>
            <w:r>
              <w:t>1</w:t>
            </w:r>
          </w:p>
        </w:tc>
      </w:tr>
      <w:tr w:rsidR="00964915" w:rsidRPr="007672DA" w:rsidTr="0016337A">
        <w:trPr>
          <w:trHeight w:val="270"/>
          <w:jc w:val="center"/>
        </w:trPr>
        <w:tc>
          <w:tcPr>
            <w:tcW w:w="5000" w:type="pct"/>
            <w:gridSpan w:val="3"/>
            <w:tcBorders>
              <w:left w:val="nil"/>
              <w:bottom w:val="nil"/>
              <w:right w:val="nil"/>
            </w:tcBorders>
            <w:noWrap/>
            <w:vAlign w:val="center"/>
          </w:tcPr>
          <w:p w:rsidR="00964915" w:rsidRPr="007672DA" w:rsidRDefault="00964915"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tc>
      </w:tr>
      <w:tr w:rsidR="00964915" w:rsidRPr="007672DA" w:rsidTr="0016337A">
        <w:trPr>
          <w:trHeight w:val="270"/>
          <w:jc w:val="center"/>
        </w:trPr>
        <w:tc>
          <w:tcPr>
            <w:tcW w:w="5000" w:type="pct"/>
            <w:gridSpan w:val="3"/>
            <w:tcBorders>
              <w:top w:val="nil"/>
              <w:left w:val="nil"/>
              <w:bottom w:val="nil"/>
              <w:right w:val="nil"/>
            </w:tcBorders>
            <w:noWrap/>
            <w:vAlign w:val="center"/>
          </w:tcPr>
          <w:p w:rsidR="00964915" w:rsidRPr="007672DA" w:rsidRDefault="00964915" w:rsidP="00964915">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457C9F">
        <w:trPr>
          <w:trHeight w:val="270"/>
          <w:jc w:val="center"/>
        </w:trPr>
        <w:tc>
          <w:tcPr>
            <w:tcW w:w="2190" w:type="pct"/>
            <w:tcBorders>
              <w:top w:val="nil"/>
              <w:left w:val="nil"/>
              <w:right w:val="nil"/>
            </w:tcBorders>
            <w:noWrap/>
            <w:vAlign w:val="center"/>
          </w:tcPr>
          <w:p w:rsidR="00457C9F" w:rsidRPr="007672DA" w:rsidRDefault="00457C9F" w:rsidP="00773832">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457C9F">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
              <w:t>厦门市</w:t>
            </w:r>
          </w:p>
        </w:tc>
        <w:tc>
          <w:tcPr>
            <w:tcW w:w="1888" w:type="pct"/>
            <w:noWrap/>
            <w:vAlign w:val="center"/>
            <w:hideMark/>
          </w:tcPr>
          <w:p>
            <w:r>
              <w:t>0.1973051</w:t>
            </w:r>
          </w:p>
        </w:tc>
        <w:tc>
          <w:tcPr>
            <w:tcW w:w="922" w:type="pct"/>
            <w:noWrap/>
            <w:vAlign w:val="center"/>
            <w:hideMark/>
          </w:tcPr>
          <w:p>
            <w:r>
              <w:t>0    18.04</w:t>
              <w:br/>
              <w:t>1    45.42</w:t>
              <w:br/>
              <w:t>2    36.54</w:t>
              <w:br/>
              <w:t>Name: 市值, dtype: float64%</w:t>
            </w:r>
          </w:p>
        </w:tc>
      </w:tr>
      <w:tr w:rsidR="005F475E" w:rsidRPr="007672DA" w:rsidTr="00CA3CF5">
        <w:trPr>
          <w:trHeight w:val="270"/>
          <w:jc w:val="center"/>
        </w:trPr>
        <w:tc>
          <w:tcPr>
            <w:tcW w:w="2190" w:type="pct"/>
            <w:noWrap/>
            <w:vAlign w:val="center"/>
            <w:hideMark/>
          </w:tcPr>
          <w:p>
            <w:r>
              <w:t>晋江市</w:t>
            </w:r>
          </w:p>
        </w:tc>
        <w:tc>
          <w:tcPr>
            <w:tcW w:w="1888" w:type="pct"/>
            <w:noWrap/>
            <w:vAlign w:val="center"/>
            <w:hideMark/>
          </w:tcPr>
          <w:p>
            <w:r>
              <w:t>0.496703</w:t>
            </w:r>
          </w:p>
        </w:tc>
        <w:tc>
          <w:tcPr>
            <w:tcW w:w="922" w:type="pct"/>
            <w:noWrap/>
            <w:vAlign w:val="center"/>
            <w:hideMark/>
          </w:tcPr>
          <w:p>
            <w:r>
              <w:t>0    18.04</w:t>
              <w:br/>
              <w:t>1    45.42</w:t>
              <w:br/>
              <w:t>2    36.54</w:t>
              <w:br/>
              <w:t>Name: 市值, dtype: float64%</w:t>
            </w:r>
          </w:p>
        </w:tc>
      </w:tr>
      <w:tr w:rsidR="005F475E" w:rsidRPr="007672DA" w:rsidTr="00CA3CF5">
        <w:trPr>
          <w:trHeight w:val="270"/>
          <w:jc w:val="center"/>
        </w:trPr>
        <w:tc>
          <w:tcPr>
            <w:tcW w:w="2190" w:type="pct"/>
            <w:noWrap/>
            <w:vAlign w:val="center"/>
            <w:hideMark/>
          </w:tcPr>
          <w:p>
            <w:r>
              <w:t>福州市</w:t>
            </w:r>
          </w:p>
        </w:tc>
        <w:tc>
          <w:tcPr>
            <w:tcW w:w="1888" w:type="pct"/>
            <w:noWrap/>
            <w:vAlign w:val="center"/>
            <w:hideMark/>
          </w:tcPr>
          <w:p>
            <w:r>
              <w:t>0.3996188</w:t>
            </w:r>
          </w:p>
        </w:tc>
        <w:tc>
          <w:tcPr>
            <w:tcW w:w="922" w:type="pct"/>
            <w:noWrap/>
            <w:vAlign w:val="center"/>
            <w:hideMark/>
          </w:tcPr>
          <w:p>
            <w:r>
              <w:t>0    18.04</w:t>
              <w:br/>
              <w:t>1    45.42</w:t>
              <w:br/>
              <w:t>2    36.54</w:t>
              <w:br/>
              <w:t>Name: 市值, dtype: float64%</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3,991.66</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15.40%</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晋江市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4,960.61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19.14%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25,915.98</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457C9F">
        <w:trPr>
          <w:trHeight w:val="270"/>
          <w:jc w:val="center"/>
        </w:trPr>
        <w:tc>
          <w:tcPr>
            <w:tcW w:w="5000" w:type="pct"/>
            <w:gridSpan w:val="3"/>
            <w:tcBorders>
              <w:left w:val="nil"/>
              <w:bottom w:val="nil"/>
              <w:right w:val="nil"/>
            </w:tcBorders>
            <w:noWrap/>
            <w:vAlign w:val="center"/>
          </w:tcPr>
          <w:p w:rsidR="00457C9F" w:rsidRPr="007672DA" w:rsidRDefault="00457C9F"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tc>
      </w:tr>
      <w:tr w:rsidR="00457C9F" w:rsidRPr="007672DA" w:rsidTr="00457C9F">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b/>
          <w:sz w:val="32"/>
          <w:szCs w:val="32"/>
        </w:rPr>
        <w:t>（</w:t>
      </w:r>
      <w:r w:rsidRPr="007672DA">
        <w:rPr>
          <w:rFonts w:ascii="仿宋_GB2312" w:eastAsia="仿宋_GB2312" w:hAnsi="Calibri" w:cs="Times New Roman" w:hint="eastAsia"/>
          <w:b/>
          <w:sz w:val="32"/>
          <w:szCs w:val="32"/>
        </w:rPr>
        <w:t>2</w:t>
      </w:r>
      <w:r w:rsidRPr="007672DA">
        <w:rPr>
          <w:rFonts w:ascii="仿宋_GB2312" w:eastAsia="仿宋_GB2312" w:hAnsi="Calibri" w:cs="Times New Roman"/>
          <w:b/>
          <w:sz w:val="32"/>
          <w:szCs w:val="32"/>
        </w:rPr>
        <w:t>）理财事业部</w:t>
      </w:r>
    </w:p>
    <w:tbl>
      <w:tblPr>
        <w:tblStyle w:val="a3"/>
        <w:tblW w:w="8440" w:type="dxa"/>
        <w:jc w:val="center"/>
        <w:tblInd w:w="142" w:type="dxa"/>
        <w:tblLayout w:type="fixed"/>
        <w:tblLook w:val="04A0" w:firstRow="1" w:lastRow="0" w:firstColumn="1" w:lastColumn="0" w:noHBand="0" w:noVBand="1"/>
      </w:tblPr>
      <w:tblGrid>
        <w:gridCol w:w="2518"/>
        <w:gridCol w:w="1410"/>
        <w:gridCol w:w="1421"/>
        <w:gridCol w:w="1701"/>
        <w:gridCol w:w="1390"/>
      </w:tblGrid>
      <w:tr w:rsidR="00BC6F6D" w:rsidRPr="007672DA" w:rsidTr="009822EF">
        <w:trPr>
          <w:trHeight w:val="270"/>
          <w:jc w:val="center"/>
        </w:trPr>
        <w:tc>
          <w:tcPr>
            <w:tcW w:w="25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部门:理财事业部</w:t>
            </w:r>
          </w:p>
        </w:tc>
        <w:tc>
          <w:tcPr>
            <w:tcW w:w="1410"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1421"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3091"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BC6F6D" w:rsidRPr="007672DA" w:rsidTr="009822EF">
        <w:trPr>
          <w:trHeight w:val="270"/>
          <w:jc w:val="center"/>
        </w:trPr>
        <w:tc>
          <w:tcPr>
            <w:tcW w:w="2518"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区间</w:t>
            </w:r>
          </w:p>
        </w:tc>
        <w:tc>
          <w:tcPr>
            <w:tcW w:w="1410"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主体数量</w:t>
            </w:r>
          </w:p>
        </w:tc>
        <w:tc>
          <w:tcPr>
            <w:tcW w:w="1421" w:type="dxa"/>
            <w:noWrap/>
            <w:hideMark/>
          </w:tcPr>
          <w:p w:rsidR="00BC6F6D" w:rsidRPr="007672DA" w:rsidRDefault="00BC6F6D" w:rsidP="00BC6F6D">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业务余额</w:t>
            </w:r>
          </w:p>
        </w:tc>
        <w:tc>
          <w:tcPr>
            <w:tcW w:w="1390" w:type="dxa"/>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占比</w:t>
            </w:r>
          </w:p>
        </w:tc>
      </w:tr>
      <w:tr w:rsidR="005F475E" w:rsidRPr="007672DA" w:rsidTr="001B5773">
        <w:trPr>
          <w:trHeight w:val="270"/>
          <w:jc w:val="center"/>
        </w:trPr>
        <w:tc>
          <w:tcPr>
            <w:tcW w:w="2518" w:type="dxa"/>
            <w:noWrap/>
            <w:hideMark/>
          </w:tcPr>
          <w:p>
            <w:r>
              <w:t>22</w:t>
            </w:r>
          </w:p>
        </w:tc>
        <w:tc>
          <w:tcPr>
            <w:tcW w:w="1410" w:type="dxa"/>
            <w:noWrap/>
            <w:vAlign w:val="center"/>
            <w:hideMark/>
          </w:tcPr>
          <w:p>
            <w:r>
              <w:t>24</w:t>
            </w:r>
          </w:p>
        </w:tc>
        <w:tc>
          <w:tcPr>
            <w:tcW w:w="1421" w:type="dxa"/>
            <w:noWrap/>
            <w:vAlign w:val="center"/>
          </w:tcPr>
          <w:p>
            <w:r>
              <w:t>5.34</w:t>
            </w:r>
          </w:p>
        </w:tc>
        <w:tc>
          <w:tcPr>
            <w:tcW w:w="1701" w:type="dxa"/>
            <w:noWrap/>
            <w:vAlign w:val="center"/>
          </w:tcPr>
          <w:p>
            <w:r>
              <w:t>0.0%</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21.37%</w:t>
            </w:r>
          </w:p>
        </w:tc>
      </w:tr>
      <w:tr w:rsidR="005F475E" w:rsidRPr="007672DA" w:rsidTr="001B5773">
        <w:trPr>
          <w:trHeight w:val="270"/>
          <w:jc w:val="center"/>
        </w:trPr>
        <w:tc>
          <w:tcPr>
            <w:tcW w:w="2518" w:type="dxa"/>
            <w:noWrap/>
            <w:hideMark/>
          </w:tcPr>
          <w:p>
            <w:r>
              <w:t>7</w:t>
            </w:r>
          </w:p>
        </w:tc>
        <w:tc>
          <w:tcPr>
            <w:tcW w:w="1410" w:type="dxa"/>
            <w:noWrap/>
            <w:vAlign w:val="center"/>
            <w:hideMark/>
          </w:tcPr>
          <w:p>
            <w:r>
              <w:t>8</w:t>
            </w:r>
          </w:p>
        </w:tc>
        <w:tc>
          <w:tcPr>
            <w:tcW w:w="1421" w:type="dxa"/>
            <w:noWrap/>
            <w:vAlign w:val="center"/>
          </w:tcPr>
          <w:p>
            <w:r>
              <w:t>4.15</w:t>
            </w:r>
          </w:p>
        </w:tc>
        <w:tc>
          <w:tcPr>
            <w:tcW w:w="1701" w:type="dxa"/>
            <w:noWrap/>
            <w:vAlign w:val="center"/>
          </w:tcPr>
          <w:p>
            <w:r>
              <w:t>0.0%</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34.61%</w:t>
            </w:r>
          </w:p>
        </w:tc>
      </w:tr>
      <w:tr w:rsidR="005F475E" w:rsidRPr="007672DA" w:rsidTr="001B5773">
        <w:trPr>
          <w:trHeight w:val="270"/>
          <w:jc w:val="center"/>
        </w:trPr>
        <w:tc>
          <w:tcPr>
            <w:tcW w:w="2518" w:type="dxa"/>
            <w:noWrap/>
            <w:hideMark/>
          </w:tcPr>
          <w:p>
            <w:r>
              <w:t>4</w:t>
            </w:r>
          </w:p>
        </w:tc>
        <w:tc>
          <w:tcPr>
            <w:tcW w:w="1410" w:type="dxa"/>
            <w:noWrap/>
            <w:vAlign w:val="center"/>
            <w:hideMark/>
          </w:tcPr>
          <w:p>
            <w:r>
              <w:t>6</w:t>
            </w:r>
          </w:p>
        </w:tc>
        <w:tc>
          <w:tcPr>
            <w:tcW w:w="1421" w:type="dxa"/>
            <w:noWrap/>
            <w:vAlign w:val="center"/>
          </w:tcPr>
          <w:p>
            <w:r>
              <w:t>4.85</w:t>
            </w:r>
          </w:p>
        </w:tc>
        <w:tc>
          <w:tcPr>
            <w:tcW w:w="1701" w:type="dxa"/>
            <w:noWrap/>
            <w:vAlign w:val="center"/>
          </w:tcPr>
          <w:p>
            <w:r>
              <w:t>0.0%</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37.24%</w:t>
            </w:r>
          </w:p>
        </w:tc>
      </w:tr>
      <w:tr w:rsidR="005F475E" w:rsidRPr="007672DA" w:rsidTr="001B5773">
        <w:trPr>
          <w:trHeight w:val="270"/>
          <w:jc w:val="center"/>
        </w:trPr>
        <w:tc>
          <w:tcPr>
            <w:tcW w:w="2518" w:type="dxa"/>
            <w:noWrap/>
            <w:hideMark/>
          </w:tcPr>
          <w:p>
            <w:r>
              <w:t>107</w:t>
            </w:r>
          </w:p>
        </w:tc>
        <w:tc>
          <w:tcPr>
            <w:tcW w:w="1410" w:type="dxa"/>
            <w:noWrap/>
            <w:vAlign w:val="center"/>
            <w:hideMark/>
          </w:tcPr>
          <w:p>
            <w:r>
              <w:t>222</w:t>
            </w:r>
          </w:p>
        </w:tc>
        <w:tc>
          <w:tcPr>
            <w:tcW w:w="1421" w:type="dxa"/>
            <w:noWrap/>
            <w:vAlign w:val="center"/>
          </w:tcPr>
          <w:p>
            <w:r>
              <w:t>5137240571.18</w:t>
            </w:r>
          </w:p>
        </w:tc>
        <w:tc>
          <w:tcPr>
            <w:tcW w:w="1701" w:type="dxa"/>
            <w:noWrap/>
            <w:vAlign w:val="center"/>
          </w:tcPr>
          <w:p>
            <w:r>
              <w:t>100.0%</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6.78%</w:t>
            </w:r>
          </w:p>
        </w:tc>
      </w:tr>
      <w:tr w:rsidR="005F475E" w:rsidRPr="007672DA" w:rsidTr="001B5773">
        <w:trPr>
          <w:trHeight w:val="270"/>
          <w:jc w:val="center"/>
        </w:trPr>
        <w:tc>
          <w:tcPr>
            <w:tcW w:w="2518" w:type="dxa"/>
            <w:tcBorders>
              <w:bottom w:val="single" w:sz="4" w:space="0" w:color="auto"/>
            </w:tcBorders>
            <w:noWrap/>
            <w:hideMark/>
          </w:tcPr>
          <w:p w:rsidR="005F475E" w:rsidRPr="007672DA" w:rsidRDefault="005F475E"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合计</w:t>
            </w:r>
          </w:p>
        </w:tc>
        <w:tc>
          <w:tcPr>
            <w:tcW w:w="1410" w:type="dxa"/>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144</w:t>
            </w:r>
          </w:p>
        </w:tc>
        <w:tc>
          <w:tcPr>
            <w:tcW w:w="142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264</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835,135.07</w:t>
            </w:r>
          </w:p>
        </w:tc>
        <w:tc>
          <w:tcPr>
            <w:tcW w:w="1390"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1A717C" w:rsidRPr="007672DA" w:rsidTr="00873378">
        <w:trPr>
          <w:trHeight w:val="270"/>
          <w:jc w:val="center"/>
        </w:trPr>
        <w:tc>
          <w:tcPr>
            <w:tcW w:w="8440" w:type="dxa"/>
            <w:gridSpan w:val="5"/>
            <w:tcBorders>
              <w:left w:val="nil"/>
              <w:bottom w:val="nil"/>
              <w:right w:val="nil"/>
            </w:tcBorders>
            <w:noWrap/>
            <w:hideMark/>
          </w:tcPr>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备注：覆盖委外项下非金融企业债券投资</w:t>
            </w:r>
          </w:p>
        </w:tc>
      </w:tr>
    </w:tbl>
    <w:p w:rsidR="00C41E9D" w:rsidRPr="007672DA" w:rsidRDefault="00C41E9D"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4991" w:type="pct"/>
        <w:jc w:val="center"/>
        <w:tblInd w:w="-318" w:type="dxa"/>
        <w:tblLayout w:type="fixed"/>
        <w:tblLook w:val="04A0" w:firstRow="1" w:lastRow="0" w:firstColumn="1" w:lastColumn="0" w:noHBand="0" w:noVBand="1"/>
      </w:tblPr>
      <w:tblGrid>
        <w:gridCol w:w="5297"/>
        <w:gridCol w:w="1934"/>
        <w:gridCol w:w="1276"/>
      </w:tblGrid>
      <w:tr w:rsidR="00C41E9D" w:rsidRPr="007672DA" w:rsidTr="007018DF">
        <w:trPr>
          <w:trHeight w:val="270"/>
          <w:jc w:val="center"/>
        </w:trPr>
        <w:tc>
          <w:tcPr>
            <w:tcW w:w="3113" w:type="pct"/>
            <w:tcBorders>
              <w:top w:val="nil"/>
              <w:left w:val="nil"/>
              <w:right w:val="nil"/>
            </w:tcBorders>
            <w:noWrap/>
            <w:vAlign w:val="center"/>
          </w:tcPr>
          <w:p w:rsidR="00C41E9D" w:rsidRPr="007672DA" w:rsidRDefault="00C41E9D" w:rsidP="00C41E9D">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8"/>
              </w:rPr>
              <w:t>部门:理财事业部</w:t>
            </w:r>
          </w:p>
        </w:tc>
        <w:tc>
          <w:tcPr>
            <w:tcW w:w="1887" w:type="pct"/>
            <w:gridSpan w:val="2"/>
            <w:tcBorders>
              <w:top w:val="nil"/>
              <w:left w:val="nil"/>
              <w:right w:val="nil"/>
            </w:tcBorders>
            <w:noWrap/>
            <w:vAlign w:val="center"/>
          </w:tcPr>
          <w:p w:rsidR="00C41E9D" w:rsidRPr="007672DA" w:rsidRDefault="00C41E9D" w:rsidP="00C41E9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C41E9D" w:rsidRPr="007672DA" w:rsidTr="007018DF">
        <w:trPr>
          <w:trHeight w:val="270"/>
          <w:jc w:val="center"/>
        </w:trPr>
        <w:tc>
          <w:tcPr>
            <w:tcW w:w="3113"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lastRenderedPageBreak/>
              <w:t>发行主体</w:t>
            </w:r>
          </w:p>
        </w:tc>
        <w:tc>
          <w:tcPr>
            <w:tcW w:w="1137"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750"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7018DF">
        <w:trPr>
          <w:trHeight w:val="270"/>
          <w:jc w:val="center"/>
        </w:trPr>
        <w:tc>
          <w:tcPr>
            <w:tcW w:w="3113" w:type="pct"/>
            <w:noWrap/>
            <w:vAlign w:val="center"/>
            <w:hideMark/>
          </w:tcPr>
          <w:p>
            <w:r>
              <w:t>建安投资控股集团有限公司</w:t>
            </w:r>
          </w:p>
        </w:tc>
        <w:tc>
          <w:tcPr>
            <w:tcW w:w="1137" w:type="pct"/>
            <w:noWrap/>
            <w:vAlign w:val="center"/>
            <w:hideMark/>
          </w:tcPr>
          <w:p>
            <w:r>
              <w:t>30198000.0</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江西省交通投资集团有限责任公司</w:t>
            </w:r>
          </w:p>
        </w:tc>
        <w:tc>
          <w:tcPr>
            <w:tcW w:w="1137" w:type="pct"/>
            <w:noWrap/>
            <w:vAlign w:val="center"/>
            <w:hideMark/>
          </w:tcPr>
          <w:p>
            <w:r>
              <w:t>60378150.91</w:t>
            </w:r>
          </w:p>
        </w:tc>
        <w:tc>
          <w:tcPr>
            <w:tcW w:w="750" w:type="pct"/>
            <w:noWrap/>
            <w:vAlign w:val="center"/>
            <w:hideMark/>
          </w:tcPr>
          <w:p>
            <w:r>
              <w:t>6</w:t>
            </w:r>
          </w:p>
        </w:tc>
      </w:tr>
      <w:tr w:rsidR="005F475E" w:rsidRPr="007672DA" w:rsidTr="007018DF">
        <w:trPr>
          <w:trHeight w:val="270"/>
          <w:jc w:val="center"/>
        </w:trPr>
        <w:tc>
          <w:tcPr>
            <w:tcW w:w="3113" w:type="pct"/>
            <w:noWrap/>
            <w:vAlign w:val="center"/>
            <w:hideMark/>
          </w:tcPr>
          <w:p>
            <w:r>
              <w:t>郴州市百福投资集团有限公司</w:t>
            </w:r>
          </w:p>
        </w:tc>
        <w:tc>
          <w:tcPr>
            <w:tcW w:w="1137" w:type="pct"/>
            <w:noWrap/>
            <w:vAlign w:val="center"/>
            <w:hideMark/>
          </w:tcPr>
          <w:p>
            <w:r>
              <w:t>1787400.0</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遵义道桥建设(集团)有限公司</w:t>
            </w:r>
          </w:p>
        </w:tc>
        <w:tc>
          <w:tcPr>
            <w:tcW w:w="1137" w:type="pct"/>
            <w:noWrap/>
            <w:vAlign w:val="center"/>
            <w:hideMark/>
          </w:tcPr>
          <w:p>
            <w:r>
              <w:t>0.11</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苏州市相城城市建设投资(集团)有限公司</w:t>
            </w:r>
          </w:p>
        </w:tc>
        <w:tc>
          <w:tcPr>
            <w:tcW w:w="1137" w:type="pct"/>
            <w:noWrap/>
            <w:vAlign w:val="center"/>
            <w:hideMark/>
          </w:tcPr>
          <w:p>
            <w:r>
              <w:t>62844000.0</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青海省国有资产投资管理有限公司</w:t>
            </w:r>
          </w:p>
        </w:tc>
        <w:tc>
          <w:tcPr>
            <w:tcW w:w="1137" w:type="pct"/>
            <w:noWrap/>
            <w:vAlign w:val="center"/>
            <w:hideMark/>
          </w:tcPr>
          <w:p>
            <w:r>
              <w:t>0.24</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江苏洋口港建设发展集团有限公司</w:t>
            </w:r>
          </w:p>
        </w:tc>
        <w:tc>
          <w:tcPr>
            <w:tcW w:w="1137" w:type="pct"/>
            <w:noWrap/>
            <w:vAlign w:val="center"/>
            <w:hideMark/>
          </w:tcPr>
          <w:p>
            <w:r>
              <w:t>6117420.21</w:t>
            </w:r>
          </w:p>
        </w:tc>
        <w:tc>
          <w:tcPr>
            <w:tcW w:w="750" w:type="pct"/>
            <w:noWrap/>
            <w:vAlign w:val="center"/>
            <w:hideMark/>
          </w:tcPr>
          <w:p>
            <w:r>
              <w:t>3</w:t>
            </w:r>
          </w:p>
        </w:tc>
      </w:tr>
      <w:tr w:rsidR="005F475E" w:rsidRPr="007672DA" w:rsidTr="007018DF">
        <w:trPr>
          <w:trHeight w:val="270"/>
          <w:jc w:val="center"/>
        </w:trPr>
        <w:tc>
          <w:tcPr>
            <w:tcW w:w="3113" w:type="pct"/>
            <w:noWrap/>
            <w:vAlign w:val="center"/>
            <w:hideMark/>
          </w:tcPr>
          <w:p>
            <w:r>
              <w:t>宿迁高新开发投资有限公司</w:t>
            </w:r>
          </w:p>
        </w:tc>
        <w:tc>
          <w:tcPr>
            <w:tcW w:w="1137" w:type="pct"/>
            <w:noWrap/>
            <w:vAlign w:val="center"/>
            <w:hideMark/>
          </w:tcPr>
          <w:p>
            <w:r>
              <w:t>0.44</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北京国有资本经营管理中心</w:t>
            </w:r>
          </w:p>
        </w:tc>
        <w:tc>
          <w:tcPr>
            <w:tcW w:w="1137" w:type="pct"/>
            <w:noWrap/>
            <w:vAlign w:val="center"/>
            <w:hideMark/>
          </w:tcPr>
          <w:p>
            <w:r>
              <w:t>40477720.51</w:t>
            </w:r>
          </w:p>
        </w:tc>
        <w:tc>
          <w:tcPr>
            <w:tcW w:w="750" w:type="pct"/>
            <w:noWrap/>
            <w:vAlign w:val="center"/>
            <w:hideMark/>
          </w:tcPr>
          <w:p>
            <w:r>
              <w:t>3</w:t>
            </w:r>
          </w:p>
        </w:tc>
      </w:tr>
      <w:tr w:rsidR="005F475E" w:rsidRPr="007672DA" w:rsidTr="007018DF">
        <w:trPr>
          <w:trHeight w:val="270"/>
          <w:jc w:val="center"/>
        </w:trPr>
        <w:tc>
          <w:tcPr>
            <w:tcW w:w="3113" w:type="pct"/>
            <w:tcBorders>
              <w:bottom w:val="single" w:sz="4" w:space="0" w:color="auto"/>
            </w:tcBorders>
            <w:noWrap/>
            <w:vAlign w:val="center"/>
            <w:hideMark/>
          </w:tcPr>
          <w:p>
            <w:r>
              <w:t>台州市城市建设投资发展集团有限公司</w:t>
            </w:r>
          </w:p>
        </w:tc>
        <w:tc>
          <w:tcPr>
            <w:tcW w:w="1137" w:type="pct"/>
            <w:tcBorders>
              <w:bottom w:val="single" w:sz="4" w:space="0" w:color="auto"/>
            </w:tcBorders>
            <w:noWrap/>
            <w:vAlign w:val="center"/>
            <w:hideMark/>
          </w:tcPr>
          <w:p>
            <w:r>
              <w:t>30617340.0</w:t>
            </w:r>
          </w:p>
        </w:tc>
        <w:tc>
          <w:tcPr>
            <w:tcW w:w="750" w:type="pct"/>
            <w:tcBorders>
              <w:bottom w:val="single" w:sz="4" w:space="0" w:color="auto"/>
            </w:tcBorders>
            <w:noWrap/>
            <w:vAlign w:val="center"/>
            <w:hideMark/>
          </w:tcPr>
          <w:p>
            <w:r>
              <w:t>2</w:t>
            </w:r>
          </w:p>
        </w:tc>
      </w:tr>
      <w:tr w:rsidR="00C41E9D" w:rsidRPr="007672DA" w:rsidTr="007018DF">
        <w:trPr>
          <w:trHeight w:val="270"/>
          <w:jc w:val="center"/>
        </w:trPr>
        <w:tc>
          <w:tcPr>
            <w:tcW w:w="5000" w:type="pct"/>
            <w:gridSpan w:val="3"/>
            <w:tcBorders>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tc>
      </w:tr>
      <w:tr w:rsidR="00C41E9D" w:rsidRPr="007672DA" w:rsidTr="007018DF">
        <w:trPr>
          <w:trHeight w:val="270"/>
          <w:jc w:val="center"/>
        </w:trPr>
        <w:tc>
          <w:tcPr>
            <w:tcW w:w="5000" w:type="pct"/>
            <w:gridSpan w:val="3"/>
            <w:tcBorders>
              <w:top w:val="nil"/>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备注：覆盖委外项下非金融企业债券投资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773832">
        <w:trPr>
          <w:trHeight w:val="270"/>
          <w:jc w:val="center"/>
        </w:trPr>
        <w:tc>
          <w:tcPr>
            <w:tcW w:w="2190" w:type="pct"/>
            <w:tcBorders>
              <w:top w:val="nil"/>
              <w:left w:val="nil"/>
              <w:right w:val="nil"/>
            </w:tcBorders>
            <w:noWrap/>
            <w:vAlign w:val="center"/>
          </w:tcPr>
          <w:p w:rsidR="00457C9F" w:rsidRPr="007672DA" w:rsidRDefault="00457C9F" w:rsidP="00457C9F">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部门:理财事业部</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773832">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
              <w:t>厦门市</w:t>
            </w:r>
          </w:p>
        </w:tc>
        <w:tc>
          <w:tcPr>
            <w:tcW w:w="1888" w:type="pct"/>
            <w:noWrap/>
            <w:vAlign w:val="center"/>
            <w:hideMark/>
          </w:tcPr>
          <w:p>
            <w:r>
              <w:t>357470973.88522863</w:t>
            </w:r>
          </w:p>
        </w:tc>
        <w:tc>
          <w:tcPr>
            <w:tcW w:w="922" w:type="pct"/>
            <w:noWrap/>
            <w:vAlign w:val="center"/>
            <w:hideMark/>
          </w:tcPr>
          <w:p>
            <w:r>
              <w:t>0    72.80</w:t>
              <w:br/>
              <w:t>1     0.00</w:t>
              <w:br/>
              <w:t>2    21.09</w:t>
              <w:br/>
              <w:t>3     6.11</w:t>
              <w:br/>
              <w:t>Name: 市值, dtype: float64%</w:t>
            </w:r>
          </w:p>
        </w:tc>
      </w:tr>
      <w:tr w:rsidR="005F475E" w:rsidRPr="007672DA" w:rsidTr="00CA3CF5">
        <w:trPr>
          <w:trHeight w:val="270"/>
          <w:jc w:val="center"/>
        </w:trPr>
        <w:tc>
          <w:tcPr>
            <w:tcW w:w="2190" w:type="pct"/>
            <w:noWrap/>
            <w:vAlign w:val="center"/>
            <w:hideMark/>
          </w:tcPr>
          <w:p>
            <w:r>
              <w:t>泉州市</w:t>
            </w:r>
          </w:p>
        </w:tc>
        <w:tc>
          <w:tcPr>
            <w:tcW w:w="1888" w:type="pct"/>
            <w:noWrap/>
            <w:vAlign w:val="center"/>
            <w:hideMark/>
          </w:tcPr>
          <w:p>
            <w:r>
              <w:t>0.2085722329</w:t>
            </w:r>
          </w:p>
        </w:tc>
        <w:tc>
          <w:tcPr>
            <w:tcW w:w="922" w:type="pct"/>
            <w:noWrap/>
            <w:vAlign w:val="center"/>
            <w:hideMark/>
          </w:tcPr>
          <w:p>
            <w:r>
              <w:t>0    72.80</w:t>
              <w:br/>
              <w:t>1     0.00</w:t>
              <w:br/>
              <w:t>2    21.09</w:t>
              <w:br/>
              <w:t>3     6.11</w:t>
              <w:br/>
              <w:t>Name: 市值, dtype: float64%</w:t>
            </w:r>
          </w:p>
        </w:tc>
      </w:tr>
      <w:tr w:rsidR="005F475E" w:rsidRPr="007672DA" w:rsidTr="00CA3CF5">
        <w:trPr>
          <w:trHeight w:val="270"/>
          <w:jc w:val="center"/>
        </w:trPr>
        <w:tc>
          <w:tcPr>
            <w:tcW w:w="2190" w:type="pct"/>
            <w:noWrap/>
            <w:vAlign w:val="center"/>
            <w:hideMark/>
          </w:tcPr>
          <w:p>
            <w:r>
              <w:t>漳州市</w:t>
            </w:r>
          </w:p>
        </w:tc>
        <w:tc>
          <w:tcPr>
            <w:tcW w:w="1888" w:type="pct"/>
            <w:noWrap/>
            <w:vAlign w:val="center"/>
            <w:hideMark/>
          </w:tcPr>
          <w:p>
            <w:r>
              <w:t>103550000.2033863</w:t>
            </w:r>
          </w:p>
        </w:tc>
        <w:tc>
          <w:tcPr>
            <w:tcW w:w="922" w:type="pct"/>
            <w:noWrap/>
            <w:vAlign w:val="center"/>
            <w:hideMark/>
          </w:tcPr>
          <w:p>
            <w:r>
              <w:t>0    72.80</w:t>
              <w:br/>
              <w:t>1     0.00</w:t>
              <w:br/>
              <w:t>2    21.09</w:t>
              <w:br/>
              <w:t>3     6.11</w:t>
              <w:br/>
              <w:t>Name: 市值, dtype: float64%</w:t>
            </w:r>
          </w:p>
        </w:tc>
      </w:tr>
      <w:tr w:rsidR="005F475E" w:rsidRPr="007672DA" w:rsidTr="00CA3CF5">
        <w:trPr>
          <w:trHeight w:val="270"/>
          <w:jc w:val="center"/>
        </w:trPr>
        <w:tc>
          <w:tcPr>
            <w:tcW w:w="2190" w:type="pct"/>
            <w:noWrap/>
            <w:vAlign w:val="center"/>
          </w:tcPr>
          <w:p>
            <w:r>
              <w:t>福州市</w:t>
            </w:r>
          </w:p>
        </w:tc>
        <w:tc>
          <w:tcPr>
            <w:tcW w:w="1888" w:type="pct"/>
            <w:noWrap/>
            <w:vAlign w:val="center"/>
          </w:tcPr>
          <w:p>
            <w:r>
              <w:t>30000000.0</w:t>
            </w:r>
          </w:p>
        </w:tc>
        <w:tc>
          <w:tcPr>
            <w:tcW w:w="922" w:type="pct"/>
            <w:noWrap/>
            <w:vAlign w:val="center"/>
          </w:tcPr>
          <w:p>
            <w:r>
              <w:t>0    72.80</w:t>
              <w:br/>
              <w:t>1     0.00</w:t>
              <w:br/>
              <w:t>2    21.09</w:t>
              <w:br/>
              <w:t>3     6.11</w:t>
              <w:br/>
              <w:t>Name: 市值, dtype: float64%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78,109.63</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773832">
        <w:trPr>
          <w:trHeight w:val="270"/>
          <w:jc w:val="center"/>
        </w:trPr>
        <w:tc>
          <w:tcPr>
            <w:tcW w:w="5000" w:type="pct"/>
            <w:gridSpan w:val="3"/>
            <w:tcBorders>
              <w:left w:val="nil"/>
              <w:bottom w:val="nil"/>
              <w:right w:val="nil"/>
            </w:tcBorders>
            <w:noWrap/>
            <w:vAlign w:val="center"/>
          </w:tcPr>
          <w:p w:rsidR="00457C9F" w:rsidRPr="007672DA" w:rsidRDefault="00457C9F" w:rsidP="00773832">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w:t>
            </w:r>
            <w:r w:rsidR="00AE3B80" w:rsidRPr="007672DA">
              <w:rPr>
                <w:rFonts w:ascii="仿宋" w:eastAsia="仿宋" w:hAnsi="仿宋" w:cs="宋体" w:hint="eastAsia"/>
                <w:color w:val="000000"/>
                <w:kern w:val="0"/>
                <w:sz w:val="24"/>
                <w:szCs w:val="28"/>
              </w:rPr>
              <w:t>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00AE3B80" w:rsidRPr="007672DA">
              <w:rPr>
                <w:rFonts w:ascii="仿宋" w:eastAsia="仿宋" w:hAnsi="仿宋" w:cs="宋体" w:hint="eastAsia"/>
                <w:color w:val="000000"/>
                <w:kern w:val="0"/>
                <w:sz w:val="24"/>
                <w:szCs w:val="28"/>
              </w:rPr>
              <w:t>、理财委外估值表</w:t>
            </w:r>
          </w:p>
        </w:tc>
      </w:tr>
      <w:tr w:rsidR="00457C9F" w:rsidRPr="007672DA" w:rsidTr="00773832">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w:t>
            </w:r>
            <w:r w:rsidR="00AE3B80" w:rsidRPr="007672DA">
              <w:rPr>
                <w:rFonts w:ascii="仿宋" w:eastAsia="仿宋" w:hAnsi="仿宋" w:cs="宋体" w:hint="eastAsia"/>
                <w:color w:val="000000"/>
                <w:kern w:val="0"/>
                <w:sz w:val="24"/>
                <w:szCs w:val="28"/>
              </w:rPr>
              <w:t>覆盖委外项下非金融企业债券投资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2.</w:t>
      </w:r>
      <w:proofErr w:type="gramStart"/>
      <w:r w:rsidRPr="007672DA">
        <w:rPr>
          <w:rFonts w:ascii="仿宋_GB2312" w:eastAsia="仿宋_GB2312" w:hAnsi="Calibri" w:cs="Times New Roman" w:hint="eastAsia"/>
          <w:b/>
          <w:sz w:val="32"/>
          <w:szCs w:val="32"/>
        </w:rPr>
        <w:t>久期指标</w:t>
      </w:r>
      <w:proofErr w:type="gramEnd"/>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单位：万元、年</w:t>
      </w:r>
    </w:p>
    <w:tbl>
      <w:tblPr>
        <w:tblStyle w:val="a3"/>
        <w:tblW w:w="5000" w:type="pct"/>
        <w:tblLook w:val="04A0" w:firstRow="1" w:lastRow="0" w:firstColumn="1" w:lastColumn="0" w:noHBand="0" w:noVBand="1"/>
      </w:tblPr>
      <w:tblGrid>
        <w:gridCol w:w="4427"/>
        <w:gridCol w:w="2225"/>
        <w:gridCol w:w="1870"/>
      </w:tblGrid>
      <w:tr w:rsidR="009E2131" w:rsidRPr="007672DA" w:rsidTr="005F475E">
        <w:trPr>
          <w:trHeight w:val="270"/>
        </w:trPr>
        <w:tc>
          <w:tcPr>
            <w:tcW w:w="2626"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294"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债券规模</w:t>
            </w:r>
          </w:p>
        </w:tc>
        <w:tc>
          <w:tcPr>
            <w:tcW w:w="1080"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proofErr w:type="gramStart"/>
            <w:r w:rsidRPr="007672DA">
              <w:rPr>
                <w:rFonts w:ascii="宋体" w:eastAsia="宋体" w:hAnsi="宋体" w:cs="宋体" w:hint="eastAsia"/>
                <w:b/>
                <w:color w:val="000000"/>
                <w:kern w:val="0"/>
                <w:sz w:val="28"/>
                <w:szCs w:val="28"/>
              </w:rPr>
              <w:t>加权久期</w:t>
            </w:r>
            <w:proofErr w:type="gramEnd"/>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同业业务中心</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
              <w:t>303.51875249554155</w:t>
            </w:r>
          </w:p>
        </w:tc>
        <w:tc>
          <w:tcPr>
            <w:tcW w:w="1080" w:type="pct"/>
            <w:noWrap/>
            <w:vAlign w:val="center"/>
          </w:tcPr>
          <w:p>
            <w:r>
              <w:t>3.3626341316096773</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
              <w:t>219.64862886653984</w:t>
            </w:r>
          </w:p>
        </w:tc>
        <w:tc>
          <w:tcPr>
            <w:tcW w:w="1080" w:type="pct"/>
            <w:noWrap/>
            <w:vAlign w:val="center"/>
          </w:tcPr>
          <w:p>
            <w:r>
              <w:t>4.15703310739573</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tcPr>
          <w:p>
            <w:r>
              <w:t>31.183566699999997</w:t>
            </w:r>
          </w:p>
        </w:tc>
        <w:tc>
          <w:tcPr>
            <w:tcW w:w="1080" w:type="pct"/>
            <w:noWrap/>
            <w:vAlign w:val="center"/>
          </w:tcPr>
          <w:p>
            <w:r>
              <w:t>0.6947834546700522</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tcPr>
          <w:p>
            <w:r>
              <w:t>52.686556929001675</w:t>
            </w:r>
          </w:p>
        </w:tc>
        <w:tc>
          <w:tcPr>
            <w:tcW w:w="1080" w:type="pct"/>
            <w:noWrap/>
            <w:vAlign w:val="center"/>
          </w:tcPr>
          <w:p>
            <w:r>
              <w:t>1.6298288090407897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理财事业部</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
              <w:t>6385709506.56415</w:t>
            </w:r>
          </w:p>
        </w:tc>
        <w:tc>
          <w:tcPr>
            <w:tcW w:w="1080" w:type="pct"/>
            <w:noWrap/>
            <w:vAlign w:val="center"/>
          </w:tcPr>
          <w:p>
            <w:r>
              <w:t>2.1075826145765193</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
              <w:t>980514819.4009693</w:t>
            </w:r>
          </w:p>
        </w:tc>
        <w:tc>
          <w:tcPr>
            <w:tcW w:w="1080" w:type="pct"/>
            <w:noWrap/>
            <w:vAlign w:val="center"/>
          </w:tcPr>
          <w:p>
            <w:r>
              <w:t>4.579516449032501</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hideMark/>
          </w:tcPr>
          <w:p>
            <w:r>
              <w:t>267954101.63648307</w:t>
            </w:r>
          </w:p>
        </w:tc>
        <w:tc>
          <w:tcPr>
            <w:tcW w:w="1080" w:type="pct"/>
            <w:noWrap/>
            <w:vAlign w:val="center"/>
            <w:hideMark/>
          </w:tcPr>
          <w:p>
            <w:r>
              <w:t>3.1882381181712574</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hideMark/>
          </w:tcPr>
          <w:p>
            <w:r>
              <w:t>5137240585.526698</w:t>
            </w:r>
          </w:p>
        </w:tc>
        <w:tc>
          <w:tcPr>
            <w:tcW w:w="1080" w:type="pct"/>
            <w:noWrap/>
            <w:vAlign w:val="center"/>
            <w:hideMark/>
          </w:tcPr>
          <w:p>
            <w:r>
              <w:t>1.5794131066988175</w:t>
            </w:r>
          </w:p>
        </w:tc>
      </w:tr>
      <w:tr w:rsidR="00A415CE" w:rsidRPr="007672DA" w:rsidTr="004A6CF0">
        <w:trPr>
          <w:trHeight w:val="270"/>
        </w:trPr>
        <w:tc>
          <w:tcPr>
            <w:tcW w:w="5000" w:type="pct"/>
            <w:gridSpan w:val="3"/>
            <w:tcBorders>
              <w:left w:val="nil"/>
              <w:bottom w:val="nil"/>
              <w:right w:val="nil"/>
            </w:tcBorders>
            <w:noWrap/>
            <w:vAlign w:val="center"/>
          </w:tcPr>
          <w:p w:rsidR="00A415CE" w:rsidRPr="007672DA" w:rsidRDefault="00A415CE" w:rsidP="0022695A">
            <w:pPr>
              <w:widowControl/>
              <w:adjustRightInd w:val="0"/>
              <w:snapToGrid w:val="0"/>
              <w:jc w:val="left"/>
              <w:rPr>
                <w:rFonts w:ascii="仿宋" w:eastAsia="仿宋" w:hAnsi="仿宋"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8"/>
              </w:rPr>
              <w:t>资金业务管理系统</w:t>
            </w:r>
            <w:r w:rsidRPr="007672DA">
              <w:rPr>
                <w:rFonts w:ascii="仿宋" w:eastAsia="仿宋" w:hAnsi="仿宋" w:cs="宋体" w:hint="eastAsia"/>
                <w:color w:val="000000"/>
                <w:kern w:val="0"/>
                <w:sz w:val="24"/>
                <w:szCs w:val="28"/>
              </w:rPr>
              <w:t>、COMSTAR系统、委外估值表</w:t>
            </w:r>
            <w:r w:rsidR="0022695A" w:rsidRPr="007672DA">
              <w:rPr>
                <w:rFonts w:ascii="仿宋" w:eastAsia="仿宋" w:hAnsi="仿宋" w:cs="宋体" w:hint="eastAsia"/>
                <w:color w:val="000000"/>
                <w:kern w:val="0"/>
                <w:sz w:val="24"/>
                <w:szCs w:val="28"/>
              </w:rPr>
              <w:t>，尚未</w:t>
            </w:r>
            <w:proofErr w:type="gramStart"/>
            <w:r w:rsidR="0022695A" w:rsidRPr="007672DA">
              <w:rPr>
                <w:rFonts w:ascii="仿宋" w:eastAsia="仿宋" w:hAnsi="仿宋" w:cs="宋体" w:hint="eastAsia"/>
                <w:color w:val="000000"/>
                <w:kern w:val="0"/>
                <w:sz w:val="24"/>
                <w:szCs w:val="28"/>
              </w:rPr>
              <w:t>涵盖省联社</w:t>
            </w:r>
            <w:proofErr w:type="gramEnd"/>
            <w:r w:rsidR="0022695A" w:rsidRPr="007672DA">
              <w:rPr>
                <w:rFonts w:ascii="仿宋" w:eastAsia="仿宋" w:hAnsi="仿宋" w:cs="宋体" w:hint="eastAsia"/>
                <w:color w:val="000000"/>
                <w:kern w:val="0"/>
                <w:sz w:val="24"/>
                <w:szCs w:val="28"/>
              </w:rPr>
              <w:t>资金统一平台数据</w:t>
            </w:r>
          </w:p>
        </w:tc>
      </w:tr>
      <w:tr w:rsidR="00A415CE" w:rsidRPr="007672DA" w:rsidTr="004A6CF0">
        <w:trPr>
          <w:trHeight w:val="270"/>
        </w:trPr>
        <w:tc>
          <w:tcPr>
            <w:tcW w:w="5000" w:type="pct"/>
            <w:gridSpan w:val="3"/>
            <w:tcBorders>
              <w:top w:val="nil"/>
              <w:left w:val="nil"/>
              <w:bottom w:val="nil"/>
              <w:right w:val="nil"/>
            </w:tcBorders>
            <w:noWrap/>
            <w:vAlign w:val="center"/>
          </w:tcPr>
          <w:p w:rsidR="00A415CE" w:rsidRPr="007672DA" w:rsidRDefault="00A415CE" w:rsidP="00D06964">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备注：覆盖同业线下、同业线上，以及债基、委外项下债券投资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3.杠杆指标</w:t>
      </w:r>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w:t>
      </w:r>
    </w:p>
    <w:tbl>
      <w:tblPr>
        <w:tblStyle w:val="a3"/>
        <w:tblW w:w="5000" w:type="pct"/>
        <w:tblLook w:val="04A0" w:firstRow="1" w:lastRow="0" w:firstColumn="1" w:lastColumn="0" w:noHBand="0" w:noVBand="1"/>
      </w:tblPr>
      <w:tblGrid>
        <w:gridCol w:w="3032"/>
        <w:gridCol w:w="2751"/>
        <w:gridCol w:w="2739"/>
      </w:tblGrid>
      <w:tr w:rsidR="009E2131" w:rsidRPr="007672DA" w:rsidTr="005F475E">
        <w:trPr>
          <w:trHeight w:val="270"/>
        </w:trPr>
        <w:tc>
          <w:tcPr>
            <w:tcW w:w="1781"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1613" w:type="pct"/>
            <w:tcBorders>
              <w:bottom w:val="single" w:sz="4" w:space="0" w:color="auto"/>
            </w:tcBorders>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杠杆率</w:t>
            </w:r>
          </w:p>
        </w:tc>
        <w:tc>
          <w:tcPr>
            <w:tcW w:w="1606" w:type="pct"/>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监管值</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自营业务：</w:t>
            </w:r>
          </w:p>
        </w:tc>
        <w:tc>
          <w:tcPr>
            <w:tcW w:w="1613" w:type="pct"/>
            <w:tcBorders>
              <w:left w:val="nil"/>
              <w:right w:val="nil"/>
            </w:tcBorders>
            <w:noWrap/>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r>
      <w:tr w:rsidR="005F475E" w:rsidRPr="007672DA" w:rsidTr="005F475E">
        <w:trPr>
          <w:trHeight w:val="270"/>
        </w:trPr>
        <w:tc>
          <w:tcPr>
            <w:tcW w:w="1781" w:type="pct"/>
            <w:noWrap/>
            <w:hideMark/>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自营债券正回购杠杆率</w:t>
            </w:r>
          </w:p>
        </w:tc>
        <w:tc>
          <w:tcPr>
            <w:tcW w:w="16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2.94%</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自营债券逆回购杠杆率</w:t>
            </w:r>
          </w:p>
        </w:tc>
        <w:tc>
          <w:tcPr>
            <w:tcW w:w="1613" w:type="pct"/>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33.66%</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理财产品：</w:t>
            </w:r>
          </w:p>
        </w:tc>
        <w:tc>
          <w:tcPr>
            <w:tcW w:w="1613" w:type="pct"/>
            <w:tcBorders>
              <w:left w:val="nil"/>
              <w:right w:val="nil"/>
            </w:tcBorders>
            <w:noWrap/>
            <w:vAlign w:val="center"/>
          </w:tcPr>
          <w:p w:rsidR="009E2131" w:rsidRPr="007672DA" w:rsidRDefault="009E2131" w:rsidP="007018DF">
            <w:pPr>
              <w:adjustRightInd w:val="0"/>
              <w:snapToGrid w:val="0"/>
              <w:jc w:val="center"/>
              <w:rPr>
                <w:rFonts w:asciiTheme="minorEastAsia" w:hAnsiTheme="minorEastAsia" w:cs="Times New Roman"/>
                <w:sz w:val="28"/>
                <w:szCs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color w:val="000000"/>
                <w:kern w:val="0"/>
                <w:sz w:val="28"/>
              </w:rPr>
            </w:pP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2.03%</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100.52%</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9E2131" w:rsidRPr="007672DA" w:rsidTr="00CF5F2E">
        <w:trPr>
          <w:trHeight w:val="270"/>
        </w:trPr>
        <w:tc>
          <w:tcPr>
            <w:tcW w:w="5000" w:type="pct"/>
            <w:gridSpan w:val="3"/>
            <w:tcBorders>
              <w:left w:val="nil"/>
              <w:bottom w:val="nil"/>
              <w:right w:val="nil"/>
            </w:tcBorders>
            <w:noWrap/>
          </w:tcPr>
          <w:p w:rsidR="009E2131" w:rsidRPr="007672DA" w:rsidRDefault="009E2131" w:rsidP="0022695A">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p>
        </w:tc>
      </w:tr>
      <w:tr w:rsidR="00CF5F2E" w:rsidRPr="007672DA" w:rsidTr="00CF5F2E">
        <w:trPr>
          <w:trHeight w:val="270"/>
        </w:trPr>
        <w:tc>
          <w:tcPr>
            <w:tcW w:w="5000" w:type="pct"/>
            <w:gridSpan w:val="3"/>
            <w:tcBorders>
              <w:top w:val="nil"/>
              <w:left w:val="nil"/>
              <w:bottom w:val="nil"/>
              <w:right w:val="nil"/>
            </w:tcBorders>
            <w:noWrap/>
          </w:tcPr>
          <w:p w:rsidR="00CF5F2E" w:rsidRPr="007672DA" w:rsidRDefault="00CF5F2E" w:rsidP="002308B9">
            <w:pPr>
              <w:widowControl/>
              <w:adjustRightInd w:val="0"/>
              <w:snapToGrid w:val="0"/>
              <w:jc w:val="left"/>
              <w:rPr>
                <w:rFonts w:ascii="仿宋" w:eastAsia="仿宋" w:hAnsi="仿宋" w:cs="宋体"/>
                <w:color w:val="000000"/>
                <w:kern w:val="0"/>
                <w:sz w:val="24"/>
              </w:rPr>
            </w:pPr>
            <w:r w:rsidRPr="007672DA">
              <w:rPr>
                <w:rFonts w:ascii="仿宋" w:eastAsia="仿宋" w:hAnsi="仿宋" w:cs="宋体" w:hint="eastAsia"/>
                <w:color w:val="000000"/>
                <w:kern w:val="0"/>
                <w:sz w:val="24"/>
              </w:rPr>
              <w:t>注：</w:t>
            </w:r>
            <w:r w:rsidR="00E6013B" w:rsidRPr="007672DA">
              <w:rPr>
                <w:rFonts w:ascii="仿宋" w:eastAsia="仿宋" w:hAnsi="仿宋" w:cs="宋体" w:hint="eastAsia"/>
                <w:color w:val="000000"/>
                <w:kern w:val="0"/>
                <w:sz w:val="24"/>
              </w:rPr>
              <w:t>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系统查询数据不准确，暂不计算杠杆率，如兆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系统中查询理财产品余额缺少回购余额数据等。</w:t>
            </w:r>
          </w:p>
        </w:tc>
      </w:tr>
    </w:tbl>
    <w:p w:rsidR="00A65CB6" w:rsidRPr="007672DA" w:rsidRDefault="00773832"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4.债券投资比例</w:t>
      </w:r>
    </w:p>
    <w:tbl>
      <w:tblPr>
        <w:tblStyle w:val="a3"/>
        <w:tblW w:w="5000" w:type="pct"/>
        <w:tblLayout w:type="fixed"/>
        <w:tblLook w:val="04A0" w:firstRow="1" w:lastRow="0" w:firstColumn="1" w:lastColumn="0" w:noHBand="0" w:noVBand="1"/>
      </w:tblPr>
      <w:tblGrid>
        <w:gridCol w:w="5778"/>
        <w:gridCol w:w="1418"/>
        <w:gridCol w:w="1326"/>
      </w:tblGrid>
      <w:tr w:rsidR="008A0B8B" w:rsidRPr="007672DA" w:rsidTr="008A0B8B">
        <w:trPr>
          <w:trHeight w:val="270"/>
        </w:trPr>
        <w:tc>
          <w:tcPr>
            <w:tcW w:w="3390"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指标名称</w:t>
            </w:r>
          </w:p>
        </w:tc>
        <w:tc>
          <w:tcPr>
            <w:tcW w:w="832"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自营</w:t>
            </w:r>
          </w:p>
        </w:tc>
        <w:tc>
          <w:tcPr>
            <w:tcW w:w="778" w:type="pct"/>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理财</w:t>
            </w:r>
          </w:p>
        </w:tc>
      </w:tr>
      <w:tr w:rsidR="005F475E" w:rsidRPr="007672DA" w:rsidTr="008A0B8B">
        <w:trPr>
          <w:trHeight w:val="270"/>
        </w:trPr>
        <w:tc>
          <w:tcPr>
            <w:tcW w:w="3390" w:type="pct"/>
            <w:noWrap/>
            <w:hideMark/>
          </w:tcPr>
          <w:p w:rsidR="005F475E" w:rsidRPr="007672DA" w:rsidRDefault="005F475E" w:rsidP="00DD70DD">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债券投资占2021年一季度末全行总资产比例</w:t>
            </w:r>
          </w:p>
        </w:tc>
        <w:tc>
          <w:tcPr>
            <w:tcW w:w="832" w:type="pct"/>
            <w:noWrap/>
            <w:vAlign w:val="center"/>
            <w:hideMark/>
          </w:tcPr>
          <w:p>
            <w:r>
              <w:t>23.48%</w:t>
            </w:r>
          </w:p>
        </w:tc>
        <w:tc>
          <w:tcPr>
            <w:tcW w:w="778" w:type="pct"/>
          </w:tcPr>
          <w:p>
            <w:r>
              <w:t>494054940.12%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非金融企业债券投资占债券投资总额比例</w:t>
            </w:r>
          </w:p>
        </w:tc>
        <w:tc>
          <w:tcPr>
            <w:tcW w:w="832" w:type="pct"/>
            <w:noWrap/>
            <w:vAlign w:val="center"/>
            <w:hideMark/>
          </w:tcPr>
          <w:p>
            <w:r>
              <w:t>17.36%</w:t>
            </w:r>
          </w:p>
        </w:tc>
        <w:tc>
          <w:tcPr>
            <w:tcW w:w="778" w:type="pct"/>
            <w:vAlign w:val="center"/>
          </w:tcPr>
          <w:p>
            <w:r>
              <w:t>80.45%</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AA+以下非金融企业债券投资占非金融企业债券总额比例</w:t>
            </w:r>
          </w:p>
        </w:tc>
        <w:tc>
          <w:tcPr>
            <w:tcW w:w="832" w:type="pct"/>
            <w:noWrap/>
            <w:vAlign w:val="center"/>
            <w:hideMark/>
          </w:tcPr>
          <w:p>
            <w:r>
              <w:t>77.88%</w:t>
            </w:r>
          </w:p>
        </w:tc>
        <w:tc>
          <w:tcPr>
            <w:tcW w:w="778" w:type="pct"/>
            <w:vAlign w:val="center"/>
          </w:tcPr>
          <w:p>
            <w:r>
              <w:t>28.53%</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proofErr w:type="gramStart"/>
            <w:r w:rsidRPr="007672DA">
              <w:rPr>
                <w:rFonts w:asciiTheme="minorEastAsia" w:hAnsiTheme="minorEastAsia" w:cs="宋体" w:hint="eastAsia"/>
                <w:color w:val="000000"/>
                <w:kern w:val="0"/>
                <w:sz w:val="28"/>
                <w:szCs w:val="28"/>
              </w:rPr>
              <w:t>城投债投资</w:t>
            </w:r>
            <w:proofErr w:type="gramEnd"/>
            <w:r w:rsidRPr="007672DA">
              <w:rPr>
                <w:rFonts w:asciiTheme="minorEastAsia" w:hAnsiTheme="minorEastAsia" w:cs="宋体" w:hint="eastAsia"/>
                <w:color w:val="000000"/>
                <w:kern w:val="0"/>
                <w:sz w:val="28"/>
                <w:szCs w:val="28"/>
              </w:rPr>
              <w:t>占债券投资总额比例</w:t>
            </w:r>
          </w:p>
        </w:tc>
        <w:tc>
          <w:tcPr>
            <w:tcW w:w="832" w:type="pct"/>
            <w:noWrap/>
            <w:vAlign w:val="center"/>
            <w:hideMark/>
          </w:tcPr>
          <w:p>
            <w:r>
              <w:t>14.31%</w:t>
            </w:r>
          </w:p>
        </w:tc>
        <w:tc>
          <w:tcPr>
            <w:tcW w:w="778" w:type="pct"/>
            <w:vAlign w:val="center"/>
          </w:tcPr>
          <w:p>
            <w:r>
              <w:t>61.59%</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私募债投资占债券投资总额比例</w:t>
            </w:r>
          </w:p>
        </w:tc>
        <w:tc>
          <w:tcPr>
            <w:tcW w:w="832" w:type="pct"/>
            <w:noWrap/>
            <w:vAlign w:val="center"/>
            <w:hideMark/>
          </w:tcPr>
          <w:p>
            <w:r>
              <w:t>5.18%</w:t>
            </w:r>
          </w:p>
        </w:tc>
        <w:tc>
          <w:tcPr>
            <w:tcW w:w="778" w:type="pct"/>
            <w:vAlign w:val="center"/>
          </w:tcPr>
          <w:p>
            <w:r>
              <w:t>32.3%</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永续债投资占债券投资总额比例</w:t>
            </w:r>
          </w:p>
        </w:tc>
        <w:tc>
          <w:tcPr>
            <w:tcW w:w="832" w:type="pct"/>
            <w:noWrap/>
            <w:vAlign w:val="center"/>
            <w:hideMark/>
          </w:tcPr>
          <w:p>
            <w:r>
              <w:t>0.0%</w:t>
            </w:r>
          </w:p>
        </w:tc>
        <w:tc>
          <w:tcPr>
            <w:tcW w:w="778" w:type="pct"/>
            <w:vAlign w:val="center"/>
          </w:tcPr>
          <w:p>
            <w:r>
              <w:t>10.84%</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次级债投资占债券投资总额比例</w:t>
            </w:r>
          </w:p>
        </w:tc>
        <w:tc>
          <w:tcPr>
            <w:tcW w:w="832" w:type="pct"/>
            <w:noWrap/>
            <w:vAlign w:val="center"/>
            <w:hideMark/>
          </w:tcPr>
          <w:p>
            <w:r>
              <w:t>0.0%</w:t>
            </w:r>
          </w:p>
        </w:tc>
        <w:tc>
          <w:tcPr>
            <w:tcW w:w="778" w:type="pct"/>
            <w:vAlign w:val="center"/>
          </w:tcPr>
          <w:p>
            <w:r>
              <w:t>2.48%</w:t>
            </w:r>
          </w:p>
        </w:tc>
      </w:tr>
      <w:tr w:rsidR="005F475E" w:rsidRPr="007672DA" w:rsidTr="005E7A37">
        <w:trPr>
          <w:trHeight w:val="270"/>
        </w:trPr>
        <w:tc>
          <w:tcPr>
            <w:tcW w:w="3390" w:type="pct"/>
            <w:tcBorders>
              <w:bottom w:val="single" w:sz="4" w:space="0" w:color="auto"/>
            </w:tcBorders>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混合资本债投资占债券投资总额比例</w:t>
            </w:r>
          </w:p>
        </w:tc>
        <w:tc>
          <w:tcPr>
            <w:tcW w:w="832" w:type="pct"/>
            <w:tcBorders>
              <w:bottom w:val="single" w:sz="4" w:space="0" w:color="auto"/>
            </w:tcBorders>
            <w:noWrap/>
            <w:vAlign w:val="center"/>
            <w:hideMark/>
          </w:tcPr>
          <w:p>
            <w:r>
              <w:t>0.0%</w:t>
            </w:r>
          </w:p>
        </w:tc>
        <w:tc>
          <w:tcPr>
            <w:tcW w:w="778" w:type="pct"/>
            <w:tcBorders>
              <w:bottom w:val="single" w:sz="4" w:space="0" w:color="auto"/>
            </w:tcBorders>
            <w:vAlign w:val="center"/>
          </w:tcPr>
          <w:p>
            <w:r>
              <w:t>0.0%</w:t>
            </w:r>
          </w:p>
        </w:tc>
      </w:tr>
    </w:tbl>
    <w:p w:rsidR="00773832" w:rsidRPr="007672DA" w:rsidRDefault="000A1803"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5.货币市场基金</w:t>
      </w:r>
    </w:p>
    <w:tbl>
      <w:tblPr>
        <w:tblStyle w:val="a3"/>
        <w:tblW w:w="5000" w:type="pct"/>
        <w:tblLook w:val="04A0" w:firstRow="1" w:lastRow="0" w:firstColumn="1" w:lastColumn="0" w:noHBand="0" w:noVBand="1"/>
      </w:tblPr>
      <w:tblGrid>
        <w:gridCol w:w="6628"/>
        <w:gridCol w:w="1894"/>
      </w:tblGrid>
      <w:tr w:rsidR="00976E04" w:rsidRPr="007672DA" w:rsidTr="000A57D4">
        <w:trPr>
          <w:trHeight w:val="270"/>
        </w:trPr>
        <w:tc>
          <w:tcPr>
            <w:tcW w:w="3889"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p>
        </w:tc>
        <w:tc>
          <w:tcPr>
            <w:tcW w:w="1111"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r w:rsidRPr="007672DA">
              <w:rPr>
                <w:rFonts w:ascii="仿宋_GB2312" w:eastAsia="仿宋_GB2312" w:hAnsi="Calibri" w:cs="Times New Roman" w:hint="eastAsia"/>
                <w:sz w:val="24"/>
                <w:szCs w:val="32"/>
              </w:rPr>
              <w:t>单位：万元</w:t>
            </w:r>
          </w:p>
        </w:tc>
      </w:tr>
      <w:tr w:rsidR="00976E04" w:rsidRPr="007672DA" w:rsidTr="000A57D4">
        <w:trPr>
          <w:trHeight w:val="270"/>
        </w:trPr>
        <w:tc>
          <w:tcPr>
            <w:tcW w:w="3889"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111"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指标值</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单只投资金额占该只基金发行规模的最大比例</w:t>
            </w:r>
          </w:p>
        </w:tc>
        <w:tc>
          <w:tcPr>
            <w:tcW w:w="1111" w:type="pct"/>
            <w:noWrap/>
            <w:vAlign w:val="center"/>
            <w:hideMark/>
          </w:tcPr>
          <w:p>
            <w:r>
              <w:t>1.34</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单只投资金额占该只基金发行规模的最小比例</w:t>
            </w:r>
          </w:p>
        </w:tc>
        <w:tc>
          <w:tcPr>
            <w:tcW w:w="1111" w:type="pct"/>
            <w:noWrap/>
            <w:vAlign w:val="center"/>
            <w:hideMark/>
          </w:tcPr>
          <w:p>
            <w:r>
              <w:t>0.1</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货币基金管理人</w:t>
            </w:r>
          </w:p>
        </w:tc>
        <w:tc>
          <w:tcPr>
            <w:tcW w:w="1111" w:type="pct"/>
            <w:noWrap/>
            <w:vAlign w:val="center"/>
            <w:hideMark/>
          </w:tcPr>
          <w:p>
            <w:r>
              <w:t>3家</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最大一家管理人投资金额</w:t>
            </w:r>
          </w:p>
        </w:tc>
        <w:tc>
          <w:tcPr>
            <w:tcW w:w="1111" w:type="pct"/>
            <w:noWrap/>
            <w:vAlign w:val="center"/>
            <w:hideMark/>
          </w:tcPr>
          <w:p>
            <w:r>
              <w:t>8.05</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最小一家管理人投资金额</w:t>
            </w:r>
          </w:p>
        </w:tc>
        <w:tc>
          <w:tcPr>
            <w:tcW w:w="1111" w:type="pct"/>
            <w:noWrap/>
            <w:vAlign w:val="center"/>
            <w:hideMark/>
          </w:tcPr>
          <w:p>
            <w:r>
              <w:t>1.0</w:t>
            </w:r>
          </w:p>
        </w:tc>
      </w:tr>
    </w:tbl>
    <w:p w:rsidR="000A1803" w:rsidRPr="007672DA" w:rsidRDefault="004D26FE"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6.市场风险限额</w:t>
      </w:r>
    </w:p>
    <w:tbl>
      <w:tblPr>
        <w:tblStyle w:val="a3"/>
        <w:tblW w:w="9073" w:type="dxa"/>
        <w:tblInd w:w="-318" w:type="dxa"/>
        <w:tblLook w:val="04A0" w:firstRow="1" w:lastRow="0" w:firstColumn="1" w:lastColumn="0" w:noHBand="0" w:noVBand="1"/>
      </w:tblPr>
      <w:tblGrid>
        <w:gridCol w:w="4254"/>
        <w:gridCol w:w="1701"/>
        <w:gridCol w:w="3118"/>
      </w:tblGrid>
      <w:tr w:rsidR="004D26FE" w:rsidRPr="0031419A" w:rsidTr="009C27A1">
        <w:tc>
          <w:tcPr>
            <w:tcW w:w="4254"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指标名称</w:t>
            </w:r>
          </w:p>
        </w:tc>
        <w:tc>
          <w:tcPr>
            <w:tcW w:w="1701"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指标值</w:t>
            </w:r>
          </w:p>
        </w:tc>
        <w:tc>
          <w:tcPr>
            <w:tcW w:w="3118"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指标要求</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
              <w:t>3.3626341316096773</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理财资金投资债券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
              <w:t>2.1075826145765193</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自营债券回购</w:t>
            </w:r>
            <w:r w:rsidR="00FA6657" w:rsidRPr="0031419A">
              <w:rPr>
                <w:rFonts w:asciiTheme="minorEastAsia" w:hAnsiTheme="minorEastAsia" w:cs="Times New Roman"/>
                <w:sz w:val="28"/>
                <w:szCs w:val="28"/>
              </w:rPr>
              <w:t>杠杆率</w:t>
            </w:r>
          </w:p>
        </w:tc>
        <w:tc>
          <w:tcPr>
            <w:tcW w:w="1701" w:type="dxa"/>
            <w:vAlign w:val="center"/>
          </w:tcPr>
          <w:p w:rsidR="004D26FE" w:rsidRPr="0031419A" w:rsidRDefault="00F0547F" w:rsidP="00E61BD4">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31419A" w:rsidRPr="0031419A">
              <w:rPr>
                <w:rFonts w:ascii="宋体" w:eastAsia="宋体" w:hAnsi="宋体" w:cs="宋体"/>
                <w:color w:val="000000"/>
                <w:kern w:val="0"/>
                <w:sz w:val="28"/>
              </w:rPr>
              <w:t>33.66</w:t>
            </w:r>
            <w:r w:rsidR="00601B05" w:rsidRPr="0031419A">
              <w:rPr>
                <w:rFonts w:ascii="宋体" w:eastAsia="宋体" w:hAnsi="宋体" w:cs="宋体"/>
                <w:color w:val="000000"/>
                <w:kern w:val="0"/>
                <w:sz w:val="28"/>
              </w:rPr>
              <w:t>%</w:t>
            </w:r>
          </w:p>
        </w:tc>
        <w:tc>
          <w:tcPr>
            <w:tcW w:w="3118" w:type="dxa"/>
            <w:vAlign w:val="center"/>
          </w:tcPr>
          <w:p w:rsidR="004D26FE" w:rsidRPr="0031419A" w:rsidRDefault="000A315B"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≤上季末净资产的80%</w:t>
            </w:r>
          </w:p>
        </w:tc>
      </w:tr>
      <w:tr w:rsidR="00C95532" w:rsidRPr="0031419A" w:rsidTr="009C27A1">
        <w:tc>
          <w:tcPr>
            <w:tcW w:w="4254" w:type="dxa"/>
            <w:tcBorders>
              <w:bottom w:val="single" w:sz="4" w:space="0" w:color="auto"/>
            </w:tcBorders>
          </w:tcPr>
          <w:p w:rsidR="00C95532" w:rsidRPr="0031419A" w:rsidRDefault="00C95532"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hint="eastAsia"/>
                <w:sz w:val="28"/>
                <w:szCs w:val="28"/>
              </w:rPr>
              <w:t>交易价格偏离度</w:t>
            </w:r>
            <w:r w:rsidR="00D45D1B" w:rsidRPr="0031419A">
              <w:rPr>
                <w:rFonts w:asciiTheme="minorEastAsia" w:hAnsiTheme="minorEastAsia" w:cs="Times New Roman" w:hint="eastAsia"/>
                <w:sz w:val="28"/>
                <w:szCs w:val="28"/>
              </w:rPr>
              <w:t>绝对值</w:t>
            </w:r>
          </w:p>
        </w:tc>
        <w:tc>
          <w:tcPr>
            <w:tcW w:w="1701" w:type="dxa"/>
            <w:tcBorders>
              <w:bottom w:val="single" w:sz="4" w:space="0" w:color="auto"/>
            </w:tcBorders>
            <w:vAlign w:val="center"/>
          </w:tcPr>
          <w:p w:rsidR="00C95532" w:rsidRPr="0031419A" w:rsidRDefault="00C95532" w:rsidP="0031419A">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FA60F2" w:rsidRPr="0031419A">
              <w:rPr>
                <w:rFonts w:asciiTheme="minorEastAsia" w:hAnsiTheme="minorEastAsia" w:cs="Times New Roman"/>
                <w:sz w:val="28"/>
                <w:szCs w:val="28"/>
              </w:rPr>
              <w:t>0.</w:t>
            </w:r>
            <w:r w:rsidR="0031419A" w:rsidRPr="0031419A">
              <w:rPr>
                <w:rFonts w:asciiTheme="minorEastAsia" w:hAnsiTheme="minorEastAsia" w:cs="Times New Roman" w:hint="eastAsia"/>
                <w:sz w:val="28"/>
                <w:szCs w:val="28"/>
              </w:rPr>
              <w:t>15</w:t>
            </w:r>
            <w:r w:rsidR="00FA60F2" w:rsidRPr="0031419A">
              <w:rPr>
                <w:rFonts w:asciiTheme="minorEastAsia" w:hAnsiTheme="minorEastAsia" w:cs="Times New Roman"/>
                <w:sz w:val="28"/>
                <w:szCs w:val="28"/>
              </w:rPr>
              <w:t>%</w:t>
            </w:r>
          </w:p>
        </w:tc>
        <w:tc>
          <w:tcPr>
            <w:tcW w:w="3118" w:type="dxa"/>
            <w:tcBorders>
              <w:bottom w:val="single" w:sz="4" w:space="0" w:color="auto"/>
            </w:tcBorders>
            <w:vAlign w:val="center"/>
          </w:tcPr>
          <w:p w:rsidR="00C95532" w:rsidRPr="0031419A" w:rsidRDefault="00C95532"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≤1.5%</w:t>
            </w:r>
          </w:p>
        </w:tc>
      </w:tr>
    </w:tbl>
    <w:p w:rsidR="006A1724" w:rsidRPr="007672DA" w:rsidRDefault="00910A0A"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7.</w:t>
      </w:r>
      <w:r w:rsidR="006A1724" w:rsidRPr="007672DA">
        <w:rPr>
          <w:rFonts w:ascii="仿宋_GB2312" w:eastAsia="仿宋_GB2312" w:hAnsi="Calibri" w:cs="Times New Roman" w:hint="eastAsia"/>
          <w:b/>
          <w:sz w:val="32"/>
          <w:szCs w:val="32"/>
        </w:rPr>
        <w:t>单</w:t>
      </w:r>
      <w:proofErr w:type="gramStart"/>
      <w:r w:rsidR="006A1724" w:rsidRPr="007672DA">
        <w:rPr>
          <w:rFonts w:ascii="仿宋_GB2312" w:eastAsia="仿宋_GB2312" w:hAnsi="Calibri" w:cs="Times New Roman" w:hint="eastAsia"/>
          <w:b/>
          <w:sz w:val="32"/>
          <w:szCs w:val="32"/>
        </w:rPr>
        <w:t>券</w:t>
      </w:r>
      <w:proofErr w:type="gramEnd"/>
      <w:r w:rsidR="006A1724" w:rsidRPr="007672DA">
        <w:rPr>
          <w:rFonts w:ascii="仿宋_GB2312" w:eastAsia="仿宋_GB2312" w:hAnsi="Calibri" w:cs="Times New Roman" w:hint="eastAsia"/>
          <w:b/>
          <w:sz w:val="32"/>
          <w:szCs w:val="32"/>
        </w:rPr>
        <w:t>止损限额</w:t>
      </w:r>
    </w:p>
    <w:tbl>
      <w:tblPr>
        <w:tblStyle w:val="a3"/>
        <w:tblW w:w="9217" w:type="dxa"/>
        <w:jc w:val="center"/>
        <w:tblInd w:w="-642" w:type="dxa"/>
        <w:tblLayout w:type="fixed"/>
        <w:tblLook w:val="04A0" w:firstRow="1" w:lastRow="0" w:firstColumn="1" w:lastColumn="0" w:noHBand="0" w:noVBand="1"/>
      </w:tblPr>
      <w:tblGrid>
        <w:gridCol w:w="2623"/>
        <w:gridCol w:w="1890"/>
        <w:gridCol w:w="1529"/>
        <w:gridCol w:w="1474"/>
        <w:gridCol w:w="1701"/>
      </w:tblGrid>
      <w:tr w:rsidR="006A1724" w:rsidRPr="007672DA" w:rsidTr="006A1724">
        <w:trPr>
          <w:jc w:val="center"/>
        </w:trPr>
        <w:tc>
          <w:tcPr>
            <w:tcW w:w="2623"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债券名称</w:t>
            </w:r>
          </w:p>
        </w:tc>
        <w:tc>
          <w:tcPr>
            <w:tcW w:w="1890"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业务部门</w:t>
            </w:r>
          </w:p>
        </w:tc>
        <w:tc>
          <w:tcPr>
            <w:tcW w:w="1529"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指标值</w:t>
            </w:r>
          </w:p>
        </w:tc>
        <w:tc>
          <w:tcPr>
            <w:tcW w:w="1474"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c>
          <w:tcPr>
            <w:tcW w:w="1701"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备注</w:t>
            </w:r>
          </w:p>
        </w:tc>
      </w:tr>
      <w:tr w:rsidR="006A1724" w:rsidRPr="007672DA" w:rsidTr="006A1724">
        <w:trPr>
          <w:jc w:val="center"/>
        </w:trPr>
        <w:tc>
          <w:tcPr>
            <w:tcW w:w="2623"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roofErr w:type="gramStart"/>
            <w:r w:rsidRPr="007672DA">
              <w:rPr>
                <w:rFonts w:asciiTheme="minorEastAsia" w:hAnsiTheme="minorEastAsia" w:cs="Times New Roman" w:hint="eastAsia"/>
                <w:sz w:val="28"/>
                <w:szCs w:val="28"/>
              </w:rPr>
              <w:t>青国投</w:t>
            </w:r>
            <w:proofErr w:type="gramEnd"/>
            <w:r w:rsidRPr="007672DA">
              <w:rPr>
                <w:rFonts w:asciiTheme="minorEastAsia" w:hAnsiTheme="minorEastAsia" w:cs="Times New Roman" w:hint="eastAsia"/>
                <w:sz w:val="28"/>
                <w:szCs w:val="28"/>
              </w:rPr>
              <w:t>MTN001</w:t>
            </w:r>
          </w:p>
        </w:tc>
        <w:tc>
          <w:tcPr>
            <w:tcW w:w="1890" w:type="dxa"/>
            <w:tcBorders>
              <w:bottom w:val="single" w:sz="4" w:space="0" w:color="auto"/>
            </w:tcBorders>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理财事业部</w:t>
            </w:r>
          </w:p>
        </w:tc>
        <w:tc>
          <w:tcPr>
            <w:tcW w:w="1529" w:type="dxa"/>
            <w:tcBorders>
              <w:bottom w:val="single" w:sz="4" w:space="0" w:color="auto"/>
            </w:tcBorders>
            <w:vAlign w:val="center"/>
          </w:tcPr>
          <w:p w:rsidR="006A1724" w:rsidRPr="007672DA" w:rsidRDefault="005F475E" w:rsidP="00D25F2E">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53.14</w:t>
            </w:r>
            <w:r w:rsidR="002B565E" w:rsidRPr="007672DA">
              <w:rPr>
                <w:rFonts w:asciiTheme="minorEastAsia" w:hAnsiTheme="minorEastAsia" w:cs="Times New Roman"/>
                <w:sz w:val="28"/>
                <w:szCs w:val="28"/>
              </w:rPr>
              <w:t>%</w:t>
            </w:r>
          </w:p>
        </w:tc>
        <w:tc>
          <w:tcPr>
            <w:tcW w:w="1474"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
        </w:tc>
        <w:tc>
          <w:tcPr>
            <w:tcW w:w="1701" w:type="dxa"/>
            <w:tcBorders>
              <w:bottom w:val="single" w:sz="4" w:space="0" w:color="auto"/>
            </w:tcBorders>
          </w:tcPr>
          <w:p w:rsidR="006A1724" w:rsidRPr="007672DA" w:rsidRDefault="008E30FC"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已上会审议</w:t>
            </w:r>
          </w:p>
        </w:tc>
      </w:tr>
      <w:tr w:rsidR="00A6525E" w:rsidRPr="007672DA" w:rsidTr="008738B6">
        <w:trPr>
          <w:jc w:val="center"/>
        </w:trPr>
        <w:tc>
          <w:tcPr>
            <w:tcW w:w="9217" w:type="dxa"/>
            <w:gridSpan w:val="5"/>
            <w:tcBorders>
              <w:left w:val="nil"/>
              <w:bottom w:val="nil"/>
              <w:right w:val="nil"/>
            </w:tcBorders>
            <w:vAlign w:val="center"/>
          </w:tcPr>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r w:rsidR="0022695A" w:rsidRPr="007672DA">
              <w:rPr>
                <w:rFonts w:ascii="仿宋" w:eastAsia="仿宋" w:hAnsi="仿宋" w:cs="宋体" w:hint="eastAsia"/>
                <w:color w:val="000000"/>
                <w:kern w:val="0"/>
                <w:sz w:val="24"/>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注：17</w:t>
            </w:r>
            <w:proofErr w:type="gramStart"/>
            <w:r w:rsidRPr="007672DA">
              <w:rPr>
                <w:rFonts w:ascii="仿宋" w:eastAsia="仿宋" w:hAnsi="仿宋" w:cs="宋体" w:hint="eastAsia"/>
                <w:color w:val="000000"/>
                <w:kern w:val="0"/>
                <w:sz w:val="24"/>
              </w:rPr>
              <w:t>平租</w:t>
            </w:r>
            <w:proofErr w:type="gramEnd"/>
            <w:r w:rsidRPr="007672DA">
              <w:rPr>
                <w:rFonts w:ascii="仿宋" w:eastAsia="仿宋" w:hAnsi="仿宋" w:cs="宋体" w:hint="eastAsia"/>
                <w:color w:val="000000"/>
                <w:kern w:val="0"/>
                <w:sz w:val="24"/>
              </w:rPr>
              <w:t>B</w:t>
            </w:r>
            <w:r w:rsidR="00794C16" w:rsidRPr="007672DA">
              <w:rPr>
                <w:rFonts w:ascii="仿宋" w:eastAsia="仿宋" w:hAnsi="仿宋" w:cs="宋体" w:hint="eastAsia"/>
                <w:color w:val="000000"/>
                <w:kern w:val="0"/>
                <w:sz w:val="24"/>
              </w:rPr>
              <w:t>、21</w:t>
            </w:r>
            <w:proofErr w:type="gramStart"/>
            <w:r w:rsidR="00794C16" w:rsidRPr="007672DA">
              <w:rPr>
                <w:rFonts w:ascii="仿宋" w:eastAsia="仿宋" w:hAnsi="仿宋" w:cs="宋体" w:hint="eastAsia"/>
                <w:color w:val="000000"/>
                <w:kern w:val="0"/>
                <w:sz w:val="24"/>
              </w:rPr>
              <w:t>鑫</w:t>
            </w:r>
            <w:proofErr w:type="gramEnd"/>
            <w:r w:rsidR="00794C16" w:rsidRPr="007672DA">
              <w:rPr>
                <w:rFonts w:ascii="仿宋" w:eastAsia="仿宋" w:hAnsi="仿宋" w:cs="宋体" w:hint="eastAsia"/>
                <w:color w:val="000000"/>
                <w:kern w:val="0"/>
                <w:sz w:val="24"/>
              </w:rPr>
              <w:t>乾1A</w:t>
            </w:r>
            <w:r w:rsidRPr="007672DA">
              <w:rPr>
                <w:rFonts w:ascii="仿宋" w:eastAsia="仿宋" w:hAnsi="仿宋" w:cs="宋体" w:hint="eastAsia"/>
                <w:color w:val="000000"/>
                <w:kern w:val="0"/>
                <w:sz w:val="24"/>
              </w:rPr>
              <w:t>无估值数据，暂不计算止损限额</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注：违约债券不再更新估值数据，故不再计算止损限额</w:t>
            </w:r>
          </w:p>
        </w:tc>
      </w:tr>
    </w:tbl>
    <w:p w:rsidR="00597A9A" w:rsidRPr="007672DA" w:rsidRDefault="006A1724"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8.</w:t>
      </w:r>
      <w:r w:rsidR="00D63925" w:rsidRPr="007672DA">
        <w:rPr>
          <w:rFonts w:ascii="仿宋_GB2312" w:eastAsia="仿宋_GB2312" w:hAnsi="Calibri" w:cs="Times New Roman" w:hint="eastAsia"/>
          <w:b/>
          <w:sz w:val="32"/>
          <w:szCs w:val="32"/>
        </w:rPr>
        <w:t>信用风险限额</w:t>
      </w:r>
    </w:p>
    <w:tbl>
      <w:tblPr>
        <w:tblStyle w:val="a3"/>
        <w:tblW w:w="0" w:type="auto"/>
        <w:jc w:val="center"/>
        <w:tblInd w:w="1" w:type="dxa"/>
        <w:tblLook w:val="04A0" w:firstRow="1" w:lastRow="0" w:firstColumn="1" w:lastColumn="0" w:noHBand="0" w:noVBand="1"/>
      </w:tblPr>
      <w:tblGrid>
        <w:gridCol w:w="3837"/>
        <w:gridCol w:w="1417"/>
        <w:gridCol w:w="2432"/>
      </w:tblGrid>
      <w:tr w:rsidR="00D63925" w:rsidRPr="007672DA" w:rsidTr="00423AFC">
        <w:trPr>
          <w:jc w:val="center"/>
        </w:trPr>
        <w:tc>
          <w:tcPr>
            <w:tcW w:w="383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指标名称</w:t>
            </w:r>
          </w:p>
        </w:tc>
        <w:tc>
          <w:tcPr>
            <w:tcW w:w="141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指标值</w:t>
            </w:r>
          </w:p>
        </w:tc>
        <w:tc>
          <w:tcPr>
            <w:tcW w:w="2432"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r>
      <w:tr w:rsidR="00D63925" w:rsidRPr="007672DA" w:rsidTr="00423AFC">
        <w:trPr>
          <w:jc w:val="center"/>
        </w:trPr>
        <w:tc>
          <w:tcPr>
            <w:tcW w:w="3837" w:type="dxa"/>
            <w:tcBorders>
              <w:bottom w:val="single" w:sz="4" w:space="0" w:color="auto"/>
            </w:tcBorders>
          </w:tcPr>
          <w:p w:rsidR="00D63925" w:rsidRPr="007672DA" w:rsidRDefault="00D63925" w:rsidP="00A55FC1">
            <w:pPr>
              <w:adjustRightInd w:val="0"/>
              <w:snapToGrid w:val="0"/>
              <w:rPr>
                <w:rFonts w:asciiTheme="minorEastAsia" w:hAnsiTheme="minorEastAsia" w:cs="Times New Roman"/>
                <w:sz w:val="28"/>
                <w:szCs w:val="28"/>
              </w:rPr>
            </w:pPr>
            <w:r w:rsidRPr="007672DA">
              <w:rPr>
                <w:rFonts w:asciiTheme="minorEastAsia" w:hAnsiTheme="minorEastAsia" w:cs="Times New Roman"/>
                <w:sz w:val="28"/>
                <w:szCs w:val="28"/>
              </w:rPr>
              <w:t>非金融企业债券</w:t>
            </w:r>
            <w:r w:rsidR="00423AFC" w:rsidRPr="007672DA">
              <w:rPr>
                <w:rFonts w:asciiTheme="minorEastAsia" w:hAnsiTheme="minorEastAsia" w:cs="Times New Roman" w:hint="eastAsia"/>
                <w:sz w:val="28"/>
                <w:szCs w:val="28"/>
              </w:rPr>
              <w:t>单</w:t>
            </w:r>
            <w:proofErr w:type="gramStart"/>
            <w:r w:rsidR="00423AFC" w:rsidRPr="007672DA">
              <w:rPr>
                <w:rFonts w:asciiTheme="minorEastAsia" w:hAnsiTheme="minorEastAsia" w:cs="Times New Roman" w:hint="eastAsia"/>
                <w:sz w:val="28"/>
                <w:szCs w:val="28"/>
              </w:rPr>
              <w:t>券</w:t>
            </w:r>
            <w:proofErr w:type="gramEnd"/>
            <w:r w:rsidRPr="007672DA">
              <w:rPr>
                <w:rFonts w:asciiTheme="minorEastAsia" w:hAnsiTheme="minorEastAsia" w:cs="Times New Roman"/>
                <w:sz w:val="28"/>
                <w:szCs w:val="28"/>
              </w:rPr>
              <w:t>集中度</w:t>
            </w:r>
          </w:p>
        </w:tc>
        <w:tc>
          <w:tcPr>
            <w:tcW w:w="1417" w:type="dxa"/>
            <w:tcBorders>
              <w:bottom w:val="single" w:sz="4" w:space="0" w:color="auto"/>
            </w:tcBorders>
            <w:vAlign w:val="center"/>
          </w:tcPr>
          <w:p w:rsidR="00D63925" w:rsidRPr="007672DA" w:rsidRDefault="00943945" w:rsidP="00455EE6">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455EE6" w:rsidRPr="007672DA">
              <w:rPr>
                <w:rFonts w:asciiTheme="minorEastAsia" w:hAnsiTheme="minorEastAsia" w:cs="宋体" w:hint="eastAsia"/>
                <w:color w:val="000000"/>
                <w:kern w:val="0"/>
                <w:sz w:val="28"/>
                <w:szCs w:val="28"/>
              </w:rPr>
              <w:t>20</w:t>
            </w:r>
            <w:r w:rsidRPr="007672DA">
              <w:rPr>
                <w:rFonts w:asciiTheme="minorEastAsia" w:hAnsiTheme="minorEastAsia" w:cs="宋体"/>
                <w:color w:val="000000"/>
                <w:kern w:val="0"/>
                <w:sz w:val="28"/>
                <w:szCs w:val="28"/>
              </w:rPr>
              <w:t>%</w:t>
            </w:r>
          </w:p>
        </w:tc>
        <w:tc>
          <w:tcPr>
            <w:tcW w:w="2432" w:type="dxa"/>
            <w:tcBorders>
              <w:bottom w:val="single" w:sz="4" w:space="0" w:color="auto"/>
            </w:tcBorders>
            <w:vAlign w:val="center"/>
          </w:tcPr>
          <w:p w:rsidR="00D63925" w:rsidRPr="007672DA" w:rsidRDefault="00D63925" w:rsidP="00D63925">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w:t>
            </w:r>
          </w:p>
        </w:tc>
      </w:tr>
      <w:tr w:rsidR="00D63925" w:rsidRPr="007672DA" w:rsidTr="00423AFC">
        <w:trPr>
          <w:jc w:val="center"/>
        </w:trPr>
        <w:tc>
          <w:tcPr>
            <w:tcW w:w="7686" w:type="dxa"/>
            <w:gridSpan w:val="3"/>
            <w:tcBorders>
              <w:left w:val="nil"/>
              <w:bottom w:val="nil"/>
              <w:right w:val="nil"/>
            </w:tcBorders>
            <w:vAlign w:val="center"/>
          </w:tcPr>
          <w:p w:rsidR="00D63925" w:rsidRPr="007672DA" w:rsidRDefault="00D63925" w:rsidP="00D63925">
            <w:pPr>
              <w:adjustRightInd w:val="0"/>
              <w:snapToGrid w:val="0"/>
              <w:rPr>
                <w:rFonts w:asciiTheme="minorEastAsia" w:hAnsiTheme="minorEastAsia" w:cs="Times New Roman"/>
                <w:sz w:val="28"/>
                <w:szCs w:val="28"/>
              </w:rPr>
            </w:pPr>
            <w:r w:rsidRPr="007672DA">
              <w:rPr>
                <w:rFonts w:ascii="仿宋" w:eastAsia="仿宋" w:hAnsi="仿宋" w:cs="宋体" w:hint="eastAsia"/>
                <w:color w:val="000000"/>
                <w:kern w:val="0"/>
                <w:sz w:val="24"/>
                <w:szCs w:val="28"/>
              </w:rPr>
              <w:t>备注：非金融企业债券集中度不含ABS</w:t>
            </w:r>
          </w:p>
        </w:tc>
      </w:tr>
    </w:tbl>
    <w:p w:rsidR="00B5386E" w:rsidRPr="005F475E" w:rsidRDefault="006A1724" w:rsidP="002E04D0">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9</w:t>
      </w:r>
      <w:r w:rsidR="00B5386E" w:rsidRPr="005F475E">
        <w:rPr>
          <w:rFonts w:ascii="仿宋_GB2312" w:eastAsia="仿宋_GB2312" w:hAnsi="Calibri" w:cs="Times New Roman" w:hint="eastAsia"/>
          <w:b/>
          <w:sz w:val="32"/>
          <w:szCs w:val="32"/>
        </w:rPr>
        <w:t>.匿名客户集中度</w:t>
      </w:r>
    </w:p>
    <w:tbl>
      <w:tblPr>
        <w:tblStyle w:val="a3"/>
        <w:tblW w:w="7903" w:type="dxa"/>
        <w:jc w:val="center"/>
        <w:tblInd w:w="5" w:type="dxa"/>
        <w:tblLook w:val="04A0" w:firstRow="1" w:lastRow="0" w:firstColumn="1" w:lastColumn="0" w:noHBand="0" w:noVBand="1"/>
      </w:tblPr>
      <w:tblGrid>
        <w:gridCol w:w="2285"/>
        <w:gridCol w:w="3030"/>
        <w:gridCol w:w="2588"/>
      </w:tblGrid>
      <w:tr w:rsidR="008B4040" w:rsidRPr="005F475E" w:rsidTr="001A717C">
        <w:trPr>
          <w:trHeight w:val="270"/>
          <w:jc w:val="center"/>
        </w:trPr>
        <w:tc>
          <w:tcPr>
            <w:tcW w:w="2285" w:type="dxa"/>
            <w:tcBorders>
              <w:top w:val="nil"/>
              <w:left w:val="nil"/>
              <w:right w:val="nil"/>
            </w:tcBorders>
          </w:tcPr>
          <w:p w:rsidR="008B4040" w:rsidRPr="005F475E" w:rsidRDefault="008B4040" w:rsidP="00B5386E">
            <w:pPr>
              <w:widowControl/>
              <w:jc w:val="right"/>
              <w:rPr>
                <w:rFonts w:ascii="仿宋_GB2312" w:eastAsia="仿宋_GB2312" w:hAnsi="Calibri" w:cs="Times New Roman"/>
                <w:sz w:val="24"/>
                <w:szCs w:val="32"/>
              </w:rPr>
            </w:pPr>
          </w:p>
        </w:tc>
        <w:tc>
          <w:tcPr>
            <w:tcW w:w="5618" w:type="dxa"/>
            <w:gridSpan w:val="2"/>
            <w:tcBorders>
              <w:top w:val="nil"/>
              <w:left w:val="nil"/>
              <w:right w:val="nil"/>
            </w:tcBorders>
            <w:noWrap/>
            <w:vAlign w:val="center"/>
          </w:tcPr>
          <w:p w:rsidR="008B4040" w:rsidRPr="005F475E" w:rsidRDefault="008B4040" w:rsidP="00B5386E">
            <w:pPr>
              <w:widowControl/>
              <w:jc w:val="right"/>
              <w:rPr>
                <w:rFonts w:ascii="宋体" w:eastAsia="宋体" w:hAnsi="宋体" w:cs="宋体"/>
                <w:color w:val="000000"/>
                <w:kern w:val="0"/>
                <w:sz w:val="22"/>
              </w:rPr>
            </w:pPr>
            <w:r w:rsidRPr="005F475E">
              <w:rPr>
                <w:rFonts w:ascii="仿宋_GB2312" w:eastAsia="仿宋_GB2312" w:hAnsi="Calibri" w:cs="Times New Roman" w:hint="eastAsia"/>
                <w:sz w:val="24"/>
                <w:szCs w:val="32"/>
              </w:rPr>
              <w:t>单位：万元</w:t>
            </w:r>
          </w:p>
        </w:tc>
      </w:tr>
      <w:tr w:rsidR="00041D28" w:rsidRPr="005F475E" w:rsidTr="001A717C">
        <w:trPr>
          <w:trHeight w:val="270"/>
          <w:jc w:val="center"/>
        </w:trPr>
        <w:tc>
          <w:tcPr>
            <w:tcW w:w="5315" w:type="dxa"/>
            <w:gridSpan w:val="2"/>
            <w:vAlign w:val="center"/>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类别</w:t>
            </w:r>
          </w:p>
        </w:tc>
        <w:tc>
          <w:tcPr>
            <w:tcW w:w="2588" w:type="dxa"/>
            <w:noWrap/>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金额</w:t>
            </w:r>
          </w:p>
        </w:tc>
      </w:tr>
      <w:tr w:rsidR="00B515CC" w:rsidRPr="005F475E" w:rsidTr="001A717C">
        <w:trPr>
          <w:trHeight w:val="270"/>
          <w:jc w:val="center"/>
        </w:trPr>
        <w:tc>
          <w:tcPr>
            <w:tcW w:w="2285" w:type="dxa"/>
            <w:vMerge w:val="restart"/>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细分类别</w:t>
            </w: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roofErr w:type="gramStart"/>
            <w:r w:rsidRPr="005F475E">
              <w:rPr>
                <w:rFonts w:ascii="宋体" w:eastAsia="宋体" w:hAnsi="宋体" w:cs="宋体" w:hint="eastAsia"/>
                <w:color w:val="000000"/>
                <w:kern w:val="0"/>
                <w:sz w:val="28"/>
                <w:szCs w:val="28"/>
              </w:rPr>
              <w:t>华融优</w:t>
            </w:r>
            <w:proofErr w:type="gramEnd"/>
            <w:r w:rsidRPr="005F475E">
              <w:rPr>
                <w:rFonts w:ascii="宋体" w:eastAsia="宋体" w:hAnsi="宋体" w:cs="宋体" w:hint="eastAsia"/>
                <w:color w:val="000000"/>
                <w:kern w:val="0"/>
                <w:sz w:val="28"/>
                <w:szCs w:val="28"/>
              </w:rPr>
              <w:t>智</w:t>
            </w:r>
          </w:p>
        </w:tc>
        <w:tc>
          <w:tcPr>
            <w:tcW w:w="2588" w:type="dxa"/>
            <w:noWrap/>
            <w:vAlign w:val="center"/>
            <w:hideMark/>
          </w:tcPr>
          <w:p w:rsidR="00B515CC" w:rsidRPr="005F475E" w:rsidRDefault="006B5ED7" w:rsidP="006B5ED7">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3</w:t>
            </w:r>
            <w:r w:rsidR="009F44FC"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373</w:t>
            </w:r>
            <w:r w:rsidR="00F042A4"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26</w:t>
            </w:r>
          </w:p>
        </w:tc>
      </w:tr>
      <w:tr w:rsidR="00B515CC" w:rsidRPr="005F475E" w:rsidTr="001A717C">
        <w:trPr>
          <w:trHeight w:val="270"/>
          <w:jc w:val="center"/>
        </w:trPr>
        <w:tc>
          <w:tcPr>
            <w:tcW w:w="2285" w:type="dxa"/>
            <w:vMerge/>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p>
        </w:tc>
        <w:tc>
          <w:tcPr>
            <w:tcW w:w="3030" w:type="dxa"/>
            <w:noWrap/>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货币基金</w:t>
            </w:r>
          </w:p>
        </w:tc>
        <w:tc>
          <w:tcPr>
            <w:tcW w:w="2588" w:type="dxa"/>
            <w:noWrap/>
            <w:vAlign w:val="center"/>
          </w:tcPr>
          <w:p w:rsidR="00B515CC" w:rsidRPr="005F475E" w:rsidRDefault="00D25F2E"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117,692.08</w:t>
            </w:r>
          </w:p>
        </w:tc>
      </w:tr>
      <w:tr w:rsidR="00B515CC" w:rsidRPr="005F475E" w:rsidTr="001A717C">
        <w:trPr>
          <w:trHeight w:val="270"/>
          <w:jc w:val="center"/>
        </w:trPr>
        <w:tc>
          <w:tcPr>
            <w:tcW w:w="2285" w:type="dxa"/>
            <w:vMerge/>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资产支持证券</w:t>
            </w:r>
          </w:p>
        </w:tc>
        <w:tc>
          <w:tcPr>
            <w:tcW w:w="2588" w:type="dxa"/>
            <w:noWrap/>
            <w:vAlign w:val="center"/>
            <w:hideMark/>
          </w:tcPr>
          <w:p w:rsidR="00B515CC" w:rsidRPr="005F475E" w:rsidRDefault="00D25F2E"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5,700.00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合计</w:t>
            </w:r>
          </w:p>
        </w:tc>
        <w:tc>
          <w:tcPr>
            <w:tcW w:w="2588" w:type="dxa"/>
            <w:noWrap/>
            <w:vAlign w:val="center"/>
            <w:hideMark/>
          </w:tcPr>
          <w:p w:rsidR="00B515CC" w:rsidRPr="005F475E" w:rsidRDefault="006B5ED7"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126,765.34</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一级资本净额</w:t>
            </w:r>
          </w:p>
        </w:tc>
        <w:tc>
          <w:tcPr>
            <w:tcW w:w="2588" w:type="dxa"/>
            <w:noWrap/>
            <w:vAlign w:val="center"/>
            <w:hideMark/>
          </w:tcPr>
          <w:p w:rsidR="00B515CC" w:rsidRPr="005F475E" w:rsidRDefault="006B5ED7"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1,008,200.00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占比</w:t>
            </w:r>
          </w:p>
        </w:tc>
        <w:tc>
          <w:tcPr>
            <w:tcW w:w="2588" w:type="dxa"/>
            <w:noWrap/>
            <w:vAlign w:val="center"/>
            <w:hideMark/>
          </w:tcPr>
          <w:p w:rsidR="00B515CC" w:rsidRPr="005F475E" w:rsidRDefault="006B5ED7" w:rsidP="00122FA3">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12.57%</w:t>
            </w:r>
          </w:p>
        </w:tc>
      </w:tr>
      <w:tr w:rsidR="00BD2338" w:rsidRPr="005F475E" w:rsidTr="001A717C">
        <w:trPr>
          <w:trHeight w:val="270"/>
          <w:jc w:val="center"/>
        </w:trPr>
        <w:tc>
          <w:tcPr>
            <w:tcW w:w="5315" w:type="dxa"/>
            <w:gridSpan w:val="2"/>
            <w:tcBorders>
              <w:bottom w:val="single" w:sz="4" w:space="0" w:color="auto"/>
            </w:tcBorders>
          </w:tcPr>
          <w:p w:rsidR="00BD2338" w:rsidRPr="005F475E" w:rsidRDefault="00BD2338"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限额</w:t>
            </w:r>
          </w:p>
        </w:tc>
        <w:tc>
          <w:tcPr>
            <w:tcW w:w="2588" w:type="dxa"/>
            <w:tcBorders>
              <w:bottom w:val="single" w:sz="4" w:space="0" w:color="auto"/>
            </w:tcBorders>
            <w:noWrap/>
            <w:vAlign w:val="center"/>
            <w:hideMark/>
          </w:tcPr>
          <w:p w:rsidR="00BD2338" w:rsidRPr="005F475E" w:rsidRDefault="00BD2338" w:rsidP="00C16D76">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w:t>
            </w:r>
          </w:p>
        </w:tc>
      </w:tr>
      <w:tr w:rsidR="008B4040" w:rsidRPr="005F475E" w:rsidTr="001A717C">
        <w:trPr>
          <w:trHeight w:val="270"/>
          <w:jc w:val="center"/>
        </w:trPr>
        <w:tc>
          <w:tcPr>
            <w:tcW w:w="7903" w:type="dxa"/>
            <w:gridSpan w:val="3"/>
            <w:tcBorders>
              <w:left w:val="nil"/>
              <w:bottom w:val="nil"/>
              <w:right w:val="nil"/>
            </w:tcBorders>
            <w:vAlign w:val="center"/>
          </w:tcPr>
          <w:p w:rsidR="008B4040" w:rsidRPr="005F475E" w:rsidRDefault="008B4040" w:rsidP="0022695A">
            <w:pPr>
              <w:widowControl/>
              <w:adjustRightInd w:val="0"/>
              <w:snapToGrid w:val="0"/>
              <w:rPr>
                <w:rFonts w:ascii="宋体" w:eastAsia="宋体" w:hAnsi="宋体" w:cs="宋体"/>
                <w:color w:val="000000"/>
                <w:kern w:val="0"/>
                <w:sz w:val="28"/>
                <w:szCs w:val="28"/>
              </w:rPr>
            </w:pPr>
            <w:r w:rsidRPr="005F475E">
              <w:rPr>
                <w:rFonts w:ascii="仿宋" w:eastAsia="仿宋" w:hAnsi="仿宋" w:cs="宋体" w:hint="eastAsia"/>
                <w:color w:val="000000"/>
                <w:kern w:val="0"/>
                <w:sz w:val="24"/>
              </w:rPr>
              <w:t>数据来源：理财资产管理系统</w:t>
            </w:r>
            <w:r w:rsidR="001A717C" w:rsidRPr="005F475E">
              <w:rPr>
                <w:rFonts w:ascii="仿宋" w:eastAsia="仿宋" w:hAnsi="仿宋" w:cs="宋体" w:hint="eastAsia"/>
                <w:color w:val="000000"/>
                <w:kern w:val="0"/>
                <w:sz w:val="24"/>
                <w:szCs w:val="24"/>
              </w:rPr>
              <w:t>、兆</w:t>
            </w:r>
            <w:proofErr w:type="gramStart"/>
            <w:r w:rsidR="001A717C" w:rsidRPr="005F475E">
              <w:rPr>
                <w:rFonts w:ascii="仿宋" w:eastAsia="仿宋" w:hAnsi="仿宋" w:cs="宋体" w:hint="eastAsia"/>
                <w:color w:val="000000"/>
                <w:kern w:val="0"/>
                <w:sz w:val="24"/>
                <w:szCs w:val="24"/>
              </w:rPr>
              <w:t>尹</w:t>
            </w:r>
            <w:proofErr w:type="gramEnd"/>
            <w:r w:rsidR="001A717C" w:rsidRPr="005F475E">
              <w:rPr>
                <w:rFonts w:ascii="仿宋" w:eastAsia="仿宋" w:hAnsi="仿宋" w:cs="宋体" w:hint="eastAsia"/>
                <w:color w:val="000000"/>
                <w:kern w:val="0"/>
                <w:sz w:val="24"/>
                <w:szCs w:val="24"/>
              </w:rPr>
              <w:t>系统</w:t>
            </w:r>
            <w:r w:rsidRPr="005F475E">
              <w:rPr>
                <w:rFonts w:ascii="仿宋" w:eastAsia="仿宋" w:hAnsi="仿宋" w:cs="宋体" w:hint="eastAsia"/>
                <w:color w:val="000000"/>
                <w:kern w:val="0"/>
                <w:sz w:val="24"/>
              </w:rPr>
              <w:t>、COMSTAR系统</w:t>
            </w:r>
            <w:r w:rsidR="0022695A" w:rsidRPr="005F475E">
              <w:rPr>
                <w:rFonts w:ascii="仿宋" w:eastAsia="仿宋" w:hAnsi="仿宋" w:cs="宋体" w:hint="eastAsia"/>
                <w:color w:val="000000"/>
                <w:kern w:val="0"/>
                <w:sz w:val="24"/>
              </w:rPr>
              <w:t>、</w:t>
            </w:r>
            <w:r w:rsidR="0022695A" w:rsidRPr="005F475E">
              <w:rPr>
                <w:rFonts w:ascii="仿宋" w:eastAsia="仿宋" w:hAnsi="仿宋" w:cs="宋体" w:hint="eastAsia"/>
                <w:color w:val="000000"/>
                <w:kern w:val="0"/>
                <w:sz w:val="24"/>
                <w:szCs w:val="24"/>
              </w:rPr>
              <w:t>资金业务管理系统，尚未</w:t>
            </w:r>
            <w:proofErr w:type="gramStart"/>
            <w:r w:rsidR="0022695A" w:rsidRPr="005F475E">
              <w:rPr>
                <w:rFonts w:ascii="仿宋" w:eastAsia="仿宋" w:hAnsi="仿宋" w:cs="宋体" w:hint="eastAsia"/>
                <w:color w:val="000000"/>
                <w:kern w:val="0"/>
                <w:sz w:val="24"/>
                <w:szCs w:val="24"/>
              </w:rPr>
              <w:t>涵盖省联社</w:t>
            </w:r>
            <w:proofErr w:type="gramEnd"/>
            <w:r w:rsidR="0022695A" w:rsidRPr="005F475E">
              <w:rPr>
                <w:rFonts w:ascii="仿宋" w:eastAsia="仿宋" w:hAnsi="仿宋" w:cs="宋体" w:hint="eastAsia"/>
                <w:color w:val="000000"/>
                <w:kern w:val="0"/>
                <w:sz w:val="24"/>
                <w:szCs w:val="24"/>
              </w:rPr>
              <w:t>资金统一平台数据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A32E73">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备注1：一级资本净额采用202</w:t>
            </w:r>
            <w:r w:rsidR="00A32E73"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年</w:t>
            </w:r>
            <w:r w:rsidR="00A32E73" w:rsidRPr="005F475E">
              <w:rPr>
                <w:rFonts w:ascii="仿宋" w:eastAsia="仿宋" w:hAnsi="仿宋" w:cs="宋体" w:hint="eastAsia"/>
                <w:color w:val="000000"/>
                <w:kern w:val="0"/>
                <w:sz w:val="24"/>
              </w:rPr>
              <w:t>3</w:t>
            </w:r>
            <w:r w:rsidRPr="005F475E">
              <w:rPr>
                <w:rFonts w:ascii="仿宋" w:eastAsia="仿宋" w:hAnsi="仿宋" w:cs="宋体" w:hint="eastAsia"/>
                <w:color w:val="000000"/>
                <w:kern w:val="0"/>
                <w:sz w:val="24"/>
              </w:rPr>
              <w:t>月3</w:t>
            </w:r>
            <w:r w:rsidR="00550BF9"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日数据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E85891">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w:t>
            </w:r>
            <w:r w:rsidR="00E85891" w:rsidRPr="005F475E">
              <w:rPr>
                <w:rFonts w:ascii="仿宋" w:eastAsia="仿宋" w:hAnsi="仿宋" w:cs="宋体" w:hint="eastAsia"/>
                <w:color w:val="000000"/>
                <w:kern w:val="0"/>
                <w:sz w:val="24"/>
              </w:rPr>
              <w:t>2</w:t>
            </w:r>
            <w:r w:rsidRPr="005F475E">
              <w:rPr>
                <w:rFonts w:ascii="仿宋" w:eastAsia="仿宋" w:hAnsi="仿宋" w:cs="宋体" w:hint="eastAsia"/>
                <w:color w:val="000000"/>
                <w:kern w:val="0"/>
                <w:sz w:val="24"/>
              </w:rPr>
              <w:t>：货币基金、资产支持证券计算依据WIND分类数据，与人工识别可能存在差异，计算结果供参考</w:t>
            </w:r>
          </w:p>
        </w:tc>
      </w:tr>
    </w:tbl>
    <w:p w:rsidR="00192DAB" w:rsidRPr="007672DA" w:rsidRDefault="00192DAB"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10.沪深300ETF</w:t>
      </w:r>
    </w:p>
    <w:p w:rsidR="005B1EAF" w:rsidRPr="007672DA" w:rsidRDefault="005B1EAF" w:rsidP="005B1EAF">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单位：亿元、年</w:t>
      </w:r>
    </w:p>
    <w:tbl>
      <w:tblPr>
        <w:tblStyle w:val="a3"/>
        <w:tblW w:w="0" w:type="auto"/>
        <w:tblLayout w:type="fixed"/>
        <w:tblLook w:val="04A0" w:firstRow="1" w:lastRow="0" w:firstColumn="1" w:lastColumn="0" w:noHBand="0" w:noVBand="1"/>
      </w:tblPr>
      <w:tblGrid>
        <w:gridCol w:w="3436"/>
        <w:gridCol w:w="2545"/>
        <w:gridCol w:w="2541"/>
      </w:tblGrid>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2545" w:type="dxa"/>
            <w:tcBorders>
              <w:bottom w:val="single" w:sz="4" w:space="0" w:color="auto"/>
            </w:tcBorders>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实际值</w:t>
            </w:r>
          </w:p>
        </w:tc>
        <w:tc>
          <w:tcPr>
            <w:tcW w:w="2541" w:type="dxa"/>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审批条件</w:t>
            </w:r>
          </w:p>
        </w:tc>
      </w:tr>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沪深300ETF持仓总额</w:t>
            </w:r>
          </w:p>
        </w:tc>
        <w:tc>
          <w:tcPr>
            <w:tcW w:w="2545" w:type="dxa"/>
            <w:noWrap/>
            <w:vAlign w:val="center"/>
            <w:hideMark/>
          </w:tcPr>
          <w:p w:rsidR="005B1EAF" w:rsidRPr="007672DA" w:rsidRDefault="005F475E" w:rsidP="00D25F2E">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0.0</w:t>
            </w:r>
            <w:r w:rsidR="00D25F2E" w:rsidRPr="007672DA">
              <w:rPr>
                <w:rFonts w:ascii="宋体" w:eastAsia="宋体" w:hAnsi="宋体" w:cs="宋体" w:hint="eastAsia"/>
                <w:color w:val="000000"/>
                <w:kern w:val="0"/>
                <w:sz w:val="28"/>
              </w:rPr>
              <w:t>4</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≤3.00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lastRenderedPageBreak/>
              <w:t>单笔沪深300ETF金额</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≤0.30</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≤0.30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单笔沪深300ETF持有期限</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单只理财持仓比例</w:t>
            </w:r>
          </w:p>
        </w:tc>
        <w:tc>
          <w:tcPr>
            <w:tcW w:w="2545" w:type="dxa"/>
            <w:tcBorders>
              <w:bottom w:val="single" w:sz="4" w:space="0" w:color="auto"/>
            </w:tcBorders>
            <w:noWrap/>
            <w:vAlign w:val="center"/>
          </w:tcPr>
          <w:p w:rsidR="005B1EAF" w:rsidRPr="007672DA" w:rsidRDefault="005B1EAF"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E236B4" w:rsidRPr="007672DA">
              <w:rPr>
                <w:rFonts w:asciiTheme="minorEastAsia" w:hAnsiTheme="minorEastAsia" w:cs="Times New Roman" w:hint="eastAsia"/>
                <w:sz w:val="28"/>
                <w:szCs w:val="28"/>
              </w:rPr>
              <w:t>0.</w:t>
            </w:r>
            <w:r w:rsidR="007672DA" w:rsidRPr="007672DA">
              <w:rPr>
                <w:rFonts w:asciiTheme="minorEastAsia" w:hAnsiTheme="minorEastAsia" w:cs="Times New Roman" w:hint="eastAsia"/>
                <w:sz w:val="28"/>
                <w:szCs w:val="28"/>
              </w:rPr>
              <w:t>10</w:t>
            </w:r>
            <w:r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≤净资产的5%</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浮亏比例</w:t>
            </w:r>
          </w:p>
        </w:tc>
        <w:tc>
          <w:tcPr>
            <w:tcW w:w="2545" w:type="dxa"/>
            <w:tcBorders>
              <w:bottom w:val="single" w:sz="4" w:space="0" w:color="auto"/>
            </w:tcBorders>
            <w:noWrap/>
            <w:vAlign w:val="center"/>
          </w:tcPr>
          <w:p w:rsidR="005B1EAF" w:rsidRPr="007672DA" w:rsidRDefault="00594A96" w:rsidP="005F475E">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5F475E" w:rsidRPr="007672DA">
              <w:rPr>
                <w:rFonts w:asciiTheme="minorEastAsia" w:hAnsiTheme="minorEastAsia" w:cs="Times New Roman" w:hint="eastAsia"/>
                <w:sz w:val="28"/>
                <w:szCs w:val="28"/>
              </w:rPr>
              <w:t>0.40</w:t>
            </w:r>
            <w:r w:rsidR="005B1EAF"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w:t>
            </w:r>
          </w:p>
        </w:tc>
      </w:tr>
      <w:tr w:rsidR="005B1EAF" w:rsidRPr="007672DA" w:rsidTr="00045135">
        <w:trPr>
          <w:trHeight w:val="270"/>
        </w:trPr>
        <w:tc>
          <w:tcPr>
            <w:tcW w:w="8522" w:type="dxa"/>
            <w:gridSpan w:val="3"/>
            <w:tcBorders>
              <w:left w:val="nil"/>
              <w:bottom w:val="nil"/>
              <w:right w:val="nil"/>
            </w:tcBorders>
            <w:noWrap/>
          </w:tcPr>
          <w:p w:rsidR="005B1EAF" w:rsidRPr="007672DA" w:rsidRDefault="005B1EAF" w:rsidP="00045135">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p>
        </w:tc>
      </w:tr>
    </w:tbl>
    <w:p w:rsidR="002E04D0" w:rsidRPr="0031419A" w:rsidRDefault="00164675" w:rsidP="002E04D0">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w:t>
      </w:r>
      <w:r w:rsidR="009E2131" w:rsidRPr="0031419A">
        <w:rPr>
          <w:rFonts w:ascii="仿宋_GB2312" w:eastAsia="仿宋_GB2312" w:hAnsi="Calibri" w:cs="Times New Roman" w:hint="eastAsia"/>
          <w:b/>
          <w:sz w:val="32"/>
          <w:szCs w:val="32"/>
        </w:rPr>
        <w:t>二</w:t>
      </w:r>
      <w:r w:rsidRPr="0031419A">
        <w:rPr>
          <w:rFonts w:ascii="仿宋_GB2312" w:eastAsia="仿宋_GB2312" w:hAnsi="Calibri" w:cs="Times New Roman" w:hint="eastAsia"/>
          <w:b/>
          <w:sz w:val="32"/>
          <w:szCs w:val="32"/>
        </w:rPr>
        <w:t>）</w:t>
      </w:r>
      <w:r w:rsidR="00E550BD" w:rsidRPr="0031419A">
        <w:rPr>
          <w:rFonts w:ascii="仿宋_GB2312" w:eastAsia="仿宋_GB2312" w:hAnsi="Calibri" w:cs="Times New Roman" w:hint="eastAsia"/>
          <w:b/>
          <w:sz w:val="32"/>
          <w:szCs w:val="32"/>
        </w:rPr>
        <w:t>交易</w:t>
      </w:r>
      <w:r w:rsidR="00E1535E" w:rsidRPr="0031419A">
        <w:rPr>
          <w:rFonts w:ascii="仿宋_GB2312" w:eastAsia="仿宋_GB2312" w:hAnsi="Calibri" w:cs="Times New Roman" w:hint="eastAsia"/>
          <w:b/>
          <w:sz w:val="32"/>
          <w:szCs w:val="32"/>
        </w:rPr>
        <w:t>行为</w:t>
      </w:r>
      <w:r w:rsidR="002E04D0" w:rsidRPr="0031419A">
        <w:rPr>
          <w:rFonts w:ascii="仿宋_GB2312" w:eastAsia="仿宋_GB2312" w:hAnsi="Calibri" w:cs="Times New Roman" w:hint="eastAsia"/>
          <w:b/>
          <w:sz w:val="32"/>
          <w:szCs w:val="32"/>
        </w:rPr>
        <w:t>监测</w:t>
      </w:r>
    </w:p>
    <w:p w:rsidR="002E04D0" w:rsidRPr="0031419A" w:rsidRDefault="00AD5871" w:rsidP="000E0811">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1</w:t>
      </w:r>
      <w:r w:rsidR="009D17AA" w:rsidRPr="0031419A">
        <w:rPr>
          <w:rFonts w:ascii="仿宋_GB2312" w:eastAsia="仿宋_GB2312" w:hAnsi="Calibri" w:cs="Times New Roman" w:hint="eastAsia"/>
          <w:b/>
          <w:sz w:val="32"/>
          <w:szCs w:val="32"/>
        </w:rPr>
        <w:t>.</w:t>
      </w:r>
      <w:r w:rsidR="00866599" w:rsidRPr="0031419A">
        <w:rPr>
          <w:rFonts w:ascii="仿宋_GB2312" w:eastAsia="仿宋_GB2312" w:hAnsi="Calibri" w:cs="Times New Roman" w:hint="eastAsia"/>
          <w:b/>
          <w:sz w:val="32"/>
          <w:szCs w:val="32"/>
        </w:rPr>
        <w:t>过</w:t>
      </w:r>
      <w:proofErr w:type="gramStart"/>
      <w:r w:rsidR="00866599" w:rsidRPr="0031419A">
        <w:rPr>
          <w:rFonts w:ascii="仿宋_GB2312" w:eastAsia="仿宋_GB2312" w:hAnsi="Calibri" w:cs="Times New Roman" w:hint="eastAsia"/>
          <w:b/>
          <w:sz w:val="32"/>
          <w:szCs w:val="32"/>
        </w:rPr>
        <w:t>券</w:t>
      </w:r>
      <w:proofErr w:type="gramEnd"/>
      <w:r w:rsidR="00866599" w:rsidRPr="0031419A">
        <w:rPr>
          <w:rFonts w:ascii="仿宋_GB2312" w:eastAsia="仿宋_GB2312" w:hAnsi="Calibri" w:cs="Times New Roman" w:hint="eastAsia"/>
          <w:b/>
          <w:sz w:val="32"/>
          <w:szCs w:val="32"/>
        </w:rPr>
        <w:t>交易</w:t>
      </w:r>
    </w:p>
    <w:p w:rsidR="00866599" w:rsidRPr="0031419A" w:rsidRDefault="008E4D4F" w:rsidP="008E4D4F">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本次监测对</w:t>
      </w:r>
      <w:r w:rsidR="00CB065D"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B065D"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B065D"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期间同业业务中心COMSTAR系统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中存在单日同一债券反向交易行为进行监测，</w:t>
      </w:r>
      <w:r w:rsidR="0046402A" w:rsidRPr="0031419A">
        <w:rPr>
          <w:rFonts w:ascii="仿宋_GB2312" w:eastAsia="仿宋_GB2312" w:hAnsi="Calibri" w:cs="Times New Roman" w:hint="eastAsia"/>
          <w:sz w:val="32"/>
          <w:szCs w:val="32"/>
        </w:rPr>
        <w:t>除理财转</w:t>
      </w:r>
      <w:proofErr w:type="gramStart"/>
      <w:r w:rsidR="0046402A" w:rsidRPr="0031419A">
        <w:rPr>
          <w:rFonts w:ascii="仿宋_GB2312" w:eastAsia="仿宋_GB2312" w:hAnsi="Calibri" w:cs="Times New Roman" w:hint="eastAsia"/>
          <w:sz w:val="32"/>
          <w:szCs w:val="32"/>
        </w:rPr>
        <w:t>仓交易</w:t>
      </w:r>
      <w:proofErr w:type="gramEnd"/>
      <w:r w:rsidR="0046402A" w:rsidRPr="0031419A">
        <w:rPr>
          <w:rFonts w:ascii="仿宋_GB2312" w:eastAsia="仿宋_GB2312" w:hAnsi="Calibri" w:cs="Times New Roman" w:hint="eastAsia"/>
          <w:sz w:val="32"/>
          <w:szCs w:val="32"/>
        </w:rPr>
        <w:t>外，</w:t>
      </w:r>
      <w:r w:rsidRPr="0031419A">
        <w:rPr>
          <w:rFonts w:ascii="仿宋_GB2312" w:eastAsia="仿宋_GB2312" w:hAnsi="Calibri" w:cs="Times New Roman" w:hint="eastAsia"/>
          <w:sz w:val="32"/>
          <w:szCs w:val="32"/>
        </w:rPr>
        <w:t>未发现新增监测事项。</w:t>
      </w:r>
    </w:p>
    <w:p w:rsidR="00866599" w:rsidRPr="0031419A" w:rsidRDefault="007260A8" w:rsidP="00866599">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2</w:t>
      </w:r>
      <w:r w:rsidR="00866599" w:rsidRPr="0031419A">
        <w:rPr>
          <w:rFonts w:ascii="仿宋_GB2312" w:eastAsia="仿宋_GB2312" w:hAnsi="Calibri" w:cs="Times New Roman" w:hint="eastAsia"/>
          <w:b/>
          <w:sz w:val="32"/>
          <w:szCs w:val="32"/>
        </w:rPr>
        <w:t>.</w:t>
      </w:r>
      <w:proofErr w:type="gramStart"/>
      <w:r w:rsidR="00866599" w:rsidRPr="0031419A">
        <w:rPr>
          <w:rFonts w:ascii="仿宋_GB2312" w:eastAsia="仿宋_GB2312" w:hAnsi="Calibri" w:cs="Times New Roman" w:hint="eastAsia"/>
          <w:b/>
          <w:sz w:val="32"/>
          <w:szCs w:val="32"/>
        </w:rPr>
        <w:t>代持交易</w:t>
      </w:r>
      <w:proofErr w:type="gramEnd"/>
    </w:p>
    <w:p w:rsidR="00F92E31" w:rsidRPr="0031419A" w:rsidRDefault="00B007AB" w:rsidP="00556E8D">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本次监测范围为COMSTAR系统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w:t>
      </w:r>
      <w:r w:rsidR="00C4321F"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4321F"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4321F"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期间与同一交易对手同券种同金额反向交易行为，未发现新增监测事项。</w:t>
      </w:r>
    </w:p>
    <w:p w:rsidR="00E37074" w:rsidRPr="00E7080C" w:rsidRDefault="00E4241B" w:rsidP="00D12E03">
      <w:pPr>
        <w:spacing w:line="560" w:lineRule="exact"/>
        <w:ind w:firstLineChars="200" w:firstLine="643"/>
        <w:rPr>
          <w:rFonts w:ascii="仿宋_GB2312" w:eastAsia="仿宋_GB2312" w:hAnsi="Calibri" w:cs="Times New Roman"/>
          <w:b/>
          <w:sz w:val="32"/>
          <w:szCs w:val="32"/>
        </w:rPr>
      </w:pPr>
      <w:r w:rsidRPr="00E7080C">
        <w:rPr>
          <w:rFonts w:ascii="仿宋_GB2312" w:eastAsia="仿宋_GB2312" w:hAnsi="Calibri" w:cs="Times New Roman" w:hint="eastAsia"/>
          <w:b/>
          <w:sz w:val="32"/>
          <w:szCs w:val="32"/>
        </w:rPr>
        <w:t>（</w:t>
      </w:r>
      <w:r w:rsidR="009C1B08" w:rsidRPr="00E7080C">
        <w:rPr>
          <w:rFonts w:ascii="仿宋_GB2312" w:eastAsia="仿宋_GB2312" w:hAnsi="Calibri" w:cs="Times New Roman" w:hint="eastAsia"/>
          <w:b/>
          <w:sz w:val="32"/>
          <w:szCs w:val="32"/>
        </w:rPr>
        <w:t>三</w:t>
      </w:r>
      <w:r w:rsidRPr="00E7080C">
        <w:rPr>
          <w:rFonts w:ascii="仿宋_GB2312" w:eastAsia="仿宋_GB2312" w:hAnsi="Calibri" w:cs="Times New Roman" w:hint="eastAsia"/>
          <w:b/>
          <w:sz w:val="32"/>
          <w:szCs w:val="32"/>
        </w:rPr>
        <w:t>）</w:t>
      </w:r>
      <w:r w:rsidR="002E04D0" w:rsidRPr="00E7080C">
        <w:rPr>
          <w:rFonts w:ascii="仿宋_GB2312" w:eastAsia="仿宋_GB2312" w:hAnsi="Calibri" w:cs="Times New Roman" w:hint="eastAsia"/>
          <w:b/>
          <w:sz w:val="32"/>
          <w:szCs w:val="32"/>
        </w:rPr>
        <w:t>负面舆情监测</w:t>
      </w:r>
    </w:p>
    <w:p w:rsidR="00E7080C" w:rsidRPr="00E7080C"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t>自媒体报道称因“中信信托</w:t>
      </w:r>
      <w:r w:rsidRPr="00E7080C">
        <w:rPr>
          <w:rFonts w:ascii="宋体" w:eastAsia="宋体" w:hAnsi="宋体" w:cs="宋体" w:hint="eastAsia"/>
          <w:sz w:val="32"/>
          <w:szCs w:val="32"/>
        </w:rPr>
        <w:t>•</w:t>
      </w:r>
      <w:r w:rsidRPr="00E7080C">
        <w:rPr>
          <w:rFonts w:ascii="仿宋" w:eastAsia="仿宋" w:hAnsi="仿宋" w:cs="仿宋" w:hint="eastAsia"/>
          <w:sz w:val="32"/>
          <w:szCs w:val="32"/>
        </w:rPr>
        <w:t>贵州遵义播州区国投应收账款流动化信托二期”已逾期超过</w:t>
      </w:r>
      <w:r w:rsidRPr="00E7080C">
        <w:rPr>
          <w:rFonts w:ascii="仿宋_GB2312" w:eastAsia="仿宋_GB2312" w:hAnsi="Calibri" w:cs="Times New Roman" w:hint="eastAsia"/>
          <w:sz w:val="32"/>
          <w:szCs w:val="32"/>
        </w:rPr>
        <w:t>4个月，中信信托已正式向法院提起司法诉讼；该信托成立于2017年12月，期限为3年，计划到期日为2021年1月10日，融资方为遵义市播州区国有资产投资经营（集团）有限责任公司（以下简称“播州国投”），由遵义市播州区城市建设投资经营（集团）有限公司（以下简称“播州城投”）、遵义苟江投资建设有限责任公司提供保证担保，本次发生逾期的信托本金规模约2.55亿元。</w:t>
      </w:r>
    </w:p>
    <w:p w:rsidR="00283446"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lastRenderedPageBreak/>
        <w:t>贵州地区城投非标逾期屡屡发生，遵义市是非标负面的“重灾区”，本次也是非首次播州国投、播州城投非标违约。2020年1月“中电投先融播州资产管理计划”（融资方为播州国投、担保方为播州城投）也曾被爆出逾期；此外，根据企查查显示2021年4月15日播州国投、播州城投均因自身失信被限制高消费，申请人</w:t>
      </w:r>
      <w:proofErr w:type="gramStart"/>
      <w:r w:rsidRPr="00E7080C">
        <w:rPr>
          <w:rFonts w:ascii="仿宋_GB2312" w:eastAsia="仿宋_GB2312" w:hAnsi="Calibri" w:cs="Times New Roman" w:hint="eastAsia"/>
          <w:sz w:val="32"/>
          <w:szCs w:val="32"/>
        </w:rPr>
        <w:t>为华融国际</w:t>
      </w:r>
      <w:proofErr w:type="gramEnd"/>
      <w:r w:rsidRPr="00E7080C">
        <w:rPr>
          <w:rFonts w:ascii="仿宋_GB2312" w:eastAsia="仿宋_GB2312" w:hAnsi="Calibri" w:cs="Times New Roman" w:hint="eastAsia"/>
          <w:sz w:val="32"/>
          <w:szCs w:val="32"/>
        </w:rPr>
        <w:t>信托有限责任公司，主要系源于金融借款合同纠纷，被执行金额约1.49亿元，判断也是非标违约所致。屡次非标违约表现播州国投、播州城投自身流动性非常紧张，播州国</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无存续债，播州城</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存续债12亿元，一年内行权及到期3亿元，但截至2020年末账面货币资金仅1.49亿元，短期偿债压力重，目前地方政府还在积极协调金融资源以保证公开市场债券</w:t>
      </w:r>
      <w:proofErr w:type="gramStart"/>
      <w:r w:rsidRPr="00E7080C">
        <w:rPr>
          <w:rFonts w:ascii="仿宋_GB2312" w:eastAsia="仿宋_GB2312" w:hAnsi="Calibri" w:cs="Times New Roman" w:hint="eastAsia"/>
          <w:sz w:val="32"/>
          <w:szCs w:val="32"/>
        </w:rPr>
        <w:t>不</w:t>
      </w:r>
      <w:proofErr w:type="gramEnd"/>
      <w:r w:rsidRPr="00E7080C">
        <w:rPr>
          <w:rFonts w:ascii="仿宋_GB2312" w:eastAsia="仿宋_GB2312" w:hAnsi="Calibri" w:cs="Times New Roman" w:hint="eastAsia"/>
          <w:sz w:val="32"/>
          <w:szCs w:val="32"/>
        </w:rPr>
        <w:t>违约，播</w:t>
      </w:r>
      <w:r>
        <w:rPr>
          <w:rFonts w:ascii="仿宋_GB2312" w:eastAsia="仿宋_GB2312" w:hAnsi="Calibri" w:cs="Times New Roman" w:hint="eastAsia"/>
          <w:sz w:val="32"/>
          <w:szCs w:val="32"/>
        </w:rPr>
        <w:t>州城投存续债兑付情况还需关注地方政府协调金融资源的能力及意愿。</w:t>
      </w:r>
    </w:p>
    <w:sectPr w:rsidR="00283446" w:rsidSect="007C205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8BC" w:rsidRDefault="005938BC" w:rsidP="007753CC">
      <w:r>
        <w:separator/>
      </w:r>
    </w:p>
  </w:endnote>
  <w:endnote w:type="continuationSeparator" w:id="0">
    <w:p w:rsidR="005938BC" w:rsidRDefault="005938BC" w:rsidP="0077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angSong">
    <w:altName w:val="Arial Unicode MS"/>
    <w:panose1 w:val="00000000000000000000"/>
    <w:charset w:val="00"/>
    <w:family w:val="swiss"/>
    <w:notTrueType/>
    <w:pitch w:val="default"/>
    <w:sig w:usb0="00000000"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1" w:usb1="080E0000" w:usb2="00000000" w:usb3="00000000" w:csb0="00040000" w:csb1="00000000"/>
  </w:font>
  <w:font w:name="方正小标宋简体">
    <w:altName w:val="宋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8BC" w:rsidRDefault="005938BC" w:rsidP="007753CC">
      <w:r>
        <w:separator/>
      </w:r>
    </w:p>
  </w:footnote>
  <w:footnote w:type="continuationSeparator" w:id="0">
    <w:p w:rsidR="005938BC" w:rsidRDefault="005938BC" w:rsidP="00775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Default="00D4301E" w:rsidP="00C8439F">
    <w:pPr>
      <w:spacing w:line="560" w:lineRule="exact"/>
      <w:rPr>
        <w:rFonts w:ascii="方正小标宋简体" w:eastAsia="方正小标宋简体" w:hAnsi="宋体" w:cs="Times New Roman"/>
        <w:sz w:val="44"/>
        <w:szCs w:val="44"/>
      </w:rPr>
    </w:pPr>
    <w:r>
      <w:rPr>
        <w:rFonts w:ascii="方正小标宋简体" w:eastAsia="方正小标宋简体" w:hAnsi="宋体" w:cs="Times New Roman" w:hint="eastAsia"/>
        <w:sz w:val="44"/>
        <w:szCs w:val="44"/>
      </w:rPr>
      <w:t>金融市场</w:t>
    </w:r>
    <w:r w:rsidR="000F3526">
      <w:rPr>
        <w:rFonts w:ascii="方正小标宋简体" w:eastAsia="方正小标宋简体" w:hAnsi="宋体" w:cs="Times New Roman" w:hint="eastAsia"/>
        <w:sz w:val="44"/>
        <w:szCs w:val="44"/>
      </w:rPr>
      <w:t>风险</w:t>
    </w:r>
    <w:r w:rsidR="000F3526" w:rsidRPr="00093F3F">
      <w:rPr>
        <w:rFonts w:ascii="方正小标宋简体" w:eastAsia="方正小标宋简体" w:hAnsi="宋体" w:cs="Times New Roman" w:hint="eastAsia"/>
        <w:sz w:val="44"/>
        <w:szCs w:val="44"/>
      </w:rPr>
      <w:t>监测报告</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2021/5/6-2021/5/8</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 xml:space="preserve">                                 </w:t>
    </w:r>
    <w:r w:rsidR="000F3526">
      <w:rPr>
        <w:rFonts w:ascii="方正小标宋简体" w:eastAsia="方正小标宋简体" w:hAnsi="宋体" w:cs="Times New Roman" w:hint="eastAsia"/>
        <w:sz w:val="44"/>
        <w:szCs w:val="44"/>
      </w:rPr>
      <w:t>风险管理</w:t>
    </w:r>
    <w:r w:rsidR="000F3526" w:rsidRPr="00093F3F">
      <w:rPr>
        <w:rFonts w:ascii="方正小标宋简体" w:eastAsia="方正小标宋简体" w:hAnsi="宋体" w:cs="Times New Roman" w:hint="eastAsia"/>
        <w:sz w:val="44"/>
        <w:szCs w:val="44"/>
      </w:rPr>
      <w:t>部</w:t>
    </w:r>
  </w:p>
  <w:p w:rsidR="000F3526" w:rsidRPr="00C8439F" w:rsidRDefault="000F3526" w:rsidP="00C8439F">
    <w:pPr>
      <w:spacing w:line="200" w:lineRule="exact"/>
      <w:jc w:val="left"/>
    </w:pPr>
    <w:r>
      <w:rPr>
        <w:rFonts w:ascii="方正小标宋简体" w:eastAsia="方正小标宋简体" w:hAnsi="宋体" w:cs="Times New Roman"/>
        <w:noProof/>
        <w:sz w:val="44"/>
        <w:szCs w:val="44"/>
      </w:rPr>
      <mc:AlternateContent>
        <mc:Choice Requires="wps">
          <w:drawing>
            <wp:anchor distT="0" distB="0" distL="114300" distR="114300" simplePos="0" relativeHeight="251663360" behindDoc="0" locked="0" layoutInCell="1" allowOverlap="1" wp14:anchorId="22CD9C29" wp14:editId="44EC8E56">
              <wp:simplePos x="0" y="0"/>
              <wp:positionH relativeFrom="column">
                <wp:posOffset>-335280</wp:posOffset>
              </wp:positionH>
              <wp:positionV relativeFrom="paragraph">
                <wp:posOffset>76200</wp:posOffset>
              </wp:positionV>
              <wp:extent cx="9509760" cy="0"/>
              <wp:effectExtent l="0" t="0" r="15240" b="19050"/>
              <wp:wrapNone/>
              <wp:docPr id="3" name="直接连接符 3"/>
              <wp:cNvGraphicFramePr/>
              <a:graphic xmlns:a="http://schemas.openxmlformats.org/drawingml/2006/main">
                <a:graphicData uri="http://schemas.microsoft.com/office/word/2010/wordprocessingShape">
                  <wps:wsp>
                    <wps:cNvCnPr/>
                    <wps:spPr>
                      <a:xfrm>
                        <a:off x="0" y="0"/>
                        <a:ext cx="950976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4pt,6pt" to="722.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" strokecolor="#c00000"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Pr="00FB7539" w:rsidRDefault="000F3526" w:rsidP="00FB7539">
    <w:pPr>
      <w:rPr>
        <w:rFonts w:ascii="方正小标宋简体" w:eastAsia="方正小标宋简体"/>
        <w:b/>
        <w:sz w:val="44"/>
        <w:szCs w:val="44"/>
      </w:rPr>
    </w:pPr>
    <w:r w:rsidRPr="00927ABA">
      <w:rPr>
        <w:rFonts w:ascii="方正小标宋简体" w:eastAsia="方正小标宋简体" w:hAnsi="宋体" w:cs="Times New Roman" w:hint="eastAsia"/>
        <w:b/>
        <w:noProof/>
        <w:sz w:val="40"/>
        <w:szCs w:val="44"/>
      </w:rPr>
      <mc:AlternateContent>
        <mc:Choice Requires="wps">
          <w:drawing>
            <wp:anchor distT="0" distB="0" distL="114300" distR="114300" simplePos="0" relativeHeight="251659264" behindDoc="0" locked="0" layoutInCell="1" allowOverlap="1" wp14:anchorId="5F1CD99C" wp14:editId="70D52384">
              <wp:simplePos x="0" y="0"/>
              <wp:positionH relativeFrom="column">
                <wp:posOffset>-175260</wp:posOffset>
              </wp:positionH>
              <wp:positionV relativeFrom="paragraph">
                <wp:posOffset>393700</wp:posOffset>
              </wp:positionV>
              <wp:extent cx="5722620" cy="0"/>
              <wp:effectExtent l="0" t="0" r="11430" b="19050"/>
              <wp:wrapNone/>
              <wp:docPr id="2" name="直接连接符 2"/>
              <wp:cNvGraphicFramePr/>
              <a:graphic xmlns:a="http://schemas.openxmlformats.org/drawingml/2006/main">
                <a:graphicData uri="http://schemas.microsoft.com/office/word/2010/wordprocessingShape">
                  <wps:wsp>
                    <wps:cNvCnPr/>
                    <wps:spPr>
                      <a:xfrm>
                        <a:off x="0" y="0"/>
                        <a:ext cx="572262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31pt" to="43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" strokecolor="#c00000" strokeweight="1pt"/>
          </w:pict>
        </mc:Fallback>
      </mc:AlternateContent>
    </w:r>
    <w:r w:rsidR="00D4301E">
      <w:rPr>
        <w:rFonts w:ascii="方正小标宋简体" w:eastAsia="方正小标宋简体" w:hint="eastAsia"/>
        <w:b/>
        <w:sz w:val="40"/>
        <w:szCs w:val="44"/>
      </w:rPr>
      <w:t>金融市场</w:t>
    </w:r>
    <w:r>
      <w:rPr>
        <w:rFonts w:ascii="方正小标宋简体" w:eastAsia="方正小标宋简体" w:hint="eastAsia"/>
        <w:b/>
        <w:sz w:val="40"/>
        <w:szCs w:val="44"/>
      </w:rPr>
      <w:t>风险</w:t>
    </w:r>
    <w:r w:rsidRPr="00927ABA">
      <w:rPr>
        <w:rFonts w:ascii="方正小标宋简体" w:eastAsia="方正小标宋简体" w:hint="eastAsia"/>
        <w:b/>
        <w:sz w:val="40"/>
        <w:szCs w:val="44"/>
      </w:rPr>
      <w:t>监测报告</w:t>
    </w:r>
    <w:r w:rsidRPr="00927ABA">
      <w:rPr>
        <w:rFonts w:ascii="方正小标宋简体" w:eastAsia="方正小标宋简体" w:hint="eastAsia"/>
        <w:b/>
        <w:sz w:val="24"/>
        <w:szCs w:val="44"/>
      </w:rPr>
      <w:t>（</w:t>
    </w:r>
    <w:r>
      <w:rPr>
        <w:rFonts w:ascii="方正小标宋简体" w:eastAsia="方正小标宋简体" w:hint="eastAsia"/>
        <w:b/>
        <w:sz w:val="24"/>
        <w:szCs w:val="44"/>
      </w:rPr>
      <w:t>5/6-5/8</w:t>
    </w:r>
    <w:r w:rsidRPr="00927ABA">
      <w:rPr>
        <w:rFonts w:ascii="方正小标宋简体" w:eastAsia="方正小标宋简体" w:hint="eastAsia"/>
        <w:b/>
        <w:sz w:val="24"/>
        <w:szCs w:val="44"/>
      </w:rPr>
      <w:t>）</w:t>
    </w:r>
    <w:r>
      <w:rPr>
        <w:rFonts w:ascii="方正小标宋简体" w:eastAsia="方正小标宋简体" w:hint="eastAsia"/>
        <w:b/>
        <w:sz w:val="24"/>
        <w:szCs w:val="44"/>
      </w:rPr>
      <w:t xml:space="preserve">         </w:t>
    </w:r>
    <w:r>
      <w:rPr>
        <w:rFonts w:ascii="方正小标宋简体" w:eastAsia="方正小标宋简体" w:hint="eastAsia"/>
        <w:b/>
        <w:sz w:val="40"/>
        <w:szCs w:val="44"/>
      </w:rPr>
      <w:t>风险管理</w:t>
    </w:r>
    <w:r w:rsidRPr="00927ABA">
      <w:rPr>
        <w:rFonts w:ascii="方正小标宋简体" w:eastAsia="方正小标宋简体" w:hint="eastAsia"/>
        <w:b/>
        <w:sz w:val="40"/>
        <w:szCs w:val="44"/>
      </w:rPr>
      <w:t>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3F"/>
    <w:rsid w:val="00000B36"/>
    <w:rsid w:val="00003E25"/>
    <w:rsid w:val="00004ECF"/>
    <w:rsid w:val="000050B9"/>
    <w:rsid w:val="000104EB"/>
    <w:rsid w:val="00010D5C"/>
    <w:rsid w:val="00012985"/>
    <w:rsid w:val="0001332E"/>
    <w:rsid w:val="00013A77"/>
    <w:rsid w:val="0001464F"/>
    <w:rsid w:val="000163F0"/>
    <w:rsid w:val="00016FCC"/>
    <w:rsid w:val="000173B1"/>
    <w:rsid w:val="000214B1"/>
    <w:rsid w:val="000217C4"/>
    <w:rsid w:val="00023C82"/>
    <w:rsid w:val="00024AA9"/>
    <w:rsid w:val="000265DD"/>
    <w:rsid w:val="00026AF9"/>
    <w:rsid w:val="00026B75"/>
    <w:rsid w:val="0002783E"/>
    <w:rsid w:val="00030041"/>
    <w:rsid w:val="00030C30"/>
    <w:rsid w:val="00031324"/>
    <w:rsid w:val="00031759"/>
    <w:rsid w:val="000317CB"/>
    <w:rsid w:val="00033227"/>
    <w:rsid w:val="00033E14"/>
    <w:rsid w:val="00034E02"/>
    <w:rsid w:val="00035043"/>
    <w:rsid w:val="000351FB"/>
    <w:rsid w:val="00036BD8"/>
    <w:rsid w:val="00037D60"/>
    <w:rsid w:val="00037E88"/>
    <w:rsid w:val="00040F97"/>
    <w:rsid w:val="00041D28"/>
    <w:rsid w:val="00045135"/>
    <w:rsid w:val="00045CE8"/>
    <w:rsid w:val="00045E09"/>
    <w:rsid w:val="00046CD6"/>
    <w:rsid w:val="00046F7B"/>
    <w:rsid w:val="00047D8E"/>
    <w:rsid w:val="000521EA"/>
    <w:rsid w:val="00054DFE"/>
    <w:rsid w:val="0005561F"/>
    <w:rsid w:val="0005590D"/>
    <w:rsid w:val="00055C61"/>
    <w:rsid w:val="00056C0D"/>
    <w:rsid w:val="00056F86"/>
    <w:rsid w:val="000570D9"/>
    <w:rsid w:val="000639EB"/>
    <w:rsid w:val="00063C53"/>
    <w:rsid w:val="00065095"/>
    <w:rsid w:val="00070558"/>
    <w:rsid w:val="00072F77"/>
    <w:rsid w:val="00074266"/>
    <w:rsid w:val="00074F1B"/>
    <w:rsid w:val="000757C8"/>
    <w:rsid w:val="0007646F"/>
    <w:rsid w:val="00077AF3"/>
    <w:rsid w:val="00077BD3"/>
    <w:rsid w:val="00077C3D"/>
    <w:rsid w:val="0008013D"/>
    <w:rsid w:val="00082890"/>
    <w:rsid w:val="00083425"/>
    <w:rsid w:val="00086221"/>
    <w:rsid w:val="00087A01"/>
    <w:rsid w:val="000917CA"/>
    <w:rsid w:val="000930EE"/>
    <w:rsid w:val="000932BE"/>
    <w:rsid w:val="00093F3F"/>
    <w:rsid w:val="00094310"/>
    <w:rsid w:val="00095F6B"/>
    <w:rsid w:val="00095F6E"/>
    <w:rsid w:val="00097326"/>
    <w:rsid w:val="000A1803"/>
    <w:rsid w:val="000A1B44"/>
    <w:rsid w:val="000A1D64"/>
    <w:rsid w:val="000A25EF"/>
    <w:rsid w:val="000A2D6A"/>
    <w:rsid w:val="000A315B"/>
    <w:rsid w:val="000A4F4A"/>
    <w:rsid w:val="000A57D4"/>
    <w:rsid w:val="000A78D0"/>
    <w:rsid w:val="000A79C0"/>
    <w:rsid w:val="000A7F7E"/>
    <w:rsid w:val="000B0F7E"/>
    <w:rsid w:val="000B2DEA"/>
    <w:rsid w:val="000B3886"/>
    <w:rsid w:val="000B3957"/>
    <w:rsid w:val="000B57B0"/>
    <w:rsid w:val="000B624F"/>
    <w:rsid w:val="000C0375"/>
    <w:rsid w:val="000C0ED3"/>
    <w:rsid w:val="000C2A29"/>
    <w:rsid w:val="000C3516"/>
    <w:rsid w:val="000C3A01"/>
    <w:rsid w:val="000C474A"/>
    <w:rsid w:val="000C4917"/>
    <w:rsid w:val="000C63D8"/>
    <w:rsid w:val="000C76E0"/>
    <w:rsid w:val="000D2A52"/>
    <w:rsid w:val="000D5839"/>
    <w:rsid w:val="000D599A"/>
    <w:rsid w:val="000D6B5B"/>
    <w:rsid w:val="000E046C"/>
    <w:rsid w:val="000E0811"/>
    <w:rsid w:val="000E106D"/>
    <w:rsid w:val="000E23FB"/>
    <w:rsid w:val="000E26A9"/>
    <w:rsid w:val="000E3A82"/>
    <w:rsid w:val="000E4C79"/>
    <w:rsid w:val="000E6A79"/>
    <w:rsid w:val="000E6E7F"/>
    <w:rsid w:val="000F155B"/>
    <w:rsid w:val="000F1B78"/>
    <w:rsid w:val="000F3133"/>
    <w:rsid w:val="000F3452"/>
    <w:rsid w:val="000F3526"/>
    <w:rsid w:val="000F41DC"/>
    <w:rsid w:val="000F435D"/>
    <w:rsid w:val="000F4D0B"/>
    <w:rsid w:val="000F4EED"/>
    <w:rsid w:val="000F7010"/>
    <w:rsid w:val="000F7FAD"/>
    <w:rsid w:val="0010093F"/>
    <w:rsid w:val="0010369B"/>
    <w:rsid w:val="001038C5"/>
    <w:rsid w:val="001042D6"/>
    <w:rsid w:val="00105FDC"/>
    <w:rsid w:val="0011006C"/>
    <w:rsid w:val="00112B61"/>
    <w:rsid w:val="00115E67"/>
    <w:rsid w:val="00116F16"/>
    <w:rsid w:val="00117E54"/>
    <w:rsid w:val="00120610"/>
    <w:rsid w:val="00121660"/>
    <w:rsid w:val="00121C19"/>
    <w:rsid w:val="00121D15"/>
    <w:rsid w:val="00122FA3"/>
    <w:rsid w:val="00123FDA"/>
    <w:rsid w:val="001244D9"/>
    <w:rsid w:val="00124B0C"/>
    <w:rsid w:val="001255AA"/>
    <w:rsid w:val="0012683D"/>
    <w:rsid w:val="00126FBE"/>
    <w:rsid w:val="00127F73"/>
    <w:rsid w:val="00131002"/>
    <w:rsid w:val="00131775"/>
    <w:rsid w:val="00132D78"/>
    <w:rsid w:val="00133654"/>
    <w:rsid w:val="00134118"/>
    <w:rsid w:val="00135DD2"/>
    <w:rsid w:val="00136EBC"/>
    <w:rsid w:val="00141252"/>
    <w:rsid w:val="00143ECF"/>
    <w:rsid w:val="001476BB"/>
    <w:rsid w:val="001500ED"/>
    <w:rsid w:val="00150C07"/>
    <w:rsid w:val="00151413"/>
    <w:rsid w:val="0015631A"/>
    <w:rsid w:val="0015718E"/>
    <w:rsid w:val="001571E5"/>
    <w:rsid w:val="0016337A"/>
    <w:rsid w:val="00163429"/>
    <w:rsid w:val="0016364B"/>
    <w:rsid w:val="00164675"/>
    <w:rsid w:val="00164DD9"/>
    <w:rsid w:val="00166437"/>
    <w:rsid w:val="00167103"/>
    <w:rsid w:val="0016731C"/>
    <w:rsid w:val="00170C50"/>
    <w:rsid w:val="001724B4"/>
    <w:rsid w:val="001736B5"/>
    <w:rsid w:val="00173AA0"/>
    <w:rsid w:val="00173AE2"/>
    <w:rsid w:val="00173E84"/>
    <w:rsid w:val="00175095"/>
    <w:rsid w:val="00175AB4"/>
    <w:rsid w:val="00175C1D"/>
    <w:rsid w:val="0018031A"/>
    <w:rsid w:val="00180E92"/>
    <w:rsid w:val="00182FCC"/>
    <w:rsid w:val="00183493"/>
    <w:rsid w:val="001835F8"/>
    <w:rsid w:val="0018369F"/>
    <w:rsid w:val="00183818"/>
    <w:rsid w:val="00184655"/>
    <w:rsid w:val="00184E6A"/>
    <w:rsid w:val="001852AF"/>
    <w:rsid w:val="00186E8F"/>
    <w:rsid w:val="001870F2"/>
    <w:rsid w:val="001879C6"/>
    <w:rsid w:val="0019072D"/>
    <w:rsid w:val="00190CAA"/>
    <w:rsid w:val="00192336"/>
    <w:rsid w:val="00192D13"/>
    <w:rsid w:val="00192DAB"/>
    <w:rsid w:val="0019394D"/>
    <w:rsid w:val="0019416D"/>
    <w:rsid w:val="00196BFE"/>
    <w:rsid w:val="001A0842"/>
    <w:rsid w:val="001A1354"/>
    <w:rsid w:val="001A2498"/>
    <w:rsid w:val="001A3F96"/>
    <w:rsid w:val="001A3FE9"/>
    <w:rsid w:val="001A4902"/>
    <w:rsid w:val="001A5C53"/>
    <w:rsid w:val="001A6A57"/>
    <w:rsid w:val="001A6C0C"/>
    <w:rsid w:val="001A717C"/>
    <w:rsid w:val="001B04D3"/>
    <w:rsid w:val="001B16D4"/>
    <w:rsid w:val="001B1C4D"/>
    <w:rsid w:val="001B2030"/>
    <w:rsid w:val="001B2241"/>
    <w:rsid w:val="001B303D"/>
    <w:rsid w:val="001B3FAC"/>
    <w:rsid w:val="001B4228"/>
    <w:rsid w:val="001B4674"/>
    <w:rsid w:val="001B5773"/>
    <w:rsid w:val="001B73D2"/>
    <w:rsid w:val="001B787B"/>
    <w:rsid w:val="001C1509"/>
    <w:rsid w:val="001C26D7"/>
    <w:rsid w:val="001C28AB"/>
    <w:rsid w:val="001C33BC"/>
    <w:rsid w:val="001C391A"/>
    <w:rsid w:val="001C3E38"/>
    <w:rsid w:val="001C48B7"/>
    <w:rsid w:val="001C5846"/>
    <w:rsid w:val="001C624B"/>
    <w:rsid w:val="001C68A7"/>
    <w:rsid w:val="001C6D98"/>
    <w:rsid w:val="001C6E12"/>
    <w:rsid w:val="001C79B7"/>
    <w:rsid w:val="001D0817"/>
    <w:rsid w:val="001D4973"/>
    <w:rsid w:val="001D5447"/>
    <w:rsid w:val="001D65B4"/>
    <w:rsid w:val="001D6961"/>
    <w:rsid w:val="001D706D"/>
    <w:rsid w:val="001E1F72"/>
    <w:rsid w:val="001E25AE"/>
    <w:rsid w:val="001E4B45"/>
    <w:rsid w:val="001E4BBB"/>
    <w:rsid w:val="001E6153"/>
    <w:rsid w:val="001E737D"/>
    <w:rsid w:val="001E73CE"/>
    <w:rsid w:val="001E75C4"/>
    <w:rsid w:val="001F1400"/>
    <w:rsid w:val="001F279E"/>
    <w:rsid w:val="001F3272"/>
    <w:rsid w:val="001F433B"/>
    <w:rsid w:val="001F56D8"/>
    <w:rsid w:val="001F624B"/>
    <w:rsid w:val="001F6BD8"/>
    <w:rsid w:val="001F7866"/>
    <w:rsid w:val="001F7C33"/>
    <w:rsid w:val="002000D0"/>
    <w:rsid w:val="0020024F"/>
    <w:rsid w:val="00200515"/>
    <w:rsid w:val="002005A4"/>
    <w:rsid w:val="00201991"/>
    <w:rsid w:val="00202604"/>
    <w:rsid w:val="00203757"/>
    <w:rsid w:val="00204115"/>
    <w:rsid w:val="002063E3"/>
    <w:rsid w:val="002075F5"/>
    <w:rsid w:val="002078AB"/>
    <w:rsid w:val="002079AB"/>
    <w:rsid w:val="002104B7"/>
    <w:rsid w:val="00210682"/>
    <w:rsid w:val="002110F8"/>
    <w:rsid w:val="002118B1"/>
    <w:rsid w:val="00211CF1"/>
    <w:rsid w:val="0021343B"/>
    <w:rsid w:val="002142AF"/>
    <w:rsid w:val="00214775"/>
    <w:rsid w:val="00214E89"/>
    <w:rsid w:val="00217B80"/>
    <w:rsid w:val="00223A7B"/>
    <w:rsid w:val="00223BEC"/>
    <w:rsid w:val="002241B2"/>
    <w:rsid w:val="002262C3"/>
    <w:rsid w:val="0022695A"/>
    <w:rsid w:val="00227213"/>
    <w:rsid w:val="002276E0"/>
    <w:rsid w:val="002300AC"/>
    <w:rsid w:val="002308B9"/>
    <w:rsid w:val="00231289"/>
    <w:rsid w:val="002312DC"/>
    <w:rsid w:val="00231360"/>
    <w:rsid w:val="00231773"/>
    <w:rsid w:val="00233561"/>
    <w:rsid w:val="0023431E"/>
    <w:rsid w:val="002356F8"/>
    <w:rsid w:val="00235742"/>
    <w:rsid w:val="0023644D"/>
    <w:rsid w:val="002366C4"/>
    <w:rsid w:val="00240102"/>
    <w:rsid w:val="00240468"/>
    <w:rsid w:val="00240558"/>
    <w:rsid w:val="00241832"/>
    <w:rsid w:val="0024383D"/>
    <w:rsid w:val="00243B9D"/>
    <w:rsid w:val="00243F56"/>
    <w:rsid w:val="0024415A"/>
    <w:rsid w:val="00244D46"/>
    <w:rsid w:val="00246527"/>
    <w:rsid w:val="00246DC0"/>
    <w:rsid w:val="00247CE5"/>
    <w:rsid w:val="0025030F"/>
    <w:rsid w:val="002504AD"/>
    <w:rsid w:val="002515E6"/>
    <w:rsid w:val="00251B94"/>
    <w:rsid w:val="00257B03"/>
    <w:rsid w:val="00257BB8"/>
    <w:rsid w:val="0026062D"/>
    <w:rsid w:val="00261EBA"/>
    <w:rsid w:val="002651CE"/>
    <w:rsid w:val="0026654F"/>
    <w:rsid w:val="002667D9"/>
    <w:rsid w:val="002668C6"/>
    <w:rsid w:val="00266BBF"/>
    <w:rsid w:val="00266C1D"/>
    <w:rsid w:val="00267598"/>
    <w:rsid w:val="0027013C"/>
    <w:rsid w:val="002701B4"/>
    <w:rsid w:val="002706E0"/>
    <w:rsid w:val="00270F2B"/>
    <w:rsid w:val="00271FD2"/>
    <w:rsid w:val="00272577"/>
    <w:rsid w:val="002744AD"/>
    <w:rsid w:val="00274653"/>
    <w:rsid w:val="0027492E"/>
    <w:rsid w:val="00275529"/>
    <w:rsid w:val="00276035"/>
    <w:rsid w:val="00276208"/>
    <w:rsid w:val="0028042D"/>
    <w:rsid w:val="002805F3"/>
    <w:rsid w:val="00280F13"/>
    <w:rsid w:val="0028108D"/>
    <w:rsid w:val="00281258"/>
    <w:rsid w:val="002820D5"/>
    <w:rsid w:val="00282BD4"/>
    <w:rsid w:val="00283446"/>
    <w:rsid w:val="002865CC"/>
    <w:rsid w:val="002903F0"/>
    <w:rsid w:val="002923E7"/>
    <w:rsid w:val="00292740"/>
    <w:rsid w:val="00293B00"/>
    <w:rsid w:val="0029648D"/>
    <w:rsid w:val="00296E61"/>
    <w:rsid w:val="002A03CC"/>
    <w:rsid w:val="002A0CC0"/>
    <w:rsid w:val="002A1950"/>
    <w:rsid w:val="002A2BB9"/>
    <w:rsid w:val="002A4865"/>
    <w:rsid w:val="002A5322"/>
    <w:rsid w:val="002A7F16"/>
    <w:rsid w:val="002B1799"/>
    <w:rsid w:val="002B3C37"/>
    <w:rsid w:val="002B3E3B"/>
    <w:rsid w:val="002B565E"/>
    <w:rsid w:val="002B6177"/>
    <w:rsid w:val="002B62B8"/>
    <w:rsid w:val="002B7ED3"/>
    <w:rsid w:val="002C1404"/>
    <w:rsid w:val="002C20F9"/>
    <w:rsid w:val="002C2300"/>
    <w:rsid w:val="002C44D4"/>
    <w:rsid w:val="002C4571"/>
    <w:rsid w:val="002D12C6"/>
    <w:rsid w:val="002D2514"/>
    <w:rsid w:val="002D3984"/>
    <w:rsid w:val="002D4848"/>
    <w:rsid w:val="002D5C10"/>
    <w:rsid w:val="002D633E"/>
    <w:rsid w:val="002D775C"/>
    <w:rsid w:val="002E04D0"/>
    <w:rsid w:val="002E173F"/>
    <w:rsid w:val="002E2174"/>
    <w:rsid w:val="002E2F10"/>
    <w:rsid w:val="002E58C4"/>
    <w:rsid w:val="002E593F"/>
    <w:rsid w:val="002E709F"/>
    <w:rsid w:val="002E72AE"/>
    <w:rsid w:val="002E7426"/>
    <w:rsid w:val="002E76A0"/>
    <w:rsid w:val="002F06B5"/>
    <w:rsid w:val="002F3559"/>
    <w:rsid w:val="002F48CB"/>
    <w:rsid w:val="002F5D4D"/>
    <w:rsid w:val="002F61FA"/>
    <w:rsid w:val="002F6691"/>
    <w:rsid w:val="002F7178"/>
    <w:rsid w:val="00300690"/>
    <w:rsid w:val="00302B39"/>
    <w:rsid w:val="003046FF"/>
    <w:rsid w:val="0030506D"/>
    <w:rsid w:val="003054F9"/>
    <w:rsid w:val="003065F2"/>
    <w:rsid w:val="003076D5"/>
    <w:rsid w:val="003100F8"/>
    <w:rsid w:val="003103C5"/>
    <w:rsid w:val="0031054F"/>
    <w:rsid w:val="00310596"/>
    <w:rsid w:val="00311171"/>
    <w:rsid w:val="0031351F"/>
    <w:rsid w:val="0031419A"/>
    <w:rsid w:val="00314C51"/>
    <w:rsid w:val="00322246"/>
    <w:rsid w:val="003232EB"/>
    <w:rsid w:val="00324392"/>
    <w:rsid w:val="00324490"/>
    <w:rsid w:val="003258E4"/>
    <w:rsid w:val="00325994"/>
    <w:rsid w:val="00326D51"/>
    <w:rsid w:val="00326E31"/>
    <w:rsid w:val="00327E3E"/>
    <w:rsid w:val="00327F44"/>
    <w:rsid w:val="00330DD5"/>
    <w:rsid w:val="00330EBF"/>
    <w:rsid w:val="00331B1E"/>
    <w:rsid w:val="00331D76"/>
    <w:rsid w:val="00331D7A"/>
    <w:rsid w:val="00332103"/>
    <w:rsid w:val="00332CAD"/>
    <w:rsid w:val="00333124"/>
    <w:rsid w:val="0033698E"/>
    <w:rsid w:val="003371DD"/>
    <w:rsid w:val="003404FE"/>
    <w:rsid w:val="00341FA5"/>
    <w:rsid w:val="003429AA"/>
    <w:rsid w:val="00344C79"/>
    <w:rsid w:val="0034641D"/>
    <w:rsid w:val="00347740"/>
    <w:rsid w:val="00347D98"/>
    <w:rsid w:val="00351498"/>
    <w:rsid w:val="00352F8C"/>
    <w:rsid w:val="00353051"/>
    <w:rsid w:val="0035339F"/>
    <w:rsid w:val="003557B6"/>
    <w:rsid w:val="00356651"/>
    <w:rsid w:val="00360535"/>
    <w:rsid w:val="00361B23"/>
    <w:rsid w:val="00362106"/>
    <w:rsid w:val="0036316A"/>
    <w:rsid w:val="003633F6"/>
    <w:rsid w:val="00363A47"/>
    <w:rsid w:val="003641CA"/>
    <w:rsid w:val="00364D27"/>
    <w:rsid w:val="00365C51"/>
    <w:rsid w:val="00370020"/>
    <w:rsid w:val="00370D80"/>
    <w:rsid w:val="00371100"/>
    <w:rsid w:val="0037180E"/>
    <w:rsid w:val="003720CF"/>
    <w:rsid w:val="00372196"/>
    <w:rsid w:val="0037293D"/>
    <w:rsid w:val="003732CB"/>
    <w:rsid w:val="00374C02"/>
    <w:rsid w:val="003755F2"/>
    <w:rsid w:val="00375DB0"/>
    <w:rsid w:val="00376D8C"/>
    <w:rsid w:val="00377676"/>
    <w:rsid w:val="00381781"/>
    <w:rsid w:val="003817C2"/>
    <w:rsid w:val="00381A5E"/>
    <w:rsid w:val="00383427"/>
    <w:rsid w:val="0038379D"/>
    <w:rsid w:val="0038450C"/>
    <w:rsid w:val="003853F4"/>
    <w:rsid w:val="00385B22"/>
    <w:rsid w:val="00386C6A"/>
    <w:rsid w:val="00387080"/>
    <w:rsid w:val="00387FA4"/>
    <w:rsid w:val="003912A1"/>
    <w:rsid w:val="00392D00"/>
    <w:rsid w:val="00392D0F"/>
    <w:rsid w:val="0039313B"/>
    <w:rsid w:val="00393828"/>
    <w:rsid w:val="00393E7F"/>
    <w:rsid w:val="0039595E"/>
    <w:rsid w:val="00395B26"/>
    <w:rsid w:val="00396A1A"/>
    <w:rsid w:val="0039704E"/>
    <w:rsid w:val="003A32AE"/>
    <w:rsid w:val="003A700F"/>
    <w:rsid w:val="003A7627"/>
    <w:rsid w:val="003B03F4"/>
    <w:rsid w:val="003B0444"/>
    <w:rsid w:val="003B12F6"/>
    <w:rsid w:val="003B23C2"/>
    <w:rsid w:val="003B276F"/>
    <w:rsid w:val="003B7303"/>
    <w:rsid w:val="003B76DC"/>
    <w:rsid w:val="003C1455"/>
    <w:rsid w:val="003C2E6B"/>
    <w:rsid w:val="003C362D"/>
    <w:rsid w:val="003C73D4"/>
    <w:rsid w:val="003C7FC9"/>
    <w:rsid w:val="003D0332"/>
    <w:rsid w:val="003D0929"/>
    <w:rsid w:val="003D0F7F"/>
    <w:rsid w:val="003D1EF2"/>
    <w:rsid w:val="003D41D5"/>
    <w:rsid w:val="003D5D34"/>
    <w:rsid w:val="003D6159"/>
    <w:rsid w:val="003D68BF"/>
    <w:rsid w:val="003D7B63"/>
    <w:rsid w:val="003D7C56"/>
    <w:rsid w:val="003E18F0"/>
    <w:rsid w:val="003E2DDC"/>
    <w:rsid w:val="003E2EBB"/>
    <w:rsid w:val="003E328B"/>
    <w:rsid w:val="003E3B1B"/>
    <w:rsid w:val="003E4D8F"/>
    <w:rsid w:val="003E568A"/>
    <w:rsid w:val="003E7AB3"/>
    <w:rsid w:val="003E7AE2"/>
    <w:rsid w:val="003F0C74"/>
    <w:rsid w:val="003F0EAD"/>
    <w:rsid w:val="003F0EF9"/>
    <w:rsid w:val="003F18C9"/>
    <w:rsid w:val="003F34A8"/>
    <w:rsid w:val="003F38FF"/>
    <w:rsid w:val="003F5DDC"/>
    <w:rsid w:val="003F7A31"/>
    <w:rsid w:val="00401261"/>
    <w:rsid w:val="00402176"/>
    <w:rsid w:val="00402518"/>
    <w:rsid w:val="004031C3"/>
    <w:rsid w:val="00403529"/>
    <w:rsid w:val="00405334"/>
    <w:rsid w:val="004059AB"/>
    <w:rsid w:val="00405C61"/>
    <w:rsid w:val="00405CD3"/>
    <w:rsid w:val="004079CD"/>
    <w:rsid w:val="0041093A"/>
    <w:rsid w:val="004111F9"/>
    <w:rsid w:val="00411FAC"/>
    <w:rsid w:val="00412336"/>
    <w:rsid w:val="00415C48"/>
    <w:rsid w:val="00417392"/>
    <w:rsid w:val="0041765F"/>
    <w:rsid w:val="00417E8B"/>
    <w:rsid w:val="00421005"/>
    <w:rsid w:val="004211EC"/>
    <w:rsid w:val="004216B4"/>
    <w:rsid w:val="004230D2"/>
    <w:rsid w:val="00423627"/>
    <w:rsid w:val="00423AFC"/>
    <w:rsid w:val="00424B75"/>
    <w:rsid w:val="00425FAB"/>
    <w:rsid w:val="00426713"/>
    <w:rsid w:val="00426D32"/>
    <w:rsid w:val="00431163"/>
    <w:rsid w:val="00431D04"/>
    <w:rsid w:val="00431FD2"/>
    <w:rsid w:val="00432F41"/>
    <w:rsid w:val="00434528"/>
    <w:rsid w:val="00434861"/>
    <w:rsid w:val="004351BE"/>
    <w:rsid w:val="004354D2"/>
    <w:rsid w:val="00437D1C"/>
    <w:rsid w:val="004411DA"/>
    <w:rsid w:val="00441302"/>
    <w:rsid w:val="00441964"/>
    <w:rsid w:val="00442141"/>
    <w:rsid w:val="0044435A"/>
    <w:rsid w:val="004459FE"/>
    <w:rsid w:val="00446379"/>
    <w:rsid w:val="004467E9"/>
    <w:rsid w:val="00447207"/>
    <w:rsid w:val="00450854"/>
    <w:rsid w:val="00455A4B"/>
    <w:rsid w:val="00455EE6"/>
    <w:rsid w:val="004564D7"/>
    <w:rsid w:val="0045726E"/>
    <w:rsid w:val="004579D0"/>
    <w:rsid w:val="00457C9F"/>
    <w:rsid w:val="00460C1E"/>
    <w:rsid w:val="00460D94"/>
    <w:rsid w:val="004615CA"/>
    <w:rsid w:val="004622D3"/>
    <w:rsid w:val="00462356"/>
    <w:rsid w:val="0046288F"/>
    <w:rsid w:val="00463303"/>
    <w:rsid w:val="00463BDD"/>
    <w:rsid w:val="0046402A"/>
    <w:rsid w:val="00464580"/>
    <w:rsid w:val="004656C7"/>
    <w:rsid w:val="004659BD"/>
    <w:rsid w:val="0046667C"/>
    <w:rsid w:val="00467A6A"/>
    <w:rsid w:val="00467A95"/>
    <w:rsid w:val="00467E58"/>
    <w:rsid w:val="004711E8"/>
    <w:rsid w:val="004722FF"/>
    <w:rsid w:val="00473FCF"/>
    <w:rsid w:val="004766B9"/>
    <w:rsid w:val="0047742D"/>
    <w:rsid w:val="00477DDD"/>
    <w:rsid w:val="00480117"/>
    <w:rsid w:val="00482F4F"/>
    <w:rsid w:val="0048489C"/>
    <w:rsid w:val="00485017"/>
    <w:rsid w:val="00487789"/>
    <w:rsid w:val="0049045D"/>
    <w:rsid w:val="004907BB"/>
    <w:rsid w:val="00490D07"/>
    <w:rsid w:val="00491AF9"/>
    <w:rsid w:val="00491E7B"/>
    <w:rsid w:val="004930FA"/>
    <w:rsid w:val="00493A60"/>
    <w:rsid w:val="00494435"/>
    <w:rsid w:val="00496834"/>
    <w:rsid w:val="004A1C25"/>
    <w:rsid w:val="004A4421"/>
    <w:rsid w:val="004A4832"/>
    <w:rsid w:val="004A487E"/>
    <w:rsid w:val="004A4C93"/>
    <w:rsid w:val="004A6939"/>
    <w:rsid w:val="004A6CF0"/>
    <w:rsid w:val="004A7987"/>
    <w:rsid w:val="004A7A78"/>
    <w:rsid w:val="004B05FD"/>
    <w:rsid w:val="004B08DC"/>
    <w:rsid w:val="004B0ABA"/>
    <w:rsid w:val="004B22A2"/>
    <w:rsid w:val="004B42D2"/>
    <w:rsid w:val="004B5445"/>
    <w:rsid w:val="004B62F7"/>
    <w:rsid w:val="004C09F5"/>
    <w:rsid w:val="004C0DA8"/>
    <w:rsid w:val="004C30B0"/>
    <w:rsid w:val="004C35B8"/>
    <w:rsid w:val="004D0BA4"/>
    <w:rsid w:val="004D168A"/>
    <w:rsid w:val="004D26FE"/>
    <w:rsid w:val="004D27BB"/>
    <w:rsid w:val="004D31C0"/>
    <w:rsid w:val="004D41A9"/>
    <w:rsid w:val="004D44DF"/>
    <w:rsid w:val="004D5735"/>
    <w:rsid w:val="004D5FE0"/>
    <w:rsid w:val="004D7807"/>
    <w:rsid w:val="004D7B39"/>
    <w:rsid w:val="004D7D99"/>
    <w:rsid w:val="004E0938"/>
    <w:rsid w:val="004E3AAB"/>
    <w:rsid w:val="004E3E56"/>
    <w:rsid w:val="004E6B09"/>
    <w:rsid w:val="004E7329"/>
    <w:rsid w:val="004E7E3A"/>
    <w:rsid w:val="004F0530"/>
    <w:rsid w:val="004F19A1"/>
    <w:rsid w:val="004F39A9"/>
    <w:rsid w:val="004F3E13"/>
    <w:rsid w:val="004F5E83"/>
    <w:rsid w:val="004F6066"/>
    <w:rsid w:val="004F6CE1"/>
    <w:rsid w:val="004F6FD5"/>
    <w:rsid w:val="0050024A"/>
    <w:rsid w:val="005009FF"/>
    <w:rsid w:val="00500ACF"/>
    <w:rsid w:val="00502A12"/>
    <w:rsid w:val="0050310C"/>
    <w:rsid w:val="005041C3"/>
    <w:rsid w:val="0050511B"/>
    <w:rsid w:val="00505241"/>
    <w:rsid w:val="00505565"/>
    <w:rsid w:val="00507F96"/>
    <w:rsid w:val="00510BAE"/>
    <w:rsid w:val="00512F41"/>
    <w:rsid w:val="005136BA"/>
    <w:rsid w:val="005137CD"/>
    <w:rsid w:val="00513A46"/>
    <w:rsid w:val="005155EE"/>
    <w:rsid w:val="00516FCA"/>
    <w:rsid w:val="0051723E"/>
    <w:rsid w:val="005175E9"/>
    <w:rsid w:val="005179F0"/>
    <w:rsid w:val="005202AC"/>
    <w:rsid w:val="00520460"/>
    <w:rsid w:val="005207DA"/>
    <w:rsid w:val="00522870"/>
    <w:rsid w:val="00524327"/>
    <w:rsid w:val="00524658"/>
    <w:rsid w:val="00525ABF"/>
    <w:rsid w:val="00526DBF"/>
    <w:rsid w:val="005279C6"/>
    <w:rsid w:val="00527EB2"/>
    <w:rsid w:val="0053020D"/>
    <w:rsid w:val="00530664"/>
    <w:rsid w:val="00530D15"/>
    <w:rsid w:val="00532F96"/>
    <w:rsid w:val="00533CCB"/>
    <w:rsid w:val="00536005"/>
    <w:rsid w:val="00536F14"/>
    <w:rsid w:val="00537555"/>
    <w:rsid w:val="00540422"/>
    <w:rsid w:val="005410EA"/>
    <w:rsid w:val="00541CB3"/>
    <w:rsid w:val="00542893"/>
    <w:rsid w:val="00543264"/>
    <w:rsid w:val="005434E1"/>
    <w:rsid w:val="00546D4F"/>
    <w:rsid w:val="00550BF9"/>
    <w:rsid w:val="005518E1"/>
    <w:rsid w:val="00555534"/>
    <w:rsid w:val="00555F95"/>
    <w:rsid w:val="00556E8D"/>
    <w:rsid w:val="0056003A"/>
    <w:rsid w:val="0056016C"/>
    <w:rsid w:val="0056033D"/>
    <w:rsid w:val="005617CB"/>
    <w:rsid w:val="00563D21"/>
    <w:rsid w:val="00564456"/>
    <w:rsid w:val="00565A4D"/>
    <w:rsid w:val="00566222"/>
    <w:rsid w:val="00570756"/>
    <w:rsid w:val="00570C99"/>
    <w:rsid w:val="00570DAD"/>
    <w:rsid w:val="005719D3"/>
    <w:rsid w:val="00571B06"/>
    <w:rsid w:val="005726DE"/>
    <w:rsid w:val="0057278C"/>
    <w:rsid w:val="00572977"/>
    <w:rsid w:val="00572A5D"/>
    <w:rsid w:val="00572DC6"/>
    <w:rsid w:val="00574204"/>
    <w:rsid w:val="0057473F"/>
    <w:rsid w:val="00576B8E"/>
    <w:rsid w:val="00576E4C"/>
    <w:rsid w:val="005776FA"/>
    <w:rsid w:val="00580089"/>
    <w:rsid w:val="005809D9"/>
    <w:rsid w:val="00581E09"/>
    <w:rsid w:val="005823A7"/>
    <w:rsid w:val="0058272F"/>
    <w:rsid w:val="00582A5B"/>
    <w:rsid w:val="0058445A"/>
    <w:rsid w:val="00585E3E"/>
    <w:rsid w:val="00586F6A"/>
    <w:rsid w:val="00587EBB"/>
    <w:rsid w:val="0059208E"/>
    <w:rsid w:val="0059306E"/>
    <w:rsid w:val="00593407"/>
    <w:rsid w:val="005938BC"/>
    <w:rsid w:val="00593A12"/>
    <w:rsid w:val="00593A3C"/>
    <w:rsid w:val="00593D10"/>
    <w:rsid w:val="00594A96"/>
    <w:rsid w:val="00594C6F"/>
    <w:rsid w:val="00594D13"/>
    <w:rsid w:val="00595CCB"/>
    <w:rsid w:val="005969F7"/>
    <w:rsid w:val="00597044"/>
    <w:rsid w:val="00597A9A"/>
    <w:rsid w:val="00597CAA"/>
    <w:rsid w:val="005A000A"/>
    <w:rsid w:val="005A03E2"/>
    <w:rsid w:val="005A0A4A"/>
    <w:rsid w:val="005A2DD8"/>
    <w:rsid w:val="005A3E43"/>
    <w:rsid w:val="005A4967"/>
    <w:rsid w:val="005A532E"/>
    <w:rsid w:val="005A54CD"/>
    <w:rsid w:val="005A66F4"/>
    <w:rsid w:val="005B13E5"/>
    <w:rsid w:val="005B1EAF"/>
    <w:rsid w:val="005B2828"/>
    <w:rsid w:val="005B46CF"/>
    <w:rsid w:val="005B56CC"/>
    <w:rsid w:val="005B747F"/>
    <w:rsid w:val="005B75B3"/>
    <w:rsid w:val="005C04AC"/>
    <w:rsid w:val="005C34F1"/>
    <w:rsid w:val="005C4209"/>
    <w:rsid w:val="005C479C"/>
    <w:rsid w:val="005C5306"/>
    <w:rsid w:val="005C5DA7"/>
    <w:rsid w:val="005C7B30"/>
    <w:rsid w:val="005D18F6"/>
    <w:rsid w:val="005D2871"/>
    <w:rsid w:val="005D2EE2"/>
    <w:rsid w:val="005D3352"/>
    <w:rsid w:val="005D3E41"/>
    <w:rsid w:val="005D3EEF"/>
    <w:rsid w:val="005D485D"/>
    <w:rsid w:val="005E020D"/>
    <w:rsid w:val="005E06D8"/>
    <w:rsid w:val="005E07E1"/>
    <w:rsid w:val="005E0D03"/>
    <w:rsid w:val="005E14AA"/>
    <w:rsid w:val="005E1D4E"/>
    <w:rsid w:val="005E1D7A"/>
    <w:rsid w:val="005E1F89"/>
    <w:rsid w:val="005E27FB"/>
    <w:rsid w:val="005E28CB"/>
    <w:rsid w:val="005E336D"/>
    <w:rsid w:val="005E62EE"/>
    <w:rsid w:val="005E7315"/>
    <w:rsid w:val="005E7A37"/>
    <w:rsid w:val="005F026C"/>
    <w:rsid w:val="005F1702"/>
    <w:rsid w:val="005F1864"/>
    <w:rsid w:val="005F1E98"/>
    <w:rsid w:val="005F224E"/>
    <w:rsid w:val="005F2B24"/>
    <w:rsid w:val="005F4179"/>
    <w:rsid w:val="005F41B6"/>
    <w:rsid w:val="005F475E"/>
    <w:rsid w:val="005F636E"/>
    <w:rsid w:val="006007A4"/>
    <w:rsid w:val="00601A31"/>
    <w:rsid w:val="00601B05"/>
    <w:rsid w:val="00601E17"/>
    <w:rsid w:val="00602056"/>
    <w:rsid w:val="00602104"/>
    <w:rsid w:val="006028FE"/>
    <w:rsid w:val="00604D3B"/>
    <w:rsid w:val="00604E13"/>
    <w:rsid w:val="00605567"/>
    <w:rsid w:val="00606492"/>
    <w:rsid w:val="00606B52"/>
    <w:rsid w:val="006113EB"/>
    <w:rsid w:val="00612117"/>
    <w:rsid w:val="00612390"/>
    <w:rsid w:val="00612694"/>
    <w:rsid w:val="00612E61"/>
    <w:rsid w:val="0061322B"/>
    <w:rsid w:val="00613573"/>
    <w:rsid w:val="00613CE2"/>
    <w:rsid w:val="0061449B"/>
    <w:rsid w:val="0061484C"/>
    <w:rsid w:val="00615251"/>
    <w:rsid w:val="006166CF"/>
    <w:rsid w:val="006167E6"/>
    <w:rsid w:val="0061779F"/>
    <w:rsid w:val="006211FA"/>
    <w:rsid w:val="00622A93"/>
    <w:rsid w:val="0062418B"/>
    <w:rsid w:val="00625130"/>
    <w:rsid w:val="0062543C"/>
    <w:rsid w:val="00625A5A"/>
    <w:rsid w:val="00625F46"/>
    <w:rsid w:val="006266F1"/>
    <w:rsid w:val="006274C7"/>
    <w:rsid w:val="006301E8"/>
    <w:rsid w:val="00630A09"/>
    <w:rsid w:val="00630B46"/>
    <w:rsid w:val="006313ED"/>
    <w:rsid w:val="00631D6B"/>
    <w:rsid w:val="00632011"/>
    <w:rsid w:val="00633064"/>
    <w:rsid w:val="0063561D"/>
    <w:rsid w:val="0063697F"/>
    <w:rsid w:val="00637228"/>
    <w:rsid w:val="00641687"/>
    <w:rsid w:val="00641A0F"/>
    <w:rsid w:val="00642876"/>
    <w:rsid w:val="0064411D"/>
    <w:rsid w:val="00645D03"/>
    <w:rsid w:val="006470D5"/>
    <w:rsid w:val="00647A1A"/>
    <w:rsid w:val="0065121D"/>
    <w:rsid w:val="00651693"/>
    <w:rsid w:val="00651D74"/>
    <w:rsid w:val="00653286"/>
    <w:rsid w:val="00653D86"/>
    <w:rsid w:val="00656991"/>
    <w:rsid w:val="006574C1"/>
    <w:rsid w:val="006600D4"/>
    <w:rsid w:val="00660607"/>
    <w:rsid w:val="0066089A"/>
    <w:rsid w:val="00660B14"/>
    <w:rsid w:val="00660CE6"/>
    <w:rsid w:val="00661E4E"/>
    <w:rsid w:val="00662754"/>
    <w:rsid w:val="00662C33"/>
    <w:rsid w:val="006632AF"/>
    <w:rsid w:val="006636ED"/>
    <w:rsid w:val="006642AD"/>
    <w:rsid w:val="00664AC1"/>
    <w:rsid w:val="006657DE"/>
    <w:rsid w:val="006665D1"/>
    <w:rsid w:val="006672BE"/>
    <w:rsid w:val="00667AC7"/>
    <w:rsid w:val="00670B32"/>
    <w:rsid w:val="00670C22"/>
    <w:rsid w:val="00671E97"/>
    <w:rsid w:val="006725E5"/>
    <w:rsid w:val="00672848"/>
    <w:rsid w:val="00672F78"/>
    <w:rsid w:val="00673903"/>
    <w:rsid w:val="00674AB3"/>
    <w:rsid w:val="00675448"/>
    <w:rsid w:val="00675BC3"/>
    <w:rsid w:val="00676C4B"/>
    <w:rsid w:val="00683798"/>
    <w:rsid w:val="00684BCF"/>
    <w:rsid w:val="00684BF7"/>
    <w:rsid w:val="00686400"/>
    <w:rsid w:val="00687F3C"/>
    <w:rsid w:val="006927F5"/>
    <w:rsid w:val="00693436"/>
    <w:rsid w:val="0069547A"/>
    <w:rsid w:val="0069556F"/>
    <w:rsid w:val="00695BD7"/>
    <w:rsid w:val="006963DB"/>
    <w:rsid w:val="006A0BEB"/>
    <w:rsid w:val="006A10BF"/>
    <w:rsid w:val="006A1643"/>
    <w:rsid w:val="006A1724"/>
    <w:rsid w:val="006A2B41"/>
    <w:rsid w:val="006A2F0F"/>
    <w:rsid w:val="006A4DBE"/>
    <w:rsid w:val="006A5F4A"/>
    <w:rsid w:val="006A6B81"/>
    <w:rsid w:val="006A7FC7"/>
    <w:rsid w:val="006B0453"/>
    <w:rsid w:val="006B1038"/>
    <w:rsid w:val="006B269B"/>
    <w:rsid w:val="006B3423"/>
    <w:rsid w:val="006B4A9B"/>
    <w:rsid w:val="006B5ED7"/>
    <w:rsid w:val="006B66E7"/>
    <w:rsid w:val="006C0063"/>
    <w:rsid w:val="006C1636"/>
    <w:rsid w:val="006C45BE"/>
    <w:rsid w:val="006C5003"/>
    <w:rsid w:val="006C5213"/>
    <w:rsid w:val="006C6A9C"/>
    <w:rsid w:val="006D017F"/>
    <w:rsid w:val="006D16A0"/>
    <w:rsid w:val="006D21F2"/>
    <w:rsid w:val="006D437F"/>
    <w:rsid w:val="006D459E"/>
    <w:rsid w:val="006D472B"/>
    <w:rsid w:val="006D4C64"/>
    <w:rsid w:val="006D59CE"/>
    <w:rsid w:val="006D5EEF"/>
    <w:rsid w:val="006D7A0C"/>
    <w:rsid w:val="006E17D9"/>
    <w:rsid w:val="006E1A79"/>
    <w:rsid w:val="006E1CAB"/>
    <w:rsid w:val="006E2E54"/>
    <w:rsid w:val="006E3443"/>
    <w:rsid w:val="006E3B44"/>
    <w:rsid w:val="006E789A"/>
    <w:rsid w:val="006E7AE6"/>
    <w:rsid w:val="006F016F"/>
    <w:rsid w:val="006F0616"/>
    <w:rsid w:val="006F0880"/>
    <w:rsid w:val="006F2C89"/>
    <w:rsid w:val="006F3C46"/>
    <w:rsid w:val="006F53CE"/>
    <w:rsid w:val="006F5D3D"/>
    <w:rsid w:val="006F64B8"/>
    <w:rsid w:val="006F6C3A"/>
    <w:rsid w:val="006F6EBA"/>
    <w:rsid w:val="007007D0"/>
    <w:rsid w:val="00700B58"/>
    <w:rsid w:val="007018DF"/>
    <w:rsid w:val="0070277D"/>
    <w:rsid w:val="00703FE2"/>
    <w:rsid w:val="007104C1"/>
    <w:rsid w:val="0071204E"/>
    <w:rsid w:val="0071446C"/>
    <w:rsid w:val="007158B0"/>
    <w:rsid w:val="00715F0E"/>
    <w:rsid w:val="007166D4"/>
    <w:rsid w:val="0071723A"/>
    <w:rsid w:val="007216F8"/>
    <w:rsid w:val="00721837"/>
    <w:rsid w:val="0072249E"/>
    <w:rsid w:val="007236BC"/>
    <w:rsid w:val="00723B07"/>
    <w:rsid w:val="00725154"/>
    <w:rsid w:val="0072520F"/>
    <w:rsid w:val="0072581F"/>
    <w:rsid w:val="007260A8"/>
    <w:rsid w:val="00727823"/>
    <w:rsid w:val="007279C0"/>
    <w:rsid w:val="007305BE"/>
    <w:rsid w:val="00730CF7"/>
    <w:rsid w:val="0073113E"/>
    <w:rsid w:val="00733A96"/>
    <w:rsid w:val="00735D2E"/>
    <w:rsid w:val="00736F96"/>
    <w:rsid w:val="0073771C"/>
    <w:rsid w:val="00740590"/>
    <w:rsid w:val="007409C6"/>
    <w:rsid w:val="00741C44"/>
    <w:rsid w:val="00741D52"/>
    <w:rsid w:val="00744D26"/>
    <w:rsid w:val="00746DBD"/>
    <w:rsid w:val="00750212"/>
    <w:rsid w:val="00750A3C"/>
    <w:rsid w:val="00750AF9"/>
    <w:rsid w:val="007538B4"/>
    <w:rsid w:val="0075435F"/>
    <w:rsid w:val="00754579"/>
    <w:rsid w:val="00755AED"/>
    <w:rsid w:val="00755CF7"/>
    <w:rsid w:val="007568DF"/>
    <w:rsid w:val="00757845"/>
    <w:rsid w:val="00760FAB"/>
    <w:rsid w:val="00761EAE"/>
    <w:rsid w:val="007623CD"/>
    <w:rsid w:val="00762B38"/>
    <w:rsid w:val="007642F3"/>
    <w:rsid w:val="00766C40"/>
    <w:rsid w:val="007672DA"/>
    <w:rsid w:val="0077064A"/>
    <w:rsid w:val="00771C8E"/>
    <w:rsid w:val="00771EB3"/>
    <w:rsid w:val="00773832"/>
    <w:rsid w:val="007753CC"/>
    <w:rsid w:val="007763E2"/>
    <w:rsid w:val="007804CF"/>
    <w:rsid w:val="00780D84"/>
    <w:rsid w:val="00782110"/>
    <w:rsid w:val="00782234"/>
    <w:rsid w:val="0078324D"/>
    <w:rsid w:val="007835CB"/>
    <w:rsid w:val="007842F8"/>
    <w:rsid w:val="00784852"/>
    <w:rsid w:val="00784D45"/>
    <w:rsid w:val="00785F29"/>
    <w:rsid w:val="007863A2"/>
    <w:rsid w:val="007866BD"/>
    <w:rsid w:val="00786877"/>
    <w:rsid w:val="00787416"/>
    <w:rsid w:val="0078789A"/>
    <w:rsid w:val="00790A86"/>
    <w:rsid w:val="00792D9D"/>
    <w:rsid w:val="00794C16"/>
    <w:rsid w:val="00795D0B"/>
    <w:rsid w:val="00795D74"/>
    <w:rsid w:val="007A20B4"/>
    <w:rsid w:val="007A22FF"/>
    <w:rsid w:val="007A3DC6"/>
    <w:rsid w:val="007A6DD3"/>
    <w:rsid w:val="007A6F5D"/>
    <w:rsid w:val="007A7304"/>
    <w:rsid w:val="007A75AA"/>
    <w:rsid w:val="007B0291"/>
    <w:rsid w:val="007B5154"/>
    <w:rsid w:val="007B547B"/>
    <w:rsid w:val="007B7031"/>
    <w:rsid w:val="007C0151"/>
    <w:rsid w:val="007C0728"/>
    <w:rsid w:val="007C0D74"/>
    <w:rsid w:val="007C2054"/>
    <w:rsid w:val="007C242D"/>
    <w:rsid w:val="007C2697"/>
    <w:rsid w:val="007C38B4"/>
    <w:rsid w:val="007C6736"/>
    <w:rsid w:val="007C6C51"/>
    <w:rsid w:val="007D1608"/>
    <w:rsid w:val="007D22A8"/>
    <w:rsid w:val="007D2E8A"/>
    <w:rsid w:val="007D2EFC"/>
    <w:rsid w:val="007D3051"/>
    <w:rsid w:val="007D3B50"/>
    <w:rsid w:val="007D5F18"/>
    <w:rsid w:val="007D606D"/>
    <w:rsid w:val="007D665E"/>
    <w:rsid w:val="007D7103"/>
    <w:rsid w:val="007D7A1A"/>
    <w:rsid w:val="007E2119"/>
    <w:rsid w:val="007E28CA"/>
    <w:rsid w:val="007E3A33"/>
    <w:rsid w:val="007E3CF2"/>
    <w:rsid w:val="007E4645"/>
    <w:rsid w:val="007E47EC"/>
    <w:rsid w:val="007E50FE"/>
    <w:rsid w:val="007E6263"/>
    <w:rsid w:val="007E6BC9"/>
    <w:rsid w:val="007E7BAC"/>
    <w:rsid w:val="007E7CE0"/>
    <w:rsid w:val="007F005F"/>
    <w:rsid w:val="007F0258"/>
    <w:rsid w:val="007F0F31"/>
    <w:rsid w:val="007F160D"/>
    <w:rsid w:val="007F285C"/>
    <w:rsid w:val="007F3DD2"/>
    <w:rsid w:val="007F400F"/>
    <w:rsid w:val="007F7246"/>
    <w:rsid w:val="007F7386"/>
    <w:rsid w:val="008003A7"/>
    <w:rsid w:val="0080075F"/>
    <w:rsid w:val="00803623"/>
    <w:rsid w:val="008047D4"/>
    <w:rsid w:val="00805AF9"/>
    <w:rsid w:val="00806CA7"/>
    <w:rsid w:val="00806CC5"/>
    <w:rsid w:val="00807340"/>
    <w:rsid w:val="00807E8F"/>
    <w:rsid w:val="00807F62"/>
    <w:rsid w:val="00811505"/>
    <w:rsid w:val="00811C5A"/>
    <w:rsid w:val="00811D15"/>
    <w:rsid w:val="00813EFA"/>
    <w:rsid w:val="00814115"/>
    <w:rsid w:val="008200E1"/>
    <w:rsid w:val="008205B5"/>
    <w:rsid w:val="008209E2"/>
    <w:rsid w:val="00823D3A"/>
    <w:rsid w:val="00823E7F"/>
    <w:rsid w:val="00824BFC"/>
    <w:rsid w:val="00824D7B"/>
    <w:rsid w:val="00824DAD"/>
    <w:rsid w:val="008268FE"/>
    <w:rsid w:val="00826CCC"/>
    <w:rsid w:val="00827067"/>
    <w:rsid w:val="008303A8"/>
    <w:rsid w:val="00831A71"/>
    <w:rsid w:val="00831B9B"/>
    <w:rsid w:val="008326BE"/>
    <w:rsid w:val="0083275E"/>
    <w:rsid w:val="00833272"/>
    <w:rsid w:val="008334BD"/>
    <w:rsid w:val="00834905"/>
    <w:rsid w:val="008356E7"/>
    <w:rsid w:val="00836A82"/>
    <w:rsid w:val="0083792D"/>
    <w:rsid w:val="0084297C"/>
    <w:rsid w:val="008431E7"/>
    <w:rsid w:val="00843DF0"/>
    <w:rsid w:val="008445E1"/>
    <w:rsid w:val="008450D8"/>
    <w:rsid w:val="008452F6"/>
    <w:rsid w:val="00846DE8"/>
    <w:rsid w:val="008502CA"/>
    <w:rsid w:val="00851701"/>
    <w:rsid w:val="0085264D"/>
    <w:rsid w:val="0085347C"/>
    <w:rsid w:val="00854826"/>
    <w:rsid w:val="00855672"/>
    <w:rsid w:val="008575CE"/>
    <w:rsid w:val="00857D3F"/>
    <w:rsid w:val="00857F5F"/>
    <w:rsid w:val="00860A0A"/>
    <w:rsid w:val="0086258D"/>
    <w:rsid w:val="00864741"/>
    <w:rsid w:val="008661CA"/>
    <w:rsid w:val="00866599"/>
    <w:rsid w:val="00866F17"/>
    <w:rsid w:val="00867012"/>
    <w:rsid w:val="008676E7"/>
    <w:rsid w:val="00867DF7"/>
    <w:rsid w:val="00870834"/>
    <w:rsid w:val="008709FE"/>
    <w:rsid w:val="00870ED8"/>
    <w:rsid w:val="00871070"/>
    <w:rsid w:val="008721B6"/>
    <w:rsid w:val="00872DF5"/>
    <w:rsid w:val="00873378"/>
    <w:rsid w:val="008733F3"/>
    <w:rsid w:val="008735AA"/>
    <w:rsid w:val="008738B6"/>
    <w:rsid w:val="00873988"/>
    <w:rsid w:val="008749B1"/>
    <w:rsid w:val="00875551"/>
    <w:rsid w:val="008761CF"/>
    <w:rsid w:val="00881978"/>
    <w:rsid w:val="0088198A"/>
    <w:rsid w:val="00881C15"/>
    <w:rsid w:val="00881EEF"/>
    <w:rsid w:val="00882523"/>
    <w:rsid w:val="00882C6F"/>
    <w:rsid w:val="00885DED"/>
    <w:rsid w:val="00886016"/>
    <w:rsid w:val="008862C5"/>
    <w:rsid w:val="00886F42"/>
    <w:rsid w:val="0089003D"/>
    <w:rsid w:val="008901AB"/>
    <w:rsid w:val="00890DDD"/>
    <w:rsid w:val="00891A15"/>
    <w:rsid w:val="00893A77"/>
    <w:rsid w:val="00895ADB"/>
    <w:rsid w:val="00897172"/>
    <w:rsid w:val="008976AE"/>
    <w:rsid w:val="008A0B8B"/>
    <w:rsid w:val="008A3231"/>
    <w:rsid w:val="008A3476"/>
    <w:rsid w:val="008A3A29"/>
    <w:rsid w:val="008A4BC8"/>
    <w:rsid w:val="008A5A26"/>
    <w:rsid w:val="008A5E58"/>
    <w:rsid w:val="008A6087"/>
    <w:rsid w:val="008B0E56"/>
    <w:rsid w:val="008B0F7E"/>
    <w:rsid w:val="008B1199"/>
    <w:rsid w:val="008B216B"/>
    <w:rsid w:val="008B37E8"/>
    <w:rsid w:val="008B3E8C"/>
    <w:rsid w:val="008B4040"/>
    <w:rsid w:val="008B4670"/>
    <w:rsid w:val="008B47CD"/>
    <w:rsid w:val="008B4889"/>
    <w:rsid w:val="008B4A29"/>
    <w:rsid w:val="008B6B3D"/>
    <w:rsid w:val="008B7123"/>
    <w:rsid w:val="008C00B7"/>
    <w:rsid w:val="008C04BE"/>
    <w:rsid w:val="008C07DD"/>
    <w:rsid w:val="008C253C"/>
    <w:rsid w:val="008C3525"/>
    <w:rsid w:val="008C4819"/>
    <w:rsid w:val="008C491C"/>
    <w:rsid w:val="008C5A9B"/>
    <w:rsid w:val="008C5CB6"/>
    <w:rsid w:val="008C636C"/>
    <w:rsid w:val="008C71FE"/>
    <w:rsid w:val="008D22CD"/>
    <w:rsid w:val="008D22E9"/>
    <w:rsid w:val="008D2778"/>
    <w:rsid w:val="008D2840"/>
    <w:rsid w:val="008D56E9"/>
    <w:rsid w:val="008D5DDB"/>
    <w:rsid w:val="008D6560"/>
    <w:rsid w:val="008D6ECD"/>
    <w:rsid w:val="008E0496"/>
    <w:rsid w:val="008E06F4"/>
    <w:rsid w:val="008E1214"/>
    <w:rsid w:val="008E1889"/>
    <w:rsid w:val="008E2138"/>
    <w:rsid w:val="008E30FC"/>
    <w:rsid w:val="008E4B38"/>
    <w:rsid w:val="008E4D4F"/>
    <w:rsid w:val="008E578A"/>
    <w:rsid w:val="008E6E99"/>
    <w:rsid w:val="008E74F9"/>
    <w:rsid w:val="008E77DB"/>
    <w:rsid w:val="008E7A21"/>
    <w:rsid w:val="008F0BB5"/>
    <w:rsid w:val="008F3F0B"/>
    <w:rsid w:val="00900E99"/>
    <w:rsid w:val="0090421B"/>
    <w:rsid w:val="0090422A"/>
    <w:rsid w:val="00905C0A"/>
    <w:rsid w:val="009074D7"/>
    <w:rsid w:val="0090750A"/>
    <w:rsid w:val="00907D29"/>
    <w:rsid w:val="009100D9"/>
    <w:rsid w:val="00910A0A"/>
    <w:rsid w:val="00911FC8"/>
    <w:rsid w:val="00914149"/>
    <w:rsid w:val="009143A9"/>
    <w:rsid w:val="00914BA6"/>
    <w:rsid w:val="00915E66"/>
    <w:rsid w:val="00917E8C"/>
    <w:rsid w:val="00920AA0"/>
    <w:rsid w:val="00920BA2"/>
    <w:rsid w:val="00923469"/>
    <w:rsid w:val="00926D1D"/>
    <w:rsid w:val="00927720"/>
    <w:rsid w:val="00927ABA"/>
    <w:rsid w:val="0093039A"/>
    <w:rsid w:val="009313E8"/>
    <w:rsid w:val="00932072"/>
    <w:rsid w:val="00932692"/>
    <w:rsid w:val="00935581"/>
    <w:rsid w:val="00935A38"/>
    <w:rsid w:val="00935B0A"/>
    <w:rsid w:val="00936BF9"/>
    <w:rsid w:val="00937610"/>
    <w:rsid w:val="009378E9"/>
    <w:rsid w:val="00940D0A"/>
    <w:rsid w:val="00942C98"/>
    <w:rsid w:val="00942E84"/>
    <w:rsid w:val="00943945"/>
    <w:rsid w:val="00944305"/>
    <w:rsid w:val="00944A2E"/>
    <w:rsid w:val="00944BB9"/>
    <w:rsid w:val="009452B2"/>
    <w:rsid w:val="0094550E"/>
    <w:rsid w:val="00945966"/>
    <w:rsid w:val="00950D5B"/>
    <w:rsid w:val="00951B9F"/>
    <w:rsid w:val="00953454"/>
    <w:rsid w:val="009541F8"/>
    <w:rsid w:val="009560A5"/>
    <w:rsid w:val="00957859"/>
    <w:rsid w:val="00957A91"/>
    <w:rsid w:val="009612C7"/>
    <w:rsid w:val="009616C9"/>
    <w:rsid w:val="00961F82"/>
    <w:rsid w:val="009623AF"/>
    <w:rsid w:val="00964915"/>
    <w:rsid w:val="00967D10"/>
    <w:rsid w:val="009712B8"/>
    <w:rsid w:val="009764D5"/>
    <w:rsid w:val="009768EA"/>
    <w:rsid w:val="00976E04"/>
    <w:rsid w:val="00977879"/>
    <w:rsid w:val="0098026A"/>
    <w:rsid w:val="00981A5B"/>
    <w:rsid w:val="0098225E"/>
    <w:rsid w:val="009822EF"/>
    <w:rsid w:val="00984173"/>
    <w:rsid w:val="00984268"/>
    <w:rsid w:val="00985080"/>
    <w:rsid w:val="0098573F"/>
    <w:rsid w:val="00985A21"/>
    <w:rsid w:val="00990549"/>
    <w:rsid w:val="00990B58"/>
    <w:rsid w:val="0099147A"/>
    <w:rsid w:val="009914DE"/>
    <w:rsid w:val="00992208"/>
    <w:rsid w:val="009922EE"/>
    <w:rsid w:val="00992C3D"/>
    <w:rsid w:val="00993186"/>
    <w:rsid w:val="0099795B"/>
    <w:rsid w:val="009A0520"/>
    <w:rsid w:val="009A063F"/>
    <w:rsid w:val="009A1041"/>
    <w:rsid w:val="009A1DB8"/>
    <w:rsid w:val="009A2B25"/>
    <w:rsid w:val="009A31A6"/>
    <w:rsid w:val="009A3630"/>
    <w:rsid w:val="009A3E55"/>
    <w:rsid w:val="009A42D9"/>
    <w:rsid w:val="009A463F"/>
    <w:rsid w:val="009A4DB4"/>
    <w:rsid w:val="009A537B"/>
    <w:rsid w:val="009A62AD"/>
    <w:rsid w:val="009B102D"/>
    <w:rsid w:val="009B39C5"/>
    <w:rsid w:val="009B5852"/>
    <w:rsid w:val="009B5C74"/>
    <w:rsid w:val="009B67B7"/>
    <w:rsid w:val="009B6D4C"/>
    <w:rsid w:val="009C0521"/>
    <w:rsid w:val="009C0BD7"/>
    <w:rsid w:val="009C0C7E"/>
    <w:rsid w:val="009C14E2"/>
    <w:rsid w:val="009C1B08"/>
    <w:rsid w:val="009C1DC5"/>
    <w:rsid w:val="009C2472"/>
    <w:rsid w:val="009C26D1"/>
    <w:rsid w:val="009C27A1"/>
    <w:rsid w:val="009C27A9"/>
    <w:rsid w:val="009C2D40"/>
    <w:rsid w:val="009C30D5"/>
    <w:rsid w:val="009C3277"/>
    <w:rsid w:val="009C3991"/>
    <w:rsid w:val="009C3DCD"/>
    <w:rsid w:val="009C5030"/>
    <w:rsid w:val="009C52DB"/>
    <w:rsid w:val="009C5F77"/>
    <w:rsid w:val="009C68F8"/>
    <w:rsid w:val="009C72FC"/>
    <w:rsid w:val="009D1377"/>
    <w:rsid w:val="009D14EE"/>
    <w:rsid w:val="009D17AA"/>
    <w:rsid w:val="009D1829"/>
    <w:rsid w:val="009D26CB"/>
    <w:rsid w:val="009D2C09"/>
    <w:rsid w:val="009D3F4F"/>
    <w:rsid w:val="009D4E0C"/>
    <w:rsid w:val="009D6D87"/>
    <w:rsid w:val="009D74BB"/>
    <w:rsid w:val="009E075D"/>
    <w:rsid w:val="009E1FBD"/>
    <w:rsid w:val="009E2131"/>
    <w:rsid w:val="009E2B43"/>
    <w:rsid w:val="009E2C53"/>
    <w:rsid w:val="009E35F6"/>
    <w:rsid w:val="009E6400"/>
    <w:rsid w:val="009E7309"/>
    <w:rsid w:val="009E74B4"/>
    <w:rsid w:val="009E758D"/>
    <w:rsid w:val="009F2B69"/>
    <w:rsid w:val="009F44FC"/>
    <w:rsid w:val="009F5988"/>
    <w:rsid w:val="009F75A9"/>
    <w:rsid w:val="009F78B8"/>
    <w:rsid w:val="009F7D7A"/>
    <w:rsid w:val="00A02996"/>
    <w:rsid w:val="00A031C4"/>
    <w:rsid w:val="00A03D2C"/>
    <w:rsid w:val="00A03E57"/>
    <w:rsid w:val="00A044FF"/>
    <w:rsid w:val="00A04B40"/>
    <w:rsid w:val="00A04B48"/>
    <w:rsid w:val="00A05330"/>
    <w:rsid w:val="00A0540D"/>
    <w:rsid w:val="00A05B60"/>
    <w:rsid w:val="00A0613B"/>
    <w:rsid w:val="00A101D0"/>
    <w:rsid w:val="00A104CB"/>
    <w:rsid w:val="00A10984"/>
    <w:rsid w:val="00A12040"/>
    <w:rsid w:val="00A1281A"/>
    <w:rsid w:val="00A12D51"/>
    <w:rsid w:val="00A12F06"/>
    <w:rsid w:val="00A14BD8"/>
    <w:rsid w:val="00A15061"/>
    <w:rsid w:val="00A1587F"/>
    <w:rsid w:val="00A15EE1"/>
    <w:rsid w:val="00A16F43"/>
    <w:rsid w:val="00A1742D"/>
    <w:rsid w:val="00A201EF"/>
    <w:rsid w:val="00A20660"/>
    <w:rsid w:val="00A20930"/>
    <w:rsid w:val="00A22B7F"/>
    <w:rsid w:val="00A22E47"/>
    <w:rsid w:val="00A232AE"/>
    <w:rsid w:val="00A2604C"/>
    <w:rsid w:val="00A26A5D"/>
    <w:rsid w:val="00A2708A"/>
    <w:rsid w:val="00A2725B"/>
    <w:rsid w:val="00A2733F"/>
    <w:rsid w:val="00A300A9"/>
    <w:rsid w:val="00A316E1"/>
    <w:rsid w:val="00A3270D"/>
    <w:rsid w:val="00A32E73"/>
    <w:rsid w:val="00A3305A"/>
    <w:rsid w:val="00A330A7"/>
    <w:rsid w:val="00A339C8"/>
    <w:rsid w:val="00A33E75"/>
    <w:rsid w:val="00A3428C"/>
    <w:rsid w:val="00A366B5"/>
    <w:rsid w:val="00A36750"/>
    <w:rsid w:val="00A372C4"/>
    <w:rsid w:val="00A40C92"/>
    <w:rsid w:val="00A4121E"/>
    <w:rsid w:val="00A41355"/>
    <w:rsid w:val="00A415A0"/>
    <w:rsid w:val="00A415A9"/>
    <w:rsid w:val="00A415CE"/>
    <w:rsid w:val="00A42ACE"/>
    <w:rsid w:val="00A431CC"/>
    <w:rsid w:val="00A4605F"/>
    <w:rsid w:val="00A468E5"/>
    <w:rsid w:val="00A47534"/>
    <w:rsid w:val="00A5115B"/>
    <w:rsid w:val="00A51283"/>
    <w:rsid w:val="00A51FC4"/>
    <w:rsid w:val="00A53EE2"/>
    <w:rsid w:val="00A55357"/>
    <w:rsid w:val="00A55FC1"/>
    <w:rsid w:val="00A562CA"/>
    <w:rsid w:val="00A5689B"/>
    <w:rsid w:val="00A56E5C"/>
    <w:rsid w:val="00A60C78"/>
    <w:rsid w:val="00A60E39"/>
    <w:rsid w:val="00A620B9"/>
    <w:rsid w:val="00A631CD"/>
    <w:rsid w:val="00A63F78"/>
    <w:rsid w:val="00A643E9"/>
    <w:rsid w:val="00A64C68"/>
    <w:rsid w:val="00A6525E"/>
    <w:rsid w:val="00A65447"/>
    <w:rsid w:val="00A65CB6"/>
    <w:rsid w:val="00A6623D"/>
    <w:rsid w:val="00A66717"/>
    <w:rsid w:val="00A668AD"/>
    <w:rsid w:val="00A7034A"/>
    <w:rsid w:val="00A72331"/>
    <w:rsid w:val="00A724BC"/>
    <w:rsid w:val="00A7267A"/>
    <w:rsid w:val="00A7311E"/>
    <w:rsid w:val="00A74088"/>
    <w:rsid w:val="00A7559A"/>
    <w:rsid w:val="00A76608"/>
    <w:rsid w:val="00A779BC"/>
    <w:rsid w:val="00A80AB2"/>
    <w:rsid w:val="00A80F70"/>
    <w:rsid w:val="00A820CA"/>
    <w:rsid w:val="00A82F81"/>
    <w:rsid w:val="00A84E75"/>
    <w:rsid w:val="00A8505D"/>
    <w:rsid w:val="00A85388"/>
    <w:rsid w:val="00A85E21"/>
    <w:rsid w:val="00A86A99"/>
    <w:rsid w:val="00A906D8"/>
    <w:rsid w:val="00A90DB7"/>
    <w:rsid w:val="00A91AC7"/>
    <w:rsid w:val="00A93FC5"/>
    <w:rsid w:val="00A96A2C"/>
    <w:rsid w:val="00A97A80"/>
    <w:rsid w:val="00A97E58"/>
    <w:rsid w:val="00AA04F7"/>
    <w:rsid w:val="00AA11D1"/>
    <w:rsid w:val="00AA38D7"/>
    <w:rsid w:val="00AA411A"/>
    <w:rsid w:val="00AA5DD0"/>
    <w:rsid w:val="00AA7B4C"/>
    <w:rsid w:val="00AA7EBC"/>
    <w:rsid w:val="00AB049E"/>
    <w:rsid w:val="00AB05AB"/>
    <w:rsid w:val="00AB0EAA"/>
    <w:rsid w:val="00AB126F"/>
    <w:rsid w:val="00AB28D0"/>
    <w:rsid w:val="00AB41B3"/>
    <w:rsid w:val="00AB4474"/>
    <w:rsid w:val="00AB4902"/>
    <w:rsid w:val="00AB4D75"/>
    <w:rsid w:val="00AB5A71"/>
    <w:rsid w:val="00AB6499"/>
    <w:rsid w:val="00AB7741"/>
    <w:rsid w:val="00AC0259"/>
    <w:rsid w:val="00AC265D"/>
    <w:rsid w:val="00AC2E73"/>
    <w:rsid w:val="00AC37CD"/>
    <w:rsid w:val="00AC3E55"/>
    <w:rsid w:val="00AC4516"/>
    <w:rsid w:val="00AC51EB"/>
    <w:rsid w:val="00AC5D2E"/>
    <w:rsid w:val="00AC6993"/>
    <w:rsid w:val="00AC7326"/>
    <w:rsid w:val="00AC77C0"/>
    <w:rsid w:val="00AD2978"/>
    <w:rsid w:val="00AD29AE"/>
    <w:rsid w:val="00AD300F"/>
    <w:rsid w:val="00AD3FC3"/>
    <w:rsid w:val="00AD41F3"/>
    <w:rsid w:val="00AD474D"/>
    <w:rsid w:val="00AD5871"/>
    <w:rsid w:val="00AD62D1"/>
    <w:rsid w:val="00AD644B"/>
    <w:rsid w:val="00AD6FB8"/>
    <w:rsid w:val="00AE0145"/>
    <w:rsid w:val="00AE09E2"/>
    <w:rsid w:val="00AE1CBB"/>
    <w:rsid w:val="00AE1DE4"/>
    <w:rsid w:val="00AE3B80"/>
    <w:rsid w:val="00AE3C86"/>
    <w:rsid w:val="00AE4F6E"/>
    <w:rsid w:val="00AF02DF"/>
    <w:rsid w:val="00AF0AAD"/>
    <w:rsid w:val="00AF0C52"/>
    <w:rsid w:val="00AF107D"/>
    <w:rsid w:val="00AF2129"/>
    <w:rsid w:val="00AF3088"/>
    <w:rsid w:val="00AF3288"/>
    <w:rsid w:val="00AF352C"/>
    <w:rsid w:val="00AF3E0F"/>
    <w:rsid w:val="00AF3F03"/>
    <w:rsid w:val="00AF4612"/>
    <w:rsid w:val="00AF4CC0"/>
    <w:rsid w:val="00AF6218"/>
    <w:rsid w:val="00B007AB"/>
    <w:rsid w:val="00B03F1F"/>
    <w:rsid w:val="00B03F87"/>
    <w:rsid w:val="00B0460A"/>
    <w:rsid w:val="00B052E0"/>
    <w:rsid w:val="00B06307"/>
    <w:rsid w:val="00B06349"/>
    <w:rsid w:val="00B076A5"/>
    <w:rsid w:val="00B07987"/>
    <w:rsid w:val="00B10A4F"/>
    <w:rsid w:val="00B1132B"/>
    <w:rsid w:val="00B114C2"/>
    <w:rsid w:val="00B13BEC"/>
    <w:rsid w:val="00B141A5"/>
    <w:rsid w:val="00B21D2E"/>
    <w:rsid w:val="00B22E2F"/>
    <w:rsid w:val="00B23170"/>
    <w:rsid w:val="00B26FCC"/>
    <w:rsid w:val="00B314D3"/>
    <w:rsid w:val="00B318F2"/>
    <w:rsid w:val="00B31AB6"/>
    <w:rsid w:val="00B326B3"/>
    <w:rsid w:val="00B327F0"/>
    <w:rsid w:val="00B34090"/>
    <w:rsid w:val="00B34746"/>
    <w:rsid w:val="00B36147"/>
    <w:rsid w:val="00B36D44"/>
    <w:rsid w:val="00B37EF9"/>
    <w:rsid w:val="00B4014E"/>
    <w:rsid w:val="00B403B8"/>
    <w:rsid w:val="00B40580"/>
    <w:rsid w:val="00B40DEA"/>
    <w:rsid w:val="00B40EA7"/>
    <w:rsid w:val="00B40FBB"/>
    <w:rsid w:val="00B41025"/>
    <w:rsid w:val="00B41CF6"/>
    <w:rsid w:val="00B42B33"/>
    <w:rsid w:val="00B43258"/>
    <w:rsid w:val="00B43BC0"/>
    <w:rsid w:val="00B4406E"/>
    <w:rsid w:val="00B45093"/>
    <w:rsid w:val="00B4546B"/>
    <w:rsid w:val="00B45D58"/>
    <w:rsid w:val="00B46159"/>
    <w:rsid w:val="00B46A62"/>
    <w:rsid w:val="00B46C0F"/>
    <w:rsid w:val="00B50302"/>
    <w:rsid w:val="00B509A7"/>
    <w:rsid w:val="00B515CC"/>
    <w:rsid w:val="00B5259A"/>
    <w:rsid w:val="00B52F45"/>
    <w:rsid w:val="00B5386E"/>
    <w:rsid w:val="00B553CF"/>
    <w:rsid w:val="00B56B7C"/>
    <w:rsid w:val="00B570A7"/>
    <w:rsid w:val="00B632AD"/>
    <w:rsid w:val="00B66870"/>
    <w:rsid w:val="00B67119"/>
    <w:rsid w:val="00B676A5"/>
    <w:rsid w:val="00B7079F"/>
    <w:rsid w:val="00B714F8"/>
    <w:rsid w:val="00B716B1"/>
    <w:rsid w:val="00B71F26"/>
    <w:rsid w:val="00B75025"/>
    <w:rsid w:val="00B769BD"/>
    <w:rsid w:val="00B76F64"/>
    <w:rsid w:val="00B7710D"/>
    <w:rsid w:val="00B7788F"/>
    <w:rsid w:val="00B80249"/>
    <w:rsid w:val="00B81B1F"/>
    <w:rsid w:val="00B832DE"/>
    <w:rsid w:val="00B84016"/>
    <w:rsid w:val="00B84163"/>
    <w:rsid w:val="00B9069A"/>
    <w:rsid w:val="00B90D57"/>
    <w:rsid w:val="00B91756"/>
    <w:rsid w:val="00B920D6"/>
    <w:rsid w:val="00B928BB"/>
    <w:rsid w:val="00B93075"/>
    <w:rsid w:val="00B94E36"/>
    <w:rsid w:val="00B96937"/>
    <w:rsid w:val="00B978F4"/>
    <w:rsid w:val="00BA047E"/>
    <w:rsid w:val="00BA2ACC"/>
    <w:rsid w:val="00BA4191"/>
    <w:rsid w:val="00BA5588"/>
    <w:rsid w:val="00BA5886"/>
    <w:rsid w:val="00BA58F1"/>
    <w:rsid w:val="00BA6762"/>
    <w:rsid w:val="00BA6B48"/>
    <w:rsid w:val="00BA6C88"/>
    <w:rsid w:val="00BA7230"/>
    <w:rsid w:val="00BA7781"/>
    <w:rsid w:val="00BA7F76"/>
    <w:rsid w:val="00BB01CF"/>
    <w:rsid w:val="00BB0C35"/>
    <w:rsid w:val="00BB179A"/>
    <w:rsid w:val="00BB20D0"/>
    <w:rsid w:val="00BB27BC"/>
    <w:rsid w:val="00BB396D"/>
    <w:rsid w:val="00BB500E"/>
    <w:rsid w:val="00BB536A"/>
    <w:rsid w:val="00BB547A"/>
    <w:rsid w:val="00BB54F1"/>
    <w:rsid w:val="00BC04E3"/>
    <w:rsid w:val="00BC13B8"/>
    <w:rsid w:val="00BC232D"/>
    <w:rsid w:val="00BC4014"/>
    <w:rsid w:val="00BC4756"/>
    <w:rsid w:val="00BC50D5"/>
    <w:rsid w:val="00BC556E"/>
    <w:rsid w:val="00BC5800"/>
    <w:rsid w:val="00BC63C8"/>
    <w:rsid w:val="00BC6EA4"/>
    <w:rsid w:val="00BC6F6D"/>
    <w:rsid w:val="00BD0895"/>
    <w:rsid w:val="00BD1F5B"/>
    <w:rsid w:val="00BD2338"/>
    <w:rsid w:val="00BD27D1"/>
    <w:rsid w:val="00BD386E"/>
    <w:rsid w:val="00BD4FC3"/>
    <w:rsid w:val="00BD7715"/>
    <w:rsid w:val="00BE172E"/>
    <w:rsid w:val="00BE2DE7"/>
    <w:rsid w:val="00BE384C"/>
    <w:rsid w:val="00BE43BA"/>
    <w:rsid w:val="00BE46B5"/>
    <w:rsid w:val="00BE4BD0"/>
    <w:rsid w:val="00BE508F"/>
    <w:rsid w:val="00BE50F3"/>
    <w:rsid w:val="00BE562C"/>
    <w:rsid w:val="00BE5889"/>
    <w:rsid w:val="00BE5C36"/>
    <w:rsid w:val="00BE5D5F"/>
    <w:rsid w:val="00BE6D48"/>
    <w:rsid w:val="00BE7BAB"/>
    <w:rsid w:val="00BE7D04"/>
    <w:rsid w:val="00BF0C35"/>
    <w:rsid w:val="00BF10C3"/>
    <w:rsid w:val="00BF1361"/>
    <w:rsid w:val="00BF1702"/>
    <w:rsid w:val="00BF471E"/>
    <w:rsid w:val="00BF4BB0"/>
    <w:rsid w:val="00BF5498"/>
    <w:rsid w:val="00BF5B47"/>
    <w:rsid w:val="00C0233D"/>
    <w:rsid w:val="00C05E14"/>
    <w:rsid w:val="00C06915"/>
    <w:rsid w:val="00C06971"/>
    <w:rsid w:val="00C13316"/>
    <w:rsid w:val="00C13DED"/>
    <w:rsid w:val="00C15A1C"/>
    <w:rsid w:val="00C1611E"/>
    <w:rsid w:val="00C16125"/>
    <w:rsid w:val="00C169EA"/>
    <w:rsid w:val="00C16D76"/>
    <w:rsid w:val="00C206A4"/>
    <w:rsid w:val="00C20C30"/>
    <w:rsid w:val="00C21685"/>
    <w:rsid w:val="00C21C87"/>
    <w:rsid w:val="00C22029"/>
    <w:rsid w:val="00C2237B"/>
    <w:rsid w:val="00C22858"/>
    <w:rsid w:val="00C2718A"/>
    <w:rsid w:val="00C278BA"/>
    <w:rsid w:val="00C27A1F"/>
    <w:rsid w:val="00C27C10"/>
    <w:rsid w:val="00C30C0C"/>
    <w:rsid w:val="00C34784"/>
    <w:rsid w:val="00C34A45"/>
    <w:rsid w:val="00C35AEA"/>
    <w:rsid w:val="00C35E36"/>
    <w:rsid w:val="00C37EAB"/>
    <w:rsid w:val="00C37FC6"/>
    <w:rsid w:val="00C41E9D"/>
    <w:rsid w:val="00C430E6"/>
    <w:rsid w:val="00C4321F"/>
    <w:rsid w:val="00C43823"/>
    <w:rsid w:val="00C43D68"/>
    <w:rsid w:val="00C442EA"/>
    <w:rsid w:val="00C44897"/>
    <w:rsid w:val="00C4527C"/>
    <w:rsid w:val="00C458CE"/>
    <w:rsid w:val="00C461FC"/>
    <w:rsid w:val="00C47ABE"/>
    <w:rsid w:val="00C5063C"/>
    <w:rsid w:val="00C5171E"/>
    <w:rsid w:val="00C51FE2"/>
    <w:rsid w:val="00C5297F"/>
    <w:rsid w:val="00C541B9"/>
    <w:rsid w:val="00C54380"/>
    <w:rsid w:val="00C547BF"/>
    <w:rsid w:val="00C548C3"/>
    <w:rsid w:val="00C5519E"/>
    <w:rsid w:val="00C556AC"/>
    <w:rsid w:val="00C55949"/>
    <w:rsid w:val="00C55CFC"/>
    <w:rsid w:val="00C56129"/>
    <w:rsid w:val="00C62A7C"/>
    <w:rsid w:val="00C632D7"/>
    <w:rsid w:val="00C6398C"/>
    <w:rsid w:val="00C6426B"/>
    <w:rsid w:val="00C64515"/>
    <w:rsid w:val="00C64562"/>
    <w:rsid w:val="00C65C07"/>
    <w:rsid w:val="00C71700"/>
    <w:rsid w:val="00C717D5"/>
    <w:rsid w:val="00C7308A"/>
    <w:rsid w:val="00C73B0A"/>
    <w:rsid w:val="00C74789"/>
    <w:rsid w:val="00C75AB5"/>
    <w:rsid w:val="00C8073E"/>
    <w:rsid w:val="00C808C1"/>
    <w:rsid w:val="00C80E0C"/>
    <w:rsid w:val="00C81C46"/>
    <w:rsid w:val="00C82089"/>
    <w:rsid w:val="00C82D14"/>
    <w:rsid w:val="00C8369A"/>
    <w:rsid w:val="00C8439F"/>
    <w:rsid w:val="00C86EE8"/>
    <w:rsid w:val="00C91325"/>
    <w:rsid w:val="00C919A7"/>
    <w:rsid w:val="00C9284B"/>
    <w:rsid w:val="00C9369E"/>
    <w:rsid w:val="00C939BD"/>
    <w:rsid w:val="00C93AEC"/>
    <w:rsid w:val="00C94DD0"/>
    <w:rsid w:val="00C95532"/>
    <w:rsid w:val="00C96964"/>
    <w:rsid w:val="00CA01A8"/>
    <w:rsid w:val="00CA38D1"/>
    <w:rsid w:val="00CA3CF5"/>
    <w:rsid w:val="00CA3E87"/>
    <w:rsid w:val="00CA4807"/>
    <w:rsid w:val="00CA4C42"/>
    <w:rsid w:val="00CA4D0E"/>
    <w:rsid w:val="00CA4F1E"/>
    <w:rsid w:val="00CA598C"/>
    <w:rsid w:val="00CA76E1"/>
    <w:rsid w:val="00CB065D"/>
    <w:rsid w:val="00CB075B"/>
    <w:rsid w:val="00CB0DA3"/>
    <w:rsid w:val="00CB167F"/>
    <w:rsid w:val="00CB1832"/>
    <w:rsid w:val="00CB2A4C"/>
    <w:rsid w:val="00CB589A"/>
    <w:rsid w:val="00CB6602"/>
    <w:rsid w:val="00CB70C6"/>
    <w:rsid w:val="00CB7AE4"/>
    <w:rsid w:val="00CC14B2"/>
    <w:rsid w:val="00CC25EB"/>
    <w:rsid w:val="00CC27B7"/>
    <w:rsid w:val="00CC37A7"/>
    <w:rsid w:val="00CC37BC"/>
    <w:rsid w:val="00CC4727"/>
    <w:rsid w:val="00CC4BBE"/>
    <w:rsid w:val="00CC6436"/>
    <w:rsid w:val="00CC67BF"/>
    <w:rsid w:val="00CC6844"/>
    <w:rsid w:val="00CC713E"/>
    <w:rsid w:val="00CD16CB"/>
    <w:rsid w:val="00CD18C2"/>
    <w:rsid w:val="00CD36CE"/>
    <w:rsid w:val="00CD3AFD"/>
    <w:rsid w:val="00CD418A"/>
    <w:rsid w:val="00CD4B72"/>
    <w:rsid w:val="00CD5169"/>
    <w:rsid w:val="00CD5459"/>
    <w:rsid w:val="00CD6469"/>
    <w:rsid w:val="00CE314B"/>
    <w:rsid w:val="00CE317E"/>
    <w:rsid w:val="00CE3A80"/>
    <w:rsid w:val="00CE4157"/>
    <w:rsid w:val="00CE57EA"/>
    <w:rsid w:val="00CE6092"/>
    <w:rsid w:val="00CE688B"/>
    <w:rsid w:val="00CE702A"/>
    <w:rsid w:val="00CE73EA"/>
    <w:rsid w:val="00CE7655"/>
    <w:rsid w:val="00CE7E34"/>
    <w:rsid w:val="00CF02E0"/>
    <w:rsid w:val="00CF1E43"/>
    <w:rsid w:val="00CF2E43"/>
    <w:rsid w:val="00CF38B7"/>
    <w:rsid w:val="00CF4307"/>
    <w:rsid w:val="00CF4E8A"/>
    <w:rsid w:val="00CF5F2E"/>
    <w:rsid w:val="00CF6708"/>
    <w:rsid w:val="00CF6B09"/>
    <w:rsid w:val="00CF714D"/>
    <w:rsid w:val="00D00E1D"/>
    <w:rsid w:val="00D02ECD"/>
    <w:rsid w:val="00D030C7"/>
    <w:rsid w:val="00D04A3A"/>
    <w:rsid w:val="00D06964"/>
    <w:rsid w:val="00D06A53"/>
    <w:rsid w:val="00D0777A"/>
    <w:rsid w:val="00D07FCD"/>
    <w:rsid w:val="00D11B0C"/>
    <w:rsid w:val="00D12E03"/>
    <w:rsid w:val="00D12E9D"/>
    <w:rsid w:val="00D13C92"/>
    <w:rsid w:val="00D14225"/>
    <w:rsid w:val="00D157C7"/>
    <w:rsid w:val="00D157FA"/>
    <w:rsid w:val="00D15D54"/>
    <w:rsid w:val="00D15E72"/>
    <w:rsid w:val="00D16176"/>
    <w:rsid w:val="00D169CF"/>
    <w:rsid w:val="00D16A2C"/>
    <w:rsid w:val="00D206A8"/>
    <w:rsid w:val="00D20DAC"/>
    <w:rsid w:val="00D21AEE"/>
    <w:rsid w:val="00D22DBB"/>
    <w:rsid w:val="00D25F2E"/>
    <w:rsid w:val="00D338AC"/>
    <w:rsid w:val="00D34634"/>
    <w:rsid w:val="00D35EFF"/>
    <w:rsid w:val="00D36205"/>
    <w:rsid w:val="00D36CAC"/>
    <w:rsid w:val="00D41962"/>
    <w:rsid w:val="00D41F67"/>
    <w:rsid w:val="00D4235F"/>
    <w:rsid w:val="00D42398"/>
    <w:rsid w:val="00D4301E"/>
    <w:rsid w:val="00D456D6"/>
    <w:rsid w:val="00D45D1B"/>
    <w:rsid w:val="00D45E47"/>
    <w:rsid w:val="00D47983"/>
    <w:rsid w:val="00D53AD6"/>
    <w:rsid w:val="00D56740"/>
    <w:rsid w:val="00D57643"/>
    <w:rsid w:val="00D62444"/>
    <w:rsid w:val="00D628A3"/>
    <w:rsid w:val="00D638E5"/>
    <w:rsid w:val="00D63925"/>
    <w:rsid w:val="00D6405D"/>
    <w:rsid w:val="00D64179"/>
    <w:rsid w:val="00D64855"/>
    <w:rsid w:val="00D64D0A"/>
    <w:rsid w:val="00D64F65"/>
    <w:rsid w:val="00D6527B"/>
    <w:rsid w:val="00D666C1"/>
    <w:rsid w:val="00D66F46"/>
    <w:rsid w:val="00D66FAF"/>
    <w:rsid w:val="00D6774B"/>
    <w:rsid w:val="00D67820"/>
    <w:rsid w:val="00D70755"/>
    <w:rsid w:val="00D709F8"/>
    <w:rsid w:val="00D72471"/>
    <w:rsid w:val="00D75466"/>
    <w:rsid w:val="00D756DD"/>
    <w:rsid w:val="00D75C84"/>
    <w:rsid w:val="00D75D4E"/>
    <w:rsid w:val="00D77099"/>
    <w:rsid w:val="00D77CFA"/>
    <w:rsid w:val="00D77E07"/>
    <w:rsid w:val="00D77E1D"/>
    <w:rsid w:val="00D8029A"/>
    <w:rsid w:val="00D80DD9"/>
    <w:rsid w:val="00D81F46"/>
    <w:rsid w:val="00D83547"/>
    <w:rsid w:val="00D852D4"/>
    <w:rsid w:val="00D9038C"/>
    <w:rsid w:val="00D90D80"/>
    <w:rsid w:val="00D91CFB"/>
    <w:rsid w:val="00D956EF"/>
    <w:rsid w:val="00D9570C"/>
    <w:rsid w:val="00DA06A9"/>
    <w:rsid w:val="00DA0D5C"/>
    <w:rsid w:val="00DA0F46"/>
    <w:rsid w:val="00DA43FF"/>
    <w:rsid w:val="00DA47A9"/>
    <w:rsid w:val="00DA66A4"/>
    <w:rsid w:val="00DA6A6E"/>
    <w:rsid w:val="00DB0293"/>
    <w:rsid w:val="00DB0919"/>
    <w:rsid w:val="00DB25E4"/>
    <w:rsid w:val="00DB2D6C"/>
    <w:rsid w:val="00DB3B34"/>
    <w:rsid w:val="00DB3E09"/>
    <w:rsid w:val="00DB59A6"/>
    <w:rsid w:val="00DC071C"/>
    <w:rsid w:val="00DC0723"/>
    <w:rsid w:val="00DC1F82"/>
    <w:rsid w:val="00DC282C"/>
    <w:rsid w:val="00DC2AB9"/>
    <w:rsid w:val="00DC429B"/>
    <w:rsid w:val="00DC64E8"/>
    <w:rsid w:val="00DC7A7B"/>
    <w:rsid w:val="00DD03F8"/>
    <w:rsid w:val="00DD1582"/>
    <w:rsid w:val="00DD19E3"/>
    <w:rsid w:val="00DD274C"/>
    <w:rsid w:val="00DD28ED"/>
    <w:rsid w:val="00DD4324"/>
    <w:rsid w:val="00DD4379"/>
    <w:rsid w:val="00DD46FD"/>
    <w:rsid w:val="00DD4F94"/>
    <w:rsid w:val="00DD637F"/>
    <w:rsid w:val="00DD70DD"/>
    <w:rsid w:val="00DD7BD3"/>
    <w:rsid w:val="00DE01EC"/>
    <w:rsid w:val="00DE07C7"/>
    <w:rsid w:val="00DE09FF"/>
    <w:rsid w:val="00DE0D59"/>
    <w:rsid w:val="00DE42F9"/>
    <w:rsid w:val="00DE4895"/>
    <w:rsid w:val="00DE4C29"/>
    <w:rsid w:val="00DE6A71"/>
    <w:rsid w:val="00DE6E3A"/>
    <w:rsid w:val="00DE6EF4"/>
    <w:rsid w:val="00DE7414"/>
    <w:rsid w:val="00DF01C3"/>
    <w:rsid w:val="00DF153F"/>
    <w:rsid w:val="00DF1C51"/>
    <w:rsid w:val="00DF319A"/>
    <w:rsid w:val="00E00E22"/>
    <w:rsid w:val="00E03AC9"/>
    <w:rsid w:val="00E062C6"/>
    <w:rsid w:val="00E06507"/>
    <w:rsid w:val="00E06691"/>
    <w:rsid w:val="00E10320"/>
    <w:rsid w:val="00E11626"/>
    <w:rsid w:val="00E11D48"/>
    <w:rsid w:val="00E121F9"/>
    <w:rsid w:val="00E13056"/>
    <w:rsid w:val="00E145DF"/>
    <w:rsid w:val="00E1535E"/>
    <w:rsid w:val="00E16DDB"/>
    <w:rsid w:val="00E17555"/>
    <w:rsid w:val="00E202E9"/>
    <w:rsid w:val="00E2079F"/>
    <w:rsid w:val="00E20C5C"/>
    <w:rsid w:val="00E2199D"/>
    <w:rsid w:val="00E21FD9"/>
    <w:rsid w:val="00E2270E"/>
    <w:rsid w:val="00E22C17"/>
    <w:rsid w:val="00E236B4"/>
    <w:rsid w:val="00E23B06"/>
    <w:rsid w:val="00E241AC"/>
    <w:rsid w:val="00E2429D"/>
    <w:rsid w:val="00E25FAD"/>
    <w:rsid w:val="00E2706D"/>
    <w:rsid w:val="00E27CFF"/>
    <w:rsid w:val="00E27F60"/>
    <w:rsid w:val="00E33DBD"/>
    <w:rsid w:val="00E35FF3"/>
    <w:rsid w:val="00E36C7A"/>
    <w:rsid w:val="00E37074"/>
    <w:rsid w:val="00E403BA"/>
    <w:rsid w:val="00E405C7"/>
    <w:rsid w:val="00E40F01"/>
    <w:rsid w:val="00E41273"/>
    <w:rsid w:val="00E419E9"/>
    <w:rsid w:val="00E41D17"/>
    <w:rsid w:val="00E41D9C"/>
    <w:rsid w:val="00E41DD6"/>
    <w:rsid w:val="00E4241B"/>
    <w:rsid w:val="00E42D67"/>
    <w:rsid w:val="00E4418B"/>
    <w:rsid w:val="00E44DD3"/>
    <w:rsid w:val="00E4587A"/>
    <w:rsid w:val="00E458BC"/>
    <w:rsid w:val="00E45ABB"/>
    <w:rsid w:val="00E466DD"/>
    <w:rsid w:val="00E47B1C"/>
    <w:rsid w:val="00E523C2"/>
    <w:rsid w:val="00E52A8B"/>
    <w:rsid w:val="00E53E67"/>
    <w:rsid w:val="00E54036"/>
    <w:rsid w:val="00E5457D"/>
    <w:rsid w:val="00E550BD"/>
    <w:rsid w:val="00E55D2F"/>
    <w:rsid w:val="00E55E8C"/>
    <w:rsid w:val="00E56691"/>
    <w:rsid w:val="00E56AED"/>
    <w:rsid w:val="00E57CA5"/>
    <w:rsid w:val="00E6013B"/>
    <w:rsid w:val="00E60B78"/>
    <w:rsid w:val="00E60D71"/>
    <w:rsid w:val="00E6175F"/>
    <w:rsid w:val="00E61BD4"/>
    <w:rsid w:val="00E6221A"/>
    <w:rsid w:val="00E63338"/>
    <w:rsid w:val="00E64BE1"/>
    <w:rsid w:val="00E65353"/>
    <w:rsid w:val="00E65AAA"/>
    <w:rsid w:val="00E66706"/>
    <w:rsid w:val="00E701E9"/>
    <w:rsid w:val="00E7080C"/>
    <w:rsid w:val="00E710DA"/>
    <w:rsid w:val="00E72536"/>
    <w:rsid w:val="00E73752"/>
    <w:rsid w:val="00E75F2F"/>
    <w:rsid w:val="00E7627E"/>
    <w:rsid w:val="00E80507"/>
    <w:rsid w:val="00E82578"/>
    <w:rsid w:val="00E8582B"/>
    <w:rsid w:val="00E85891"/>
    <w:rsid w:val="00E87556"/>
    <w:rsid w:val="00E87A2D"/>
    <w:rsid w:val="00E87B12"/>
    <w:rsid w:val="00E91C0D"/>
    <w:rsid w:val="00E924ED"/>
    <w:rsid w:val="00E939A2"/>
    <w:rsid w:val="00E94EF0"/>
    <w:rsid w:val="00E9611D"/>
    <w:rsid w:val="00E96769"/>
    <w:rsid w:val="00E96EB3"/>
    <w:rsid w:val="00E97610"/>
    <w:rsid w:val="00EA1B10"/>
    <w:rsid w:val="00EA1C46"/>
    <w:rsid w:val="00EA23AA"/>
    <w:rsid w:val="00EA3869"/>
    <w:rsid w:val="00EA4A96"/>
    <w:rsid w:val="00EA760D"/>
    <w:rsid w:val="00EA7EC9"/>
    <w:rsid w:val="00EB03F0"/>
    <w:rsid w:val="00EB0D4D"/>
    <w:rsid w:val="00EB1BA0"/>
    <w:rsid w:val="00EB1DE1"/>
    <w:rsid w:val="00EB25FD"/>
    <w:rsid w:val="00EB4A34"/>
    <w:rsid w:val="00EB6D03"/>
    <w:rsid w:val="00EB7A83"/>
    <w:rsid w:val="00EC051C"/>
    <w:rsid w:val="00EC3BDB"/>
    <w:rsid w:val="00EC4308"/>
    <w:rsid w:val="00EC7522"/>
    <w:rsid w:val="00ED083C"/>
    <w:rsid w:val="00ED10D2"/>
    <w:rsid w:val="00ED1466"/>
    <w:rsid w:val="00ED23C9"/>
    <w:rsid w:val="00ED2706"/>
    <w:rsid w:val="00ED3BF6"/>
    <w:rsid w:val="00ED4089"/>
    <w:rsid w:val="00ED40F0"/>
    <w:rsid w:val="00ED4624"/>
    <w:rsid w:val="00ED5DFF"/>
    <w:rsid w:val="00ED629B"/>
    <w:rsid w:val="00ED6405"/>
    <w:rsid w:val="00ED6E2D"/>
    <w:rsid w:val="00ED7349"/>
    <w:rsid w:val="00EE1DE0"/>
    <w:rsid w:val="00EE1E3B"/>
    <w:rsid w:val="00EE21DC"/>
    <w:rsid w:val="00EE2B2D"/>
    <w:rsid w:val="00EE3566"/>
    <w:rsid w:val="00EE3945"/>
    <w:rsid w:val="00EE4563"/>
    <w:rsid w:val="00EE52A0"/>
    <w:rsid w:val="00EE5FFB"/>
    <w:rsid w:val="00EE6995"/>
    <w:rsid w:val="00EF0178"/>
    <w:rsid w:val="00EF255E"/>
    <w:rsid w:val="00EF2CB1"/>
    <w:rsid w:val="00EF3120"/>
    <w:rsid w:val="00EF4961"/>
    <w:rsid w:val="00EF4A49"/>
    <w:rsid w:val="00EF54CA"/>
    <w:rsid w:val="00EF6BB9"/>
    <w:rsid w:val="00EF6C6E"/>
    <w:rsid w:val="00EF759D"/>
    <w:rsid w:val="00EF7FF4"/>
    <w:rsid w:val="00F03D6E"/>
    <w:rsid w:val="00F042A4"/>
    <w:rsid w:val="00F053B6"/>
    <w:rsid w:val="00F0547F"/>
    <w:rsid w:val="00F05B6F"/>
    <w:rsid w:val="00F05CF5"/>
    <w:rsid w:val="00F117E8"/>
    <w:rsid w:val="00F1191A"/>
    <w:rsid w:val="00F121C2"/>
    <w:rsid w:val="00F12C01"/>
    <w:rsid w:val="00F13938"/>
    <w:rsid w:val="00F139EA"/>
    <w:rsid w:val="00F15BE1"/>
    <w:rsid w:val="00F17D65"/>
    <w:rsid w:val="00F200CF"/>
    <w:rsid w:val="00F205FD"/>
    <w:rsid w:val="00F21355"/>
    <w:rsid w:val="00F2272A"/>
    <w:rsid w:val="00F22B08"/>
    <w:rsid w:val="00F26F03"/>
    <w:rsid w:val="00F27BB6"/>
    <w:rsid w:val="00F3003E"/>
    <w:rsid w:val="00F319BD"/>
    <w:rsid w:val="00F31BE6"/>
    <w:rsid w:val="00F346BD"/>
    <w:rsid w:val="00F34B52"/>
    <w:rsid w:val="00F35DAC"/>
    <w:rsid w:val="00F36FB3"/>
    <w:rsid w:val="00F37591"/>
    <w:rsid w:val="00F37B96"/>
    <w:rsid w:val="00F40F85"/>
    <w:rsid w:val="00F410A8"/>
    <w:rsid w:val="00F41910"/>
    <w:rsid w:val="00F41B37"/>
    <w:rsid w:val="00F41DE5"/>
    <w:rsid w:val="00F4240B"/>
    <w:rsid w:val="00F42EAF"/>
    <w:rsid w:val="00F4544D"/>
    <w:rsid w:val="00F45C1B"/>
    <w:rsid w:val="00F47D87"/>
    <w:rsid w:val="00F525B8"/>
    <w:rsid w:val="00F5289D"/>
    <w:rsid w:val="00F54045"/>
    <w:rsid w:val="00F54B1C"/>
    <w:rsid w:val="00F556D2"/>
    <w:rsid w:val="00F56070"/>
    <w:rsid w:val="00F57128"/>
    <w:rsid w:val="00F61CDB"/>
    <w:rsid w:val="00F6236B"/>
    <w:rsid w:val="00F625F1"/>
    <w:rsid w:val="00F63410"/>
    <w:rsid w:val="00F63EAD"/>
    <w:rsid w:val="00F64016"/>
    <w:rsid w:val="00F64DB2"/>
    <w:rsid w:val="00F64E6A"/>
    <w:rsid w:val="00F65B8A"/>
    <w:rsid w:val="00F6626E"/>
    <w:rsid w:val="00F70155"/>
    <w:rsid w:val="00F70450"/>
    <w:rsid w:val="00F70E50"/>
    <w:rsid w:val="00F7163A"/>
    <w:rsid w:val="00F72423"/>
    <w:rsid w:val="00F733E0"/>
    <w:rsid w:val="00F73BDD"/>
    <w:rsid w:val="00F75FBD"/>
    <w:rsid w:val="00F77451"/>
    <w:rsid w:val="00F80E2B"/>
    <w:rsid w:val="00F8149D"/>
    <w:rsid w:val="00F816D1"/>
    <w:rsid w:val="00F83299"/>
    <w:rsid w:val="00F851A6"/>
    <w:rsid w:val="00F8555E"/>
    <w:rsid w:val="00F85A2F"/>
    <w:rsid w:val="00F85BB5"/>
    <w:rsid w:val="00F870B6"/>
    <w:rsid w:val="00F908A1"/>
    <w:rsid w:val="00F909E0"/>
    <w:rsid w:val="00F90DED"/>
    <w:rsid w:val="00F90F15"/>
    <w:rsid w:val="00F916BF"/>
    <w:rsid w:val="00F91A9D"/>
    <w:rsid w:val="00F92BE1"/>
    <w:rsid w:val="00F92E31"/>
    <w:rsid w:val="00F9339A"/>
    <w:rsid w:val="00F946D5"/>
    <w:rsid w:val="00F95214"/>
    <w:rsid w:val="00F95574"/>
    <w:rsid w:val="00F95B3F"/>
    <w:rsid w:val="00F96F1A"/>
    <w:rsid w:val="00FA0206"/>
    <w:rsid w:val="00FA033E"/>
    <w:rsid w:val="00FA1678"/>
    <w:rsid w:val="00FA21ED"/>
    <w:rsid w:val="00FA2825"/>
    <w:rsid w:val="00FA5A59"/>
    <w:rsid w:val="00FA60F2"/>
    <w:rsid w:val="00FA6657"/>
    <w:rsid w:val="00FB03C7"/>
    <w:rsid w:val="00FB081B"/>
    <w:rsid w:val="00FB0988"/>
    <w:rsid w:val="00FB2C56"/>
    <w:rsid w:val="00FB5315"/>
    <w:rsid w:val="00FB5A65"/>
    <w:rsid w:val="00FB6CA6"/>
    <w:rsid w:val="00FB6D2A"/>
    <w:rsid w:val="00FB6D64"/>
    <w:rsid w:val="00FB7539"/>
    <w:rsid w:val="00FC06AF"/>
    <w:rsid w:val="00FC08FD"/>
    <w:rsid w:val="00FC0D6C"/>
    <w:rsid w:val="00FC12C0"/>
    <w:rsid w:val="00FC1C0B"/>
    <w:rsid w:val="00FC290C"/>
    <w:rsid w:val="00FC374A"/>
    <w:rsid w:val="00FC3FCC"/>
    <w:rsid w:val="00FC5ADB"/>
    <w:rsid w:val="00FC6634"/>
    <w:rsid w:val="00FC7FD5"/>
    <w:rsid w:val="00FD23F0"/>
    <w:rsid w:val="00FD258F"/>
    <w:rsid w:val="00FD27D0"/>
    <w:rsid w:val="00FD2AB9"/>
    <w:rsid w:val="00FD3C23"/>
    <w:rsid w:val="00FD3FBF"/>
    <w:rsid w:val="00FD404C"/>
    <w:rsid w:val="00FD5736"/>
    <w:rsid w:val="00FD574B"/>
    <w:rsid w:val="00FD6898"/>
    <w:rsid w:val="00FE08A1"/>
    <w:rsid w:val="00FE128B"/>
    <w:rsid w:val="00FE2159"/>
    <w:rsid w:val="00FE2945"/>
    <w:rsid w:val="00FE4523"/>
    <w:rsid w:val="00FE49C9"/>
    <w:rsid w:val="00FE4C77"/>
    <w:rsid w:val="00FE5B22"/>
    <w:rsid w:val="00FE7BFD"/>
    <w:rsid w:val="00FF0D46"/>
    <w:rsid w:val="00FF1033"/>
    <w:rsid w:val="00FF1BEB"/>
    <w:rsid w:val="00FF300D"/>
    <w:rsid w:val="00FF3C35"/>
    <w:rsid w:val="00FF404B"/>
    <w:rsid w:val="00FF5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839">
      <w:bodyDiv w:val="1"/>
      <w:marLeft w:val="0"/>
      <w:marRight w:val="0"/>
      <w:marTop w:val="0"/>
      <w:marBottom w:val="0"/>
      <w:divBdr>
        <w:top w:val="none" w:sz="0" w:space="0" w:color="auto"/>
        <w:left w:val="none" w:sz="0" w:space="0" w:color="auto"/>
        <w:bottom w:val="none" w:sz="0" w:space="0" w:color="auto"/>
        <w:right w:val="none" w:sz="0" w:space="0" w:color="auto"/>
      </w:divBdr>
    </w:div>
    <w:div w:id="4746228">
      <w:bodyDiv w:val="1"/>
      <w:marLeft w:val="0"/>
      <w:marRight w:val="0"/>
      <w:marTop w:val="0"/>
      <w:marBottom w:val="0"/>
      <w:divBdr>
        <w:top w:val="none" w:sz="0" w:space="0" w:color="auto"/>
        <w:left w:val="none" w:sz="0" w:space="0" w:color="auto"/>
        <w:bottom w:val="none" w:sz="0" w:space="0" w:color="auto"/>
        <w:right w:val="none" w:sz="0" w:space="0" w:color="auto"/>
      </w:divBdr>
    </w:div>
    <w:div w:id="36514713">
      <w:bodyDiv w:val="1"/>
      <w:marLeft w:val="0"/>
      <w:marRight w:val="0"/>
      <w:marTop w:val="0"/>
      <w:marBottom w:val="0"/>
      <w:divBdr>
        <w:top w:val="none" w:sz="0" w:space="0" w:color="auto"/>
        <w:left w:val="none" w:sz="0" w:space="0" w:color="auto"/>
        <w:bottom w:val="none" w:sz="0" w:space="0" w:color="auto"/>
        <w:right w:val="none" w:sz="0" w:space="0" w:color="auto"/>
      </w:divBdr>
    </w:div>
    <w:div w:id="81296290">
      <w:bodyDiv w:val="1"/>
      <w:marLeft w:val="0"/>
      <w:marRight w:val="0"/>
      <w:marTop w:val="0"/>
      <w:marBottom w:val="0"/>
      <w:divBdr>
        <w:top w:val="none" w:sz="0" w:space="0" w:color="auto"/>
        <w:left w:val="none" w:sz="0" w:space="0" w:color="auto"/>
        <w:bottom w:val="none" w:sz="0" w:space="0" w:color="auto"/>
        <w:right w:val="none" w:sz="0" w:space="0" w:color="auto"/>
      </w:divBdr>
    </w:div>
    <w:div w:id="88477947">
      <w:bodyDiv w:val="1"/>
      <w:marLeft w:val="0"/>
      <w:marRight w:val="0"/>
      <w:marTop w:val="0"/>
      <w:marBottom w:val="0"/>
      <w:divBdr>
        <w:top w:val="none" w:sz="0" w:space="0" w:color="auto"/>
        <w:left w:val="none" w:sz="0" w:space="0" w:color="auto"/>
        <w:bottom w:val="none" w:sz="0" w:space="0" w:color="auto"/>
        <w:right w:val="none" w:sz="0" w:space="0" w:color="auto"/>
      </w:divBdr>
    </w:div>
    <w:div w:id="88742850">
      <w:bodyDiv w:val="1"/>
      <w:marLeft w:val="0"/>
      <w:marRight w:val="0"/>
      <w:marTop w:val="0"/>
      <w:marBottom w:val="0"/>
      <w:divBdr>
        <w:top w:val="none" w:sz="0" w:space="0" w:color="auto"/>
        <w:left w:val="none" w:sz="0" w:space="0" w:color="auto"/>
        <w:bottom w:val="none" w:sz="0" w:space="0" w:color="auto"/>
        <w:right w:val="none" w:sz="0" w:space="0" w:color="auto"/>
      </w:divBdr>
    </w:div>
    <w:div w:id="97604395">
      <w:bodyDiv w:val="1"/>
      <w:marLeft w:val="0"/>
      <w:marRight w:val="0"/>
      <w:marTop w:val="0"/>
      <w:marBottom w:val="0"/>
      <w:divBdr>
        <w:top w:val="none" w:sz="0" w:space="0" w:color="auto"/>
        <w:left w:val="none" w:sz="0" w:space="0" w:color="auto"/>
        <w:bottom w:val="none" w:sz="0" w:space="0" w:color="auto"/>
        <w:right w:val="none" w:sz="0" w:space="0" w:color="auto"/>
      </w:divBdr>
    </w:div>
    <w:div w:id="133642427">
      <w:bodyDiv w:val="1"/>
      <w:marLeft w:val="0"/>
      <w:marRight w:val="0"/>
      <w:marTop w:val="0"/>
      <w:marBottom w:val="0"/>
      <w:divBdr>
        <w:top w:val="none" w:sz="0" w:space="0" w:color="auto"/>
        <w:left w:val="none" w:sz="0" w:space="0" w:color="auto"/>
        <w:bottom w:val="none" w:sz="0" w:space="0" w:color="auto"/>
        <w:right w:val="none" w:sz="0" w:space="0" w:color="auto"/>
      </w:divBdr>
    </w:div>
    <w:div w:id="144782598">
      <w:bodyDiv w:val="1"/>
      <w:marLeft w:val="0"/>
      <w:marRight w:val="0"/>
      <w:marTop w:val="0"/>
      <w:marBottom w:val="0"/>
      <w:divBdr>
        <w:top w:val="none" w:sz="0" w:space="0" w:color="auto"/>
        <w:left w:val="none" w:sz="0" w:space="0" w:color="auto"/>
        <w:bottom w:val="none" w:sz="0" w:space="0" w:color="auto"/>
        <w:right w:val="none" w:sz="0" w:space="0" w:color="auto"/>
      </w:divBdr>
    </w:div>
    <w:div w:id="149293171">
      <w:bodyDiv w:val="1"/>
      <w:marLeft w:val="0"/>
      <w:marRight w:val="0"/>
      <w:marTop w:val="0"/>
      <w:marBottom w:val="0"/>
      <w:divBdr>
        <w:top w:val="none" w:sz="0" w:space="0" w:color="auto"/>
        <w:left w:val="none" w:sz="0" w:space="0" w:color="auto"/>
        <w:bottom w:val="none" w:sz="0" w:space="0" w:color="auto"/>
        <w:right w:val="none" w:sz="0" w:space="0" w:color="auto"/>
      </w:divBdr>
    </w:div>
    <w:div w:id="191454958">
      <w:bodyDiv w:val="1"/>
      <w:marLeft w:val="0"/>
      <w:marRight w:val="0"/>
      <w:marTop w:val="0"/>
      <w:marBottom w:val="0"/>
      <w:divBdr>
        <w:top w:val="none" w:sz="0" w:space="0" w:color="auto"/>
        <w:left w:val="none" w:sz="0" w:space="0" w:color="auto"/>
        <w:bottom w:val="none" w:sz="0" w:space="0" w:color="auto"/>
        <w:right w:val="none" w:sz="0" w:space="0" w:color="auto"/>
      </w:divBdr>
    </w:div>
    <w:div w:id="249196643">
      <w:bodyDiv w:val="1"/>
      <w:marLeft w:val="0"/>
      <w:marRight w:val="0"/>
      <w:marTop w:val="0"/>
      <w:marBottom w:val="0"/>
      <w:divBdr>
        <w:top w:val="none" w:sz="0" w:space="0" w:color="auto"/>
        <w:left w:val="none" w:sz="0" w:space="0" w:color="auto"/>
        <w:bottom w:val="none" w:sz="0" w:space="0" w:color="auto"/>
        <w:right w:val="none" w:sz="0" w:space="0" w:color="auto"/>
      </w:divBdr>
    </w:div>
    <w:div w:id="249972855">
      <w:bodyDiv w:val="1"/>
      <w:marLeft w:val="0"/>
      <w:marRight w:val="0"/>
      <w:marTop w:val="0"/>
      <w:marBottom w:val="0"/>
      <w:divBdr>
        <w:top w:val="none" w:sz="0" w:space="0" w:color="auto"/>
        <w:left w:val="none" w:sz="0" w:space="0" w:color="auto"/>
        <w:bottom w:val="none" w:sz="0" w:space="0" w:color="auto"/>
        <w:right w:val="none" w:sz="0" w:space="0" w:color="auto"/>
      </w:divBdr>
    </w:div>
    <w:div w:id="250624325">
      <w:bodyDiv w:val="1"/>
      <w:marLeft w:val="0"/>
      <w:marRight w:val="0"/>
      <w:marTop w:val="0"/>
      <w:marBottom w:val="0"/>
      <w:divBdr>
        <w:top w:val="none" w:sz="0" w:space="0" w:color="auto"/>
        <w:left w:val="none" w:sz="0" w:space="0" w:color="auto"/>
        <w:bottom w:val="none" w:sz="0" w:space="0" w:color="auto"/>
        <w:right w:val="none" w:sz="0" w:space="0" w:color="auto"/>
      </w:divBdr>
    </w:div>
    <w:div w:id="259795358">
      <w:bodyDiv w:val="1"/>
      <w:marLeft w:val="0"/>
      <w:marRight w:val="0"/>
      <w:marTop w:val="0"/>
      <w:marBottom w:val="0"/>
      <w:divBdr>
        <w:top w:val="none" w:sz="0" w:space="0" w:color="auto"/>
        <w:left w:val="none" w:sz="0" w:space="0" w:color="auto"/>
        <w:bottom w:val="none" w:sz="0" w:space="0" w:color="auto"/>
        <w:right w:val="none" w:sz="0" w:space="0" w:color="auto"/>
      </w:divBdr>
    </w:div>
    <w:div w:id="260644805">
      <w:bodyDiv w:val="1"/>
      <w:marLeft w:val="0"/>
      <w:marRight w:val="0"/>
      <w:marTop w:val="0"/>
      <w:marBottom w:val="0"/>
      <w:divBdr>
        <w:top w:val="none" w:sz="0" w:space="0" w:color="auto"/>
        <w:left w:val="none" w:sz="0" w:space="0" w:color="auto"/>
        <w:bottom w:val="none" w:sz="0" w:space="0" w:color="auto"/>
        <w:right w:val="none" w:sz="0" w:space="0" w:color="auto"/>
      </w:divBdr>
    </w:div>
    <w:div w:id="263536789">
      <w:bodyDiv w:val="1"/>
      <w:marLeft w:val="0"/>
      <w:marRight w:val="0"/>
      <w:marTop w:val="0"/>
      <w:marBottom w:val="0"/>
      <w:divBdr>
        <w:top w:val="none" w:sz="0" w:space="0" w:color="auto"/>
        <w:left w:val="none" w:sz="0" w:space="0" w:color="auto"/>
        <w:bottom w:val="none" w:sz="0" w:space="0" w:color="auto"/>
        <w:right w:val="none" w:sz="0" w:space="0" w:color="auto"/>
      </w:divBdr>
    </w:div>
    <w:div w:id="285353839">
      <w:bodyDiv w:val="1"/>
      <w:marLeft w:val="0"/>
      <w:marRight w:val="0"/>
      <w:marTop w:val="0"/>
      <w:marBottom w:val="0"/>
      <w:divBdr>
        <w:top w:val="none" w:sz="0" w:space="0" w:color="auto"/>
        <w:left w:val="none" w:sz="0" w:space="0" w:color="auto"/>
        <w:bottom w:val="none" w:sz="0" w:space="0" w:color="auto"/>
        <w:right w:val="none" w:sz="0" w:space="0" w:color="auto"/>
      </w:divBdr>
    </w:div>
    <w:div w:id="300161468">
      <w:bodyDiv w:val="1"/>
      <w:marLeft w:val="0"/>
      <w:marRight w:val="0"/>
      <w:marTop w:val="0"/>
      <w:marBottom w:val="0"/>
      <w:divBdr>
        <w:top w:val="none" w:sz="0" w:space="0" w:color="auto"/>
        <w:left w:val="none" w:sz="0" w:space="0" w:color="auto"/>
        <w:bottom w:val="none" w:sz="0" w:space="0" w:color="auto"/>
        <w:right w:val="none" w:sz="0" w:space="0" w:color="auto"/>
      </w:divBdr>
    </w:div>
    <w:div w:id="326711135">
      <w:bodyDiv w:val="1"/>
      <w:marLeft w:val="0"/>
      <w:marRight w:val="0"/>
      <w:marTop w:val="0"/>
      <w:marBottom w:val="0"/>
      <w:divBdr>
        <w:top w:val="none" w:sz="0" w:space="0" w:color="auto"/>
        <w:left w:val="none" w:sz="0" w:space="0" w:color="auto"/>
        <w:bottom w:val="none" w:sz="0" w:space="0" w:color="auto"/>
        <w:right w:val="none" w:sz="0" w:space="0" w:color="auto"/>
      </w:divBdr>
    </w:div>
    <w:div w:id="336227221">
      <w:bodyDiv w:val="1"/>
      <w:marLeft w:val="0"/>
      <w:marRight w:val="0"/>
      <w:marTop w:val="0"/>
      <w:marBottom w:val="0"/>
      <w:divBdr>
        <w:top w:val="none" w:sz="0" w:space="0" w:color="auto"/>
        <w:left w:val="none" w:sz="0" w:space="0" w:color="auto"/>
        <w:bottom w:val="none" w:sz="0" w:space="0" w:color="auto"/>
        <w:right w:val="none" w:sz="0" w:space="0" w:color="auto"/>
      </w:divBdr>
    </w:div>
    <w:div w:id="336425553">
      <w:bodyDiv w:val="1"/>
      <w:marLeft w:val="0"/>
      <w:marRight w:val="0"/>
      <w:marTop w:val="0"/>
      <w:marBottom w:val="0"/>
      <w:divBdr>
        <w:top w:val="none" w:sz="0" w:space="0" w:color="auto"/>
        <w:left w:val="none" w:sz="0" w:space="0" w:color="auto"/>
        <w:bottom w:val="none" w:sz="0" w:space="0" w:color="auto"/>
        <w:right w:val="none" w:sz="0" w:space="0" w:color="auto"/>
      </w:divBdr>
    </w:div>
    <w:div w:id="339619789">
      <w:bodyDiv w:val="1"/>
      <w:marLeft w:val="0"/>
      <w:marRight w:val="0"/>
      <w:marTop w:val="0"/>
      <w:marBottom w:val="0"/>
      <w:divBdr>
        <w:top w:val="none" w:sz="0" w:space="0" w:color="auto"/>
        <w:left w:val="none" w:sz="0" w:space="0" w:color="auto"/>
        <w:bottom w:val="none" w:sz="0" w:space="0" w:color="auto"/>
        <w:right w:val="none" w:sz="0" w:space="0" w:color="auto"/>
      </w:divBdr>
    </w:div>
    <w:div w:id="376322488">
      <w:bodyDiv w:val="1"/>
      <w:marLeft w:val="0"/>
      <w:marRight w:val="0"/>
      <w:marTop w:val="0"/>
      <w:marBottom w:val="0"/>
      <w:divBdr>
        <w:top w:val="none" w:sz="0" w:space="0" w:color="auto"/>
        <w:left w:val="none" w:sz="0" w:space="0" w:color="auto"/>
        <w:bottom w:val="none" w:sz="0" w:space="0" w:color="auto"/>
        <w:right w:val="none" w:sz="0" w:space="0" w:color="auto"/>
      </w:divBdr>
    </w:div>
    <w:div w:id="406077484">
      <w:bodyDiv w:val="1"/>
      <w:marLeft w:val="0"/>
      <w:marRight w:val="0"/>
      <w:marTop w:val="0"/>
      <w:marBottom w:val="0"/>
      <w:divBdr>
        <w:top w:val="none" w:sz="0" w:space="0" w:color="auto"/>
        <w:left w:val="none" w:sz="0" w:space="0" w:color="auto"/>
        <w:bottom w:val="none" w:sz="0" w:space="0" w:color="auto"/>
        <w:right w:val="none" w:sz="0" w:space="0" w:color="auto"/>
      </w:divBdr>
    </w:div>
    <w:div w:id="406147680">
      <w:bodyDiv w:val="1"/>
      <w:marLeft w:val="0"/>
      <w:marRight w:val="0"/>
      <w:marTop w:val="0"/>
      <w:marBottom w:val="0"/>
      <w:divBdr>
        <w:top w:val="none" w:sz="0" w:space="0" w:color="auto"/>
        <w:left w:val="none" w:sz="0" w:space="0" w:color="auto"/>
        <w:bottom w:val="none" w:sz="0" w:space="0" w:color="auto"/>
        <w:right w:val="none" w:sz="0" w:space="0" w:color="auto"/>
      </w:divBdr>
    </w:div>
    <w:div w:id="425225952">
      <w:bodyDiv w:val="1"/>
      <w:marLeft w:val="0"/>
      <w:marRight w:val="0"/>
      <w:marTop w:val="0"/>
      <w:marBottom w:val="0"/>
      <w:divBdr>
        <w:top w:val="none" w:sz="0" w:space="0" w:color="auto"/>
        <w:left w:val="none" w:sz="0" w:space="0" w:color="auto"/>
        <w:bottom w:val="none" w:sz="0" w:space="0" w:color="auto"/>
        <w:right w:val="none" w:sz="0" w:space="0" w:color="auto"/>
      </w:divBdr>
    </w:div>
    <w:div w:id="495731968">
      <w:bodyDiv w:val="1"/>
      <w:marLeft w:val="0"/>
      <w:marRight w:val="0"/>
      <w:marTop w:val="0"/>
      <w:marBottom w:val="0"/>
      <w:divBdr>
        <w:top w:val="none" w:sz="0" w:space="0" w:color="auto"/>
        <w:left w:val="none" w:sz="0" w:space="0" w:color="auto"/>
        <w:bottom w:val="none" w:sz="0" w:space="0" w:color="auto"/>
        <w:right w:val="none" w:sz="0" w:space="0" w:color="auto"/>
      </w:divBdr>
    </w:div>
    <w:div w:id="496270247">
      <w:bodyDiv w:val="1"/>
      <w:marLeft w:val="0"/>
      <w:marRight w:val="0"/>
      <w:marTop w:val="0"/>
      <w:marBottom w:val="0"/>
      <w:divBdr>
        <w:top w:val="none" w:sz="0" w:space="0" w:color="auto"/>
        <w:left w:val="none" w:sz="0" w:space="0" w:color="auto"/>
        <w:bottom w:val="none" w:sz="0" w:space="0" w:color="auto"/>
        <w:right w:val="none" w:sz="0" w:space="0" w:color="auto"/>
      </w:divBdr>
    </w:div>
    <w:div w:id="588537682">
      <w:bodyDiv w:val="1"/>
      <w:marLeft w:val="0"/>
      <w:marRight w:val="0"/>
      <w:marTop w:val="0"/>
      <w:marBottom w:val="0"/>
      <w:divBdr>
        <w:top w:val="none" w:sz="0" w:space="0" w:color="auto"/>
        <w:left w:val="none" w:sz="0" w:space="0" w:color="auto"/>
        <w:bottom w:val="none" w:sz="0" w:space="0" w:color="auto"/>
        <w:right w:val="none" w:sz="0" w:space="0" w:color="auto"/>
      </w:divBdr>
    </w:div>
    <w:div w:id="644818716">
      <w:bodyDiv w:val="1"/>
      <w:marLeft w:val="0"/>
      <w:marRight w:val="0"/>
      <w:marTop w:val="0"/>
      <w:marBottom w:val="0"/>
      <w:divBdr>
        <w:top w:val="none" w:sz="0" w:space="0" w:color="auto"/>
        <w:left w:val="none" w:sz="0" w:space="0" w:color="auto"/>
        <w:bottom w:val="none" w:sz="0" w:space="0" w:color="auto"/>
        <w:right w:val="none" w:sz="0" w:space="0" w:color="auto"/>
      </w:divBdr>
    </w:div>
    <w:div w:id="687214473">
      <w:bodyDiv w:val="1"/>
      <w:marLeft w:val="0"/>
      <w:marRight w:val="0"/>
      <w:marTop w:val="0"/>
      <w:marBottom w:val="0"/>
      <w:divBdr>
        <w:top w:val="none" w:sz="0" w:space="0" w:color="auto"/>
        <w:left w:val="none" w:sz="0" w:space="0" w:color="auto"/>
        <w:bottom w:val="none" w:sz="0" w:space="0" w:color="auto"/>
        <w:right w:val="none" w:sz="0" w:space="0" w:color="auto"/>
      </w:divBdr>
    </w:div>
    <w:div w:id="690449627">
      <w:bodyDiv w:val="1"/>
      <w:marLeft w:val="0"/>
      <w:marRight w:val="0"/>
      <w:marTop w:val="0"/>
      <w:marBottom w:val="0"/>
      <w:divBdr>
        <w:top w:val="none" w:sz="0" w:space="0" w:color="auto"/>
        <w:left w:val="none" w:sz="0" w:space="0" w:color="auto"/>
        <w:bottom w:val="none" w:sz="0" w:space="0" w:color="auto"/>
        <w:right w:val="none" w:sz="0" w:space="0" w:color="auto"/>
      </w:divBdr>
    </w:div>
    <w:div w:id="698360508">
      <w:bodyDiv w:val="1"/>
      <w:marLeft w:val="0"/>
      <w:marRight w:val="0"/>
      <w:marTop w:val="0"/>
      <w:marBottom w:val="0"/>
      <w:divBdr>
        <w:top w:val="none" w:sz="0" w:space="0" w:color="auto"/>
        <w:left w:val="none" w:sz="0" w:space="0" w:color="auto"/>
        <w:bottom w:val="none" w:sz="0" w:space="0" w:color="auto"/>
        <w:right w:val="none" w:sz="0" w:space="0" w:color="auto"/>
      </w:divBdr>
    </w:div>
    <w:div w:id="714164610">
      <w:bodyDiv w:val="1"/>
      <w:marLeft w:val="0"/>
      <w:marRight w:val="0"/>
      <w:marTop w:val="0"/>
      <w:marBottom w:val="0"/>
      <w:divBdr>
        <w:top w:val="none" w:sz="0" w:space="0" w:color="auto"/>
        <w:left w:val="none" w:sz="0" w:space="0" w:color="auto"/>
        <w:bottom w:val="none" w:sz="0" w:space="0" w:color="auto"/>
        <w:right w:val="none" w:sz="0" w:space="0" w:color="auto"/>
      </w:divBdr>
    </w:div>
    <w:div w:id="744424375">
      <w:bodyDiv w:val="1"/>
      <w:marLeft w:val="0"/>
      <w:marRight w:val="0"/>
      <w:marTop w:val="0"/>
      <w:marBottom w:val="0"/>
      <w:divBdr>
        <w:top w:val="none" w:sz="0" w:space="0" w:color="auto"/>
        <w:left w:val="none" w:sz="0" w:space="0" w:color="auto"/>
        <w:bottom w:val="none" w:sz="0" w:space="0" w:color="auto"/>
        <w:right w:val="none" w:sz="0" w:space="0" w:color="auto"/>
      </w:divBdr>
    </w:div>
    <w:div w:id="760416400">
      <w:bodyDiv w:val="1"/>
      <w:marLeft w:val="0"/>
      <w:marRight w:val="0"/>
      <w:marTop w:val="0"/>
      <w:marBottom w:val="0"/>
      <w:divBdr>
        <w:top w:val="none" w:sz="0" w:space="0" w:color="auto"/>
        <w:left w:val="none" w:sz="0" w:space="0" w:color="auto"/>
        <w:bottom w:val="none" w:sz="0" w:space="0" w:color="auto"/>
        <w:right w:val="none" w:sz="0" w:space="0" w:color="auto"/>
      </w:divBdr>
    </w:div>
    <w:div w:id="777411160">
      <w:bodyDiv w:val="1"/>
      <w:marLeft w:val="0"/>
      <w:marRight w:val="0"/>
      <w:marTop w:val="0"/>
      <w:marBottom w:val="0"/>
      <w:divBdr>
        <w:top w:val="none" w:sz="0" w:space="0" w:color="auto"/>
        <w:left w:val="none" w:sz="0" w:space="0" w:color="auto"/>
        <w:bottom w:val="none" w:sz="0" w:space="0" w:color="auto"/>
        <w:right w:val="none" w:sz="0" w:space="0" w:color="auto"/>
      </w:divBdr>
    </w:div>
    <w:div w:id="790174960">
      <w:bodyDiv w:val="1"/>
      <w:marLeft w:val="0"/>
      <w:marRight w:val="0"/>
      <w:marTop w:val="0"/>
      <w:marBottom w:val="0"/>
      <w:divBdr>
        <w:top w:val="none" w:sz="0" w:space="0" w:color="auto"/>
        <w:left w:val="none" w:sz="0" w:space="0" w:color="auto"/>
        <w:bottom w:val="none" w:sz="0" w:space="0" w:color="auto"/>
        <w:right w:val="none" w:sz="0" w:space="0" w:color="auto"/>
      </w:divBdr>
    </w:div>
    <w:div w:id="807550785">
      <w:bodyDiv w:val="1"/>
      <w:marLeft w:val="0"/>
      <w:marRight w:val="0"/>
      <w:marTop w:val="0"/>
      <w:marBottom w:val="0"/>
      <w:divBdr>
        <w:top w:val="none" w:sz="0" w:space="0" w:color="auto"/>
        <w:left w:val="none" w:sz="0" w:space="0" w:color="auto"/>
        <w:bottom w:val="none" w:sz="0" w:space="0" w:color="auto"/>
        <w:right w:val="none" w:sz="0" w:space="0" w:color="auto"/>
      </w:divBdr>
    </w:div>
    <w:div w:id="837309805">
      <w:bodyDiv w:val="1"/>
      <w:marLeft w:val="0"/>
      <w:marRight w:val="0"/>
      <w:marTop w:val="0"/>
      <w:marBottom w:val="0"/>
      <w:divBdr>
        <w:top w:val="none" w:sz="0" w:space="0" w:color="auto"/>
        <w:left w:val="none" w:sz="0" w:space="0" w:color="auto"/>
        <w:bottom w:val="none" w:sz="0" w:space="0" w:color="auto"/>
        <w:right w:val="none" w:sz="0" w:space="0" w:color="auto"/>
      </w:divBdr>
    </w:div>
    <w:div w:id="870456625">
      <w:bodyDiv w:val="1"/>
      <w:marLeft w:val="0"/>
      <w:marRight w:val="0"/>
      <w:marTop w:val="0"/>
      <w:marBottom w:val="0"/>
      <w:divBdr>
        <w:top w:val="none" w:sz="0" w:space="0" w:color="auto"/>
        <w:left w:val="none" w:sz="0" w:space="0" w:color="auto"/>
        <w:bottom w:val="none" w:sz="0" w:space="0" w:color="auto"/>
        <w:right w:val="none" w:sz="0" w:space="0" w:color="auto"/>
      </w:divBdr>
    </w:div>
    <w:div w:id="878007222">
      <w:bodyDiv w:val="1"/>
      <w:marLeft w:val="0"/>
      <w:marRight w:val="0"/>
      <w:marTop w:val="0"/>
      <w:marBottom w:val="0"/>
      <w:divBdr>
        <w:top w:val="none" w:sz="0" w:space="0" w:color="auto"/>
        <w:left w:val="none" w:sz="0" w:space="0" w:color="auto"/>
        <w:bottom w:val="none" w:sz="0" w:space="0" w:color="auto"/>
        <w:right w:val="none" w:sz="0" w:space="0" w:color="auto"/>
      </w:divBdr>
    </w:div>
    <w:div w:id="923220851">
      <w:bodyDiv w:val="1"/>
      <w:marLeft w:val="0"/>
      <w:marRight w:val="0"/>
      <w:marTop w:val="0"/>
      <w:marBottom w:val="0"/>
      <w:divBdr>
        <w:top w:val="none" w:sz="0" w:space="0" w:color="auto"/>
        <w:left w:val="none" w:sz="0" w:space="0" w:color="auto"/>
        <w:bottom w:val="none" w:sz="0" w:space="0" w:color="auto"/>
        <w:right w:val="none" w:sz="0" w:space="0" w:color="auto"/>
      </w:divBdr>
    </w:div>
    <w:div w:id="965280618">
      <w:bodyDiv w:val="1"/>
      <w:marLeft w:val="0"/>
      <w:marRight w:val="0"/>
      <w:marTop w:val="0"/>
      <w:marBottom w:val="0"/>
      <w:divBdr>
        <w:top w:val="none" w:sz="0" w:space="0" w:color="auto"/>
        <w:left w:val="none" w:sz="0" w:space="0" w:color="auto"/>
        <w:bottom w:val="none" w:sz="0" w:space="0" w:color="auto"/>
        <w:right w:val="none" w:sz="0" w:space="0" w:color="auto"/>
      </w:divBdr>
    </w:div>
    <w:div w:id="1007100093">
      <w:bodyDiv w:val="1"/>
      <w:marLeft w:val="0"/>
      <w:marRight w:val="0"/>
      <w:marTop w:val="0"/>
      <w:marBottom w:val="0"/>
      <w:divBdr>
        <w:top w:val="none" w:sz="0" w:space="0" w:color="auto"/>
        <w:left w:val="none" w:sz="0" w:space="0" w:color="auto"/>
        <w:bottom w:val="none" w:sz="0" w:space="0" w:color="auto"/>
        <w:right w:val="none" w:sz="0" w:space="0" w:color="auto"/>
      </w:divBdr>
    </w:div>
    <w:div w:id="1012680952">
      <w:bodyDiv w:val="1"/>
      <w:marLeft w:val="0"/>
      <w:marRight w:val="0"/>
      <w:marTop w:val="0"/>
      <w:marBottom w:val="0"/>
      <w:divBdr>
        <w:top w:val="none" w:sz="0" w:space="0" w:color="auto"/>
        <w:left w:val="none" w:sz="0" w:space="0" w:color="auto"/>
        <w:bottom w:val="none" w:sz="0" w:space="0" w:color="auto"/>
        <w:right w:val="none" w:sz="0" w:space="0" w:color="auto"/>
      </w:divBdr>
    </w:div>
    <w:div w:id="1023478121">
      <w:bodyDiv w:val="1"/>
      <w:marLeft w:val="0"/>
      <w:marRight w:val="0"/>
      <w:marTop w:val="0"/>
      <w:marBottom w:val="0"/>
      <w:divBdr>
        <w:top w:val="none" w:sz="0" w:space="0" w:color="auto"/>
        <w:left w:val="none" w:sz="0" w:space="0" w:color="auto"/>
        <w:bottom w:val="none" w:sz="0" w:space="0" w:color="auto"/>
        <w:right w:val="none" w:sz="0" w:space="0" w:color="auto"/>
      </w:divBdr>
    </w:div>
    <w:div w:id="1030840676">
      <w:bodyDiv w:val="1"/>
      <w:marLeft w:val="0"/>
      <w:marRight w:val="0"/>
      <w:marTop w:val="0"/>
      <w:marBottom w:val="0"/>
      <w:divBdr>
        <w:top w:val="none" w:sz="0" w:space="0" w:color="auto"/>
        <w:left w:val="none" w:sz="0" w:space="0" w:color="auto"/>
        <w:bottom w:val="none" w:sz="0" w:space="0" w:color="auto"/>
        <w:right w:val="none" w:sz="0" w:space="0" w:color="auto"/>
      </w:divBdr>
    </w:div>
    <w:div w:id="1086154034">
      <w:bodyDiv w:val="1"/>
      <w:marLeft w:val="0"/>
      <w:marRight w:val="0"/>
      <w:marTop w:val="0"/>
      <w:marBottom w:val="0"/>
      <w:divBdr>
        <w:top w:val="none" w:sz="0" w:space="0" w:color="auto"/>
        <w:left w:val="none" w:sz="0" w:space="0" w:color="auto"/>
        <w:bottom w:val="none" w:sz="0" w:space="0" w:color="auto"/>
        <w:right w:val="none" w:sz="0" w:space="0" w:color="auto"/>
      </w:divBdr>
    </w:div>
    <w:div w:id="1093742560">
      <w:bodyDiv w:val="1"/>
      <w:marLeft w:val="0"/>
      <w:marRight w:val="0"/>
      <w:marTop w:val="0"/>
      <w:marBottom w:val="0"/>
      <w:divBdr>
        <w:top w:val="none" w:sz="0" w:space="0" w:color="auto"/>
        <w:left w:val="none" w:sz="0" w:space="0" w:color="auto"/>
        <w:bottom w:val="none" w:sz="0" w:space="0" w:color="auto"/>
        <w:right w:val="none" w:sz="0" w:space="0" w:color="auto"/>
      </w:divBdr>
    </w:div>
    <w:div w:id="1124419271">
      <w:bodyDiv w:val="1"/>
      <w:marLeft w:val="0"/>
      <w:marRight w:val="0"/>
      <w:marTop w:val="0"/>
      <w:marBottom w:val="0"/>
      <w:divBdr>
        <w:top w:val="none" w:sz="0" w:space="0" w:color="auto"/>
        <w:left w:val="none" w:sz="0" w:space="0" w:color="auto"/>
        <w:bottom w:val="none" w:sz="0" w:space="0" w:color="auto"/>
        <w:right w:val="none" w:sz="0" w:space="0" w:color="auto"/>
      </w:divBdr>
    </w:div>
    <w:div w:id="1155100128">
      <w:bodyDiv w:val="1"/>
      <w:marLeft w:val="0"/>
      <w:marRight w:val="0"/>
      <w:marTop w:val="0"/>
      <w:marBottom w:val="0"/>
      <w:divBdr>
        <w:top w:val="none" w:sz="0" w:space="0" w:color="auto"/>
        <w:left w:val="none" w:sz="0" w:space="0" w:color="auto"/>
        <w:bottom w:val="none" w:sz="0" w:space="0" w:color="auto"/>
        <w:right w:val="none" w:sz="0" w:space="0" w:color="auto"/>
      </w:divBdr>
    </w:div>
    <w:div w:id="1156606213">
      <w:bodyDiv w:val="1"/>
      <w:marLeft w:val="0"/>
      <w:marRight w:val="0"/>
      <w:marTop w:val="0"/>
      <w:marBottom w:val="0"/>
      <w:divBdr>
        <w:top w:val="none" w:sz="0" w:space="0" w:color="auto"/>
        <w:left w:val="none" w:sz="0" w:space="0" w:color="auto"/>
        <w:bottom w:val="none" w:sz="0" w:space="0" w:color="auto"/>
        <w:right w:val="none" w:sz="0" w:space="0" w:color="auto"/>
      </w:divBdr>
    </w:div>
    <w:div w:id="1201091033">
      <w:bodyDiv w:val="1"/>
      <w:marLeft w:val="0"/>
      <w:marRight w:val="0"/>
      <w:marTop w:val="0"/>
      <w:marBottom w:val="0"/>
      <w:divBdr>
        <w:top w:val="none" w:sz="0" w:space="0" w:color="auto"/>
        <w:left w:val="none" w:sz="0" w:space="0" w:color="auto"/>
        <w:bottom w:val="none" w:sz="0" w:space="0" w:color="auto"/>
        <w:right w:val="none" w:sz="0" w:space="0" w:color="auto"/>
      </w:divBdr>
    </w:div>
    <w:div w:id="1263759690">
      <w:bodyDiv w:val="1"/>
      <w:marLeft w:val="0"/>
      <w:marRight w:val="0"/>
      <w:marTop w:val="0"/>
      <w:marBottom w:val="0"/>
      <w:divBdr>
        <w:top w:val="none" w:sz="0" w:space="0" w:color="auto"/>
        <w:left w:val="none" w:sz="0" w:space="0" w:color="auto"/>
        <w:bottom w:val="none" w:sz="0" w:space="0" w:color="auto"/>
        <w:right w:val="none" w:sz="0" w:space="0" w:color="auto"/>
      </w:divBdr>
    </w:div>
    <w:div w:id="1294408200">
      <w:bodyDiv w:val="1"/>
      <w:marLeft w:val="0"/>
      <w:marRight w:val="0"/>
      <w:marTop w:val="0"/>
      <w:marBottom w:val="0"/>
      <w:divBdr>
        <w:top w:val="none" w:sz="0" w:space="0" w:color="auto"/>
        <w:left w:val="none" w:sz="0" w:space="0" w:color="auto"/>
        <w:bottom w:val="none" w:sz="0" w:space="0" w:color="auto"/>
        <w:right w:val="none" w:sz="0" w:space="0" w:color="auto"/>
      </w:divBdr>
    </w:div>
    <w:div w:id="1307199219">
      <w:bodyDiv w:val="1"/>
      <w:marLeft w:val="0"/>
      <w:marRight w:val="0"/>
      <w:marTop w:val="0"/>
      <w:marBottom w:val="0"/>
      <w:divBdr>
        <w:top w:val="none" w:sz="0" w:space="0" w:color="auto"/>
        <w:left w:val="none" w:sz="0" w:space="0" w:color="auto"/>
        <w:bottom w:val="none" w:sz="0" w:space="0" w:color="auto"/>
        <w:right w:val="none" w:sz="0" w:space="0" w:color="auto"/>
      </w:divBdr>
    </w:div>
    <w:div w:id="1326515058">
      <w:bodyDiv w:val="1"/>
      <w:marLeft w:val="0"/>
      <w:marRight w:val="0"/>
      <w:marTop w:val="0"/>
      <w:marBottom w:val="0"/>
      <w:divBdr>
        <w:top w:val="none" w:sz="0" w:space="0" w:color="auto"/>
        <w:left w:val="none" w:sz="0" w:space="0" w:color="auto"/>
        <w:bottom w:val="none" w:sz="0" w:space="0" w:color="auto"/>
        <w:right w:val="none" w:sz="0" w:space="0" w:color="auto"/>
      </w:divBdr>
    </w:div>
    <w:div w:id="1326932949">
      <w:bodyDiv w:val="1"/>
      <w:marLeft w:val="0"/>
      <w:marRight w:val="0"/>
      <w:marTop w:val="0"/>
      <w:marBottom w:val="0"/>
      <w:divBdr>
        <w:top w:val="none" w:sz="0" w:space="0" w:color="auto"/>
        <w:left w:val="none" w:sz="0" w:space="0" w:color="auto"/>
        <w:bottom w:val="none" w:sz="0" w:space="0" w:color="auto"/>
        <w:right w:val="none" w:sz="0" w:space="0" w:color="auto"/>
      </w:divBdr>
    </w:div>
    <w:div w:id="1339383238">
      <w:bodyDiv w:val="1"/>
      <w:marLeft w:val="0"/>
      <w:marRight w:val="0"/>
      <w:marTop w:val="0"/>
      <w:marBottom w:val="0"/>
      <w:divBdr>
        <w:top w:val="none" w:sz="0" w:space="0" w:color="auto"/>
        <w:left w:val="none" w:sz="0" w:space="0" w:color="auto"/>
        <w:bottom w:val="none" w:sz="0" w:space="0" w:color="auto"/>
        <w:right w:val="none" w:sz="0" w:space="0" w:color="auto"/>
      </w:divBdr>
    </w:div>
    <w:div w:id="1376660373">
      <w:bodyDiv w:val="1"/>
      <w:marLeft w:val="0"/>
      <w:marRight w:val="0"/>
      <w:marTop w:val="0"/>
      <w:marBottom w:val="0"/>
      <w:divBdr>
        <w:top w:val="none" w:sz="0" w:space="0" w:color="auto"/>
        <w:left w:val="none" w:sz="0" w:space="0" w:color="auto"/>
        <w:bottom w:val="none" w:sz="0" w:space="0" w:color="auto"/>
        <w:right w:val="none" w:sz="0" w:space="0" w:color="auto"/>
      </w:divBdr>
    </w:div>
    <w:div w:id="1389764260">
      <w:bodyDiv w:val="1"/>
      <w:marLeft w:val="0"/>
      <w:marRight w:val="0"/>
      <w:marTop w:val="0"/>
      <w:marBottom w:val="0"/>
      <w:divBdr>
        <w:top w:val="none" w:sz="0" w:space="0" w:color="auto"/>
        <w:left w:val="none" w:sz="0" w:space="0" w:color="auto"/>
        <w:bottom w:val="none" w:sz="0" w:space="0" w:color="auto"/>
        <w:right w:val="none" w:sz="0" w:space="0" w:color="auto"/>
      </w:divBdr>
    </w:div>
    <w:div w:id="1396852018">
      <w:bodyDiv w:val="1"/>
      <w:marLeft w:val="0"/>
      <w:marRight w:val="0"/>
      <w:marTop w:val="0"/>
      <w:marBottom w:val="0"/>
      <w:divBdr>
        <w:top w:val="none" w:sz="0" w:space="0" w:color="auto"/>
        <w:left w:val="none" w:sz="0" w:space="0" w:color="auto"/>
        <w:bottom w:val="none" w:sz="0" w:space="0" w:color="auto"/>
        <w:right w:val="none" w:sz="0" w:space="0" w:color="auto"/>
      </w:divBdr>
    </w:div>
    <w:div w:id="1404133804">
      <w:bodyDiv w:val="1"/>
      <w:marLeft w:val="0"/>
      <w:marRight w:val="0"/>
      <w:marTop w:val="0"/>
      <w:marBottom w:val="0"/>
      <w:divBdr>
        <w:top w:val="none" w:sz="0" w:space="0" w:color="auto"/>
        <w:left w:val="none" w:sz="0" w:space="0" w:color="auto"/>
        <w:bottom w:val="none" w:sz="0" w:space="0" w:color="auto"/>
        <w:right w:val="none" w:sz="0" w:space="0" w:color="auto"/>
      </w:divBdr>
    </w:div>
    <w:div w:id="1506239384">
      <w:bodyDiv w:val="1"/>
      <w:marLeft w:val="0"/>
      <w:marRight w:val="0"/>
      <w:marTop w:val="0"/>
      <w:marBottom w:val="0"/>
      <w:divBdr>
        <w:top w:val="none" w:sz="0" w:space="0" w:color="auto"/>
        <w:left w:val="none" w:sz="0" w:space="0" w:color="auto"/>
        <w:bottom w:val="none" w:sz="0" w:space="0" w:color="auto"/>
        <w:right w:val="none" w:sz="0" w:space="0" w:color="auto"/>
      </w:divBdr>
    </w:div>
    <w:div w:id="1533575109">
      <w:bodyDiv w:val="1"/>
      <w:marLeft w:val="0"/>
      <w:marRight w:val="0"/>
      <w:marTop w:val="0"/>
      <w:marBottom w:val="0"/>
      <w:divBdr>
        <w:top w:val="none" w:sz="0" w:space="0" w:color="auto"/>
        <w:left w:val="none" w:sz="0" w:space="0" w:color="auto"/>
        <w:bottom w:val="none" w:sz="0" w:space="0" w:color="auto"/>
        <w:right w:val="none" w:sz="0" w:space="0" w:color="auto"/>
      </w:divBdr>
    </w:div>
    <w:div w:id="1553616087">
      <w:bodyDiv w:val="1"/>
      <w:marLeft w:val="0"/>
      <w:marRight w:val="0"/>
      <w:marTop w:val="0"/>
      <w:marBottom w:val="0"/>
      <w:divBdr>
        <w:top w:val="none" w:sz="0" w:space="0" w:color="auto"/>
        <w:left w:val="none" w:sz="0" w:space="0" w:color="auto"/>
        <w:bottom w:val="none" w:sz="0" w:space="0" w:color="auto"/>
        <w:right w:val="none" w:sz="0" w:space="0" w:color="auto"/>
      </w:divBdr>
    </w:div>
    <w:div w:id="1576890743">
      <w:bodyDiv w:val="1"/>
      <w:marLeft w:val="0"/>
      <w:marRight w:val="0"/>
      <w:marTop w:val="0"/>
      <w:marBottom w:val="0"/>
      <w:divBdr>
        <w:top w:val="none" w:sz="0" w:space="0" w:color="auto"/>
        <w:left w:val="none" w:sz="0" w:space="0" w:color="auto"/>
        <w:bottom w:val="none" w:sz="0" w:space="0" w:color="auto"/>
        <w:right w:val="none" w:sz="0" w:space="0" w:color="auto"/>
      </w:divBdr>
    </w:div>
    <w:div w:id="1582374571">
      <w:bodyDiv w:val="1"/>
      <w:marLeft w:val="0"/>
      <w:marRight w:val="0"/>
      <w:marTop w:val="0"/>
      <w:marBottom w:val="0"/>
      <w:divBdr>
        <w:top w:val="none" w:sz="0" w:space="0" w:color="auto"/>
        <w:left w:val="none" w:sz="0" w:space="0" w:color="auto"/>
        <w:bottom w:val="none" w:sz="0" w:space="0" w:color="auto"/>
        <w:right w:val="none" w:sz="0" w:space="0" w:color="auto"/>
      </w:divBdr>
    </w:div>
    <w:div w:id="1586381420">
      <w:bodyDiv w:val="1"/>
      <w:marLeft w:val="0"/>
      <w:marRight w:val="0"/>
      <w:marTop w:val="0"/>
      <w:marBottom w:val="0"/>
      <w:divBdr>
        <w:top w:val="none" w:sz="0" w:space="0" w:color="auto"/>
        <w:left w:val="none" w:sz="0" w:space="0" w:color="auto"/>
        <w:bottom w:val="none" w:sz="0" w:space="0" w:color="auto"/>
        <w:right w:val="none" w:sz="0" w:space="0" w:color="auto"/>
      </w:divBdr>
    </w:div>
    <w:div w:id="1591160547">
      <w:bodyDiv w:val="1"/>
      <w:marLeft w:val="0"/>
      <w:marRight w:val="0"/>
      <w:marTop w:val="0"/>
      <w:marBottom w:val="0"/>
      <w:divBdr>
        <w:top w:val="none" w:sz="0" w:space="0" w:color="auto"/>
        <w:left w:val="none" w:sz="0" w:space="0" w:color="auto"/>
        <w:bottom w:val="none" w:sz="0" w:space="0" w:color="auto"/>
        <w:right w:val="none" w:sz="0" w:space="0" w:color="auto"/>
      </w:divBdr>
    </w:div>
    <w:div w:id="1635063598">
      <w:bodyDiv w:val="1"/>
      <w:marLeft w:val="0"/>
      <w:marRight w:val="0"/>
      <w:marTop w:val="0"/>
      <w:marBottom w:val="0"/>
      <w:divBdr>
        <w:top w:val="none" w:sz="0" w:space="0" w:color="auto"/>
        <w:left w:val="none" w:sz="0" w:space="0" w:color="auto"/>
        <w:bottom w:val="none" w:sz="0" w:space="0" w:color="auto"/>
        <w:right w:val="none" w:sz="0" w:space="0" w:color="auto"/>
      </w:divBdr>
    </w:div>
    <w:div w:id="1646201464">
      <w:bodyDiv w:val="1"/>
      <w:marLeft w:val="0"/>
      <w:marRight w:val="0"/>
      <w:marTop w:val="0"/>
      <w:marBottom w:val="0"/>
      <w:divBdr>
        <w:top w:val="none" w:sz="0" w:space="0" w:color="auto"/>
        <w:left w:val="none" w:sz="0" w:space="0" w:color="auto"/>
        <w:bottom w:val="none" w:sz="0" w:space="0" w:color="auto"/>
        <w:right w:val="none" w:sz="0" w:space="0" w:color="auto"/>
      </w:divBdr>
    </w:div>
    <w:div w:id="1713188679">
      <w:bodyDiv w:val="1"/>
      <w:marLeft w:val="0"/>
      <w:marRight w:val="0"/>
      <w:marTop w:val="0"/>
      <w:marBottom w:val="0"/>
      <w:divBdr>
        <w:top w:val="none" w:sz="0" w:space="0" w:color="auto"/>
        <w:left w:val="none" w:sz="0" w:space="0" w:color="auto"/>
        <w:bottom w:val="none" w:sz="0" w:space="0" w:color="auto"/>
        <w:right w:val="none" w:sz="0" w:space="0" w:color="auto"/>
      </w:divBdr>
    </w:div>
    <w:div w:id="1716663348">
      <w:bodyDiv w:val="1"/>
      <w:marLeft w:val="0"/>
      <w:marRight w:val="0"/>
      <w:marTop w:val="0"/>
      <w:marBottom w:val="0"/>
      <w:divBdr>
        <w:top w:val="none" w:sz="0" w:space="0" w:color="auto"/>
        <w:left w:val="none" w:sz="0" w:space="0" w:color="auto"/>
        <w:bottom w:val="none" w:sz="0" w:space="0" w:color="auto"/>
        <w:right w:val="none" w:sz="0" w:space="0" w:color="auto"/>
      </w:divBdr>
    </w:div>
    <w:div w:id="1717776686">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1773042724">
      <w:bodyDiv w:val="1"/>
      <w:marLeft w:val="0"/>
      <w:marRight w:val="0"/>
      <w:marTop w:val="0"/>
      <w:marBottom w:val="0"/>
      <w:divBdr>
        <w:top w:val="none" w:sz="0" w:space="0" w:color="auto"/>
        <w:left w:val="none" w:sz="0" w:space="0" w:color="auto"/>
        <w:bottom w:val="none" w:sz="0" w:space="0" w:color="auto"/>
        <w:right w:val="none" w:sz="0" w:space="0" w:color="auto"/>
      </w:divBdr>
    </w:div>
    <w:div w:id="1789814325">
      <w:bodyDiv w:val="1"/>
      <w:marLeft w:val="0"/>
      <w:marRight w:val="0"/>
      <w:marTop w:val="0"/>
      <w:marBottom w:val="0"/>
      <w:divBdr>
        <w:top w:val="none" w:sz="0" w:space="0" w:color="auto"/>
        <w:left w:val="none" w:sz="0" w:space="0" w:color="auto"/>
        <w:bottom w:val="none" w:sz="0" w:space="0" w:color="auto"/>
        <w:right w:val="none" w:sz="0" w:space="0" w:color="auto"/>
      </w:divBdr>
    </w:div>
    <w:div w:id="1821386849">
      <w:bodyDiv w:val="1"/>
      <w:marLeft w:val="0"/>
      <w:marRight w:val="0"/>
      <w:marTop w:val="0"/>
      <w:marBottom w:val="0"/>
      <w:divBdr>
        <w:top w:val="none" w:sz="0" w:space="0" w:color="auto"/>
        <w:left w:val="none" w:sz="0" w:space="0" w:color="auto"/>
        <w:bottom w:val="none" w:sz="0" w:space="0" w:color="auto"/>
        <w:right w:val="none" w:sz="0" w:space="0" w:color="auto"/>
      </w:divBdr>
    </w:div>
    <w:div w:id="1830095188">
      <w:bodyDiv w:val="1"/>
      <w:marLeft w:val="0"/>
      <w:marRight w:val="0"/>
      <w:marTop w:val="0"/>
      <w:marBottom w:val="0"/>
      <w:divBdr>
        <w:top w:val="none" w:sz="0" w:space="0" w:color="auto"/>
        <w:left w:val="none" w:sz="0" w:space="0" w:color="auto"/>
        <w:bottom w:val="none" w:sz="0" w:space="0" w:color="auto"/>
        <w:right w:val="none" w:sz="0" w:space="0" w:color="auto"/>
      </w:divBdr>
    </w:div>
    <w:div w:id="1863397526">
      <w:bodyDiv w:val="1"/>
      <w:marLeft w:val="0"/>
      <w:marRight w:val="0"/>
      <w:marTop w:val="0"/>
      <w:marBottom w:val="0"/>
      <w:divBdr>
        <w:top w:val="none" w:sz="0" w:space="0" w:color="auto"/>
        <w:left w:val="none" w:sz="0" w:space="0" w:color="auto"/>
        <w:bottom w:val="none" w:sz="0" w:space="0" w:color="auto"/>
        <w:right w:val="none" w:sz="0" w:space="0" w:color="auto"/>
      </w:divBdr>
    </w:div>
    <w:div w:id="1875196011">
      <w:bodyDiv w:val="1"/>
      <w:marLeft w:val="0"/>
      <w:marRight w:val="0"/>
      <w:marTop w:val="0"/>
      <w:marBottom w:val="0"/>
      <w:divBdr>
        <w:top w:val="none" w:sz="0" w:space="0" w:color="auto"/>
        <w:left w:val="none" w:sz="0" w:space="0" w:color="auto"/>
        <w:bottom w:val="none" w:sz="0" w:space="0" w:color="auto"/>
        <w:right w:val="none" w:sz="0" w:space="0" w:color="auto"/>
      </w:divBdr>
    </w:div>
    <w:div w:id="1880438917">
      <w:bodyDiv w:val="1"/>
      <w:marLeft w:val="0"/>
      <w:marRight w:val="0"/>
      <w:marTop w:val="0"/>
      <w:marBottom w:val="0"/>
      <w:divBdr>
        <w:top w:val="none" w:sz="0" w:space="0" w:color="auto"/>
        <w:left w:val="none" w:sz="0" w:space="0" w:color="auto"/>
        <w:bottom w:val="none" w:sz="0" w:space="0" w:color="auto"/>
        <w:right w:val="none" w:sz="0" w:space="0" w:color="auto"/>
      </w:divBdr>
    </w:div>
    <w:div w:id="1886214978">
      <w:bodyDiv w:val="1"/>
      <w:marLeft w:val="0"/>
      <w:marRight w:val="0"/>
      <w:marTop w:val="0"/>
      <w:marBottom w:val="0"/>
      <w:divBdr>
        <w:top w:val="none" w:sz="0" w:space="0" w:color="auto"/>
        <w:left w:val="none" w:sz="0" w:space="0" w:color="auto"/>
        <w:bottom w:val="none" w:sz="0" w:space="0" w:color="auto"/>
        <w:right w:val="none" w:sz="0" w:space="0" w:color="auto"/>
      </w:divBdr>
    </w:div>
    <w:div w:id="1898542910">
      <w:bodyDiv w:val="1"/>
      <w:marLeft w:val="0"/>
      <w:marRight w:val="0"/>
      <w:marTop w:val="0"/>
      <w:marBottom w:val="0"/>
      <w:divBdr>
        <w:top w:val="none" w:sz="0" w:space="0" w:color="auto"/>
        <w:left w:val="none" w:sz="0" w:space="0" w:color="auto"/>
        <w:bottom w:val="none" w:sz="0" w:space="0" w:color="auto"/>
        <w:right w:val="none" w:sz="0" w:space="0" w:color="auto"/>
      </w:divBdr>
    </w:div>
    <w:div w:id="1932203603">
      <w:bodyDiv w:val="1"/>
      <w:marLeft w:val="0"/>
      <w:marRight w:val="0"/>
      <w:marTop w:val="0"/>
      <w:marBottom w:val="0"/>
      <w:divBdr>
        <w:top w:val="none" w:sz="0" w:space="0" w:color="auto"/>
        <w:left w:val="none" w:sz="0" w:space="0" w:color="auto"/>
        <w:bottom w:val="none" w:sz="0" w:space="0" w:color="auto"/>
        <w:right w:val="none" w:sz="0" w:space="0" w:color="auto"/>
      </w:divBdr>
    </w:div>
    <w:div w:id="1942368913">
      <w:bodyDiv w:val="1"/>
      <w:marLeft w:val="0"/>
      <w:marRight w:val="0"/>
      <w:marTop w:val="0"/>
      <w:marBottom w:val="0"/>
      <w:divBdr>
        <w:top w:val="none" w:sz="0" w:space="0" w:color="auto"/>
        <w:left w:val="none" w:sz="0" w:space="0" w:color="auto"/>
        <w:bottom w:val="none" w:sz="0" w:space="0" w:color="auto"/>
        <w:right w:val="none" w:sz="0" w:space="0" w:color="auto"/>
      </w:divBdr>
    </w:div>
    <w:div w:id="1943682367">
      <w:bodyDiv w:val="1"/>
      <w:marLeft w:val="0"/>
      <w:marRight w:val="0"/>
      <w:marTop w:val="0"/>
      <w:marBottom w:val="0"/>
      <w:divBdr>
        <w:top w:val="none" w:sz="0" w:space="0" w:color="auto"/>
        <w:left w:val="none" w:sz="0" w:space="0" w:color="auto"/>
        <w:bottom w:val="none" w:sz="0" w:space="0" w:color="auto"/>
        <w:right w:val="none" w:sz="0" w:space="0" w:color="auto"/>
      </w:divBdr>
    </w:div>
    <w:div w:id="1969628391">
      <w:bodyDiv w:val="1"/>
      <w:marLeft w:val="0"/>
      <w:marRight w:val="0"/>
      <w:marTop w:val="0"/>
      <w:marBottom w:val="0"/>
      <w:divBdr>
        <w:top w:val="none" w:sz="0" w:space="0" w:color="auto"/>
        <w:left w:val="none" w:sz="0" w:space="0" w:color="auto"/>
        <w:bottom w:val="none" w:sz="0" w:space="0" w:color="auto"/>
        <w:right w:val="none" w:sz="0" w:space="0" w:color="auto"/>
      </w:divBdr>
    </w:div>
    <w:div w:id="1976328737">
      <w:bodyDiv w:val="1"/>
      <w:marLeft w:val="0"/>
      <w:marRight w:val="0"/>
      <w:marTop w:val="0"/>
      <w:marBottom w:val="0"/>
      <w:divBdr>
        <w:top w:val="none" w:sz="0" w:space="0" w:color="auto"/>
        <w:left w:val="none" w:sz="0" w:space="0" w:color="auto"/>
        <w:bottom w:val="none" w:sz="0" w:space="0" w:color="auto"/>
        <w:right w:val="none" w:sz="0" w:space="0" w:color="auto"/>
      </w:divBdr>
    </w:div>
    <w:div w:id="1978992379">
      <w:bodyDiv w:val="1"/>
      <w:marLeft w:val="0"/>
      <w:marRight w:val="0"/>
      <w:marTop w:val="0"/>
      <w:marBottom w:val="0"/>
      <w:divBdr>
        <w:top w:val="none" w:sz="0" w:space="0" w:color="auto"/>
        <w:left w:val="none" w:sz="0" w:space="0" w:color="auto"/>
        <w:bottom w:val="none" w:sz="0" w:space="0" w:color="auto"/>
        <w:right w:val="none" w:sz="0" w:space="0" w:color="auto"/>
      </w:divBdr>
    </w:div>
    <w:div w:id="2035956591">
      <w:bodyDiv w:val="1"/>
      <w:marLeft w:val="0"/>
      <w:marRight w:val="0"/>
      <w:marTop w:val="0"/>
      <w:marBottom w:val="0"/>
      <w:divBdr>
        <w:top w:val="none" w:sz="0" w:space="0" w:color="auto"/>
        <w:left w:val="none" w:sz="0" w:space="0" w:color="auto"/>
        <w:bottom w:val="none" w:sz="0" w:space="0" w:color="auto"/>
        <w:right w:val="none" w:sz="0" w:space="0" w:color="auto"/>
      </w:divBdr>
    </w:div>
    <w:div w:id="2040929845">
      <w:bodyDiv w:val="1"/>
      <w:marLeft w:val="0"/>
      <w:marRight w:val="0"/>
      <w:marTop w:val="0"/>
      <w:marBottom w:val="0"/>
      <w:divBdr>
        <w:top w:val="none" w:sz="0" w:space="0" w:color="auto"/>
        <w:left w:val="none" w:sz="0" w:space="0" w:color="auto"/>
        <w:bottom w:val="none" w:sz="0" w:space="0" w:color="auto"/>
        <w:right w:val="none" w:sz="0" w:space="0" w:color="auto"/>
      </w:divBdr>
    </w:div>
    <w:div w:id="2041125038">
      <w:bodyDiv w:val="1"/>
      <w:marLeft w:val="0"/>
      <w:marRight w:val="0"/>
      <w:marTop w:val="0"/>
      <w:marBottom w:val="0"/>
      <w:divBdr>
        <w:top w:val="none" w:sz="0" w:space="0" w:color="auto"/>
        <w:left w:val="none" w:sz="0" w:space="0" w:color="auto"/>
        <w:bottom w:val="none" w:sz="0" w:space="0" w:color="auto"/>
        <w:right w:val="none" w:sz="0" w:space="0" w:color="auto"/>
      </w:divBdr>
    </w:div>
    <w:div w:id="2046443638">
      <w:bodyDiv w:val="1"/>
      <w:marLeft w:val="0"/>
      <w:marRight w:val="0"/>
      <w:marTop w:val="0"/>
      <w:marBottom w:val="0"/>
      <w:divBdr>
        <w:top w:val="none" w:sz="0" w:space="0" w:color="auto"/>
        <w:left w:val="none" w:sz="0" w:space="0" w:color="auto"/>
        <w:bottom w:val="none" w:sz="0" w:space="0" w:color="auto"/>
        <w:right w:val="none" w:sz="0" w:space="0" w:color="auto"/>
      </w:divBdr>
    </w:div>
    <w:div w:id="2068794589">
      <w:bodyDiv w:val="1"/>
      <w:marLeft w:val="0"/>
      <w:marRight w:val="0"/>
      <w:marTop w:val="0"/>
      <w:marBottom w:val="0"/>
      <w:divBdr>
        <w:top w:val="none" w:sz="0" w:space="0" w:color="auto"/>
        <w:left w:val="none" w:sz="0" w:space="0" w:color="auto"/>
        <w:bottom w:val="none" w:sz="0" w:space="0" w:color="auto"/>
        <w:right w:val="none" w:sz="0" w:space="0" w:color="auto"/>
      </w:divBdr>
    </w:div>
    <w:div w:id="21068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45FB3-E7D5-4866-AF59-CA58DC62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1153</Words>
  <Characters>6577</Characters>
  <Application>Microsoft Office Word</Application>
  <DocSecurity>0</DocSecurity>
  <Lines>54</Lines>
  <Paragraphs>15</Paragraphs>
  <ScaleCrop>false</ScaleCrop>
  <Company>xmrcb</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chenkexmrcb</dc:creator>
  <cp:lastModifiedBy>ck</cp:lastModifiedBy>
  <cp:revision>37</cp:revision>
  <cp:lastPrinted>2020-06-04T07:22:00Z</cp:lastPrinted>
  <dcterms:created xsi:type="dcterms:W3CDTF">2021-05-13T09:40:00Z</dcterms:created>
  <dcterms:modified xsi:type="dcterms:W3CDTF">2021-05-28T03:38:00Z</dcterms:modified>
</cp:coreProperties>
</file>