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债券、债券、债券借贷、其他投资、其他投资、其他投资、同业借款、同业拆借、回购、回购、存放同业、存放同业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277</w:t>
            </w:r>
          </w:p>
        </w:tc>
        <w:tc>
          <w:tcPr>
            <w:tcW w:w="2039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730.68</w:t>
            </w:r>
          </w:p>
        </w:tc>
        <w:tc>
          <w:tcPr>
            <w:tcW w:w="178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87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债券、债券、债券、债券、回购、回购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141</w:t>
            </w:r>
          </w:p>
        </w:tc>
        <w:tc>
          <w:tcPr>
            <w:tcW w:w="2039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61.55</w:t>
            </w:r>
          </w:p>
        </w:tc>
        <w:tc>
          <w:tcPr>
            <w:tcW w:w="178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87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>
            <w:r>
              <w:t>91</w:t>
            </w: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上存约期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37.13%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代理存放同业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19.3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30.87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57.3%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55.09%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资金调剂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5.57%</w:t>
            </w: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0.27%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其他资产投资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112.39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20.4%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54.29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9.85%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5.06%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2.41%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货币基金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2.14%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550.97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53.87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买入返售金融资产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4.58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2.98%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交易类基金投资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其他应付款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15.81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10.29%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卖出回购金融资产款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8.74%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69.79%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应付交易费用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净值型资产管理计划资产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应付利息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应付利润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利率型项目资产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应付托管费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应付税费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应收利息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应付管理人报酬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0.08%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活期存款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0.74%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应付运营服务费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清算备付金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应付销售服务费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0.03%</w:t>
            </w: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4.77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137.76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90.07%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6.6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理财直融工具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证券清算款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0.41%</w:t>
            </w: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银行存款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0.29%</w:t>
            </w: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153.72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152.95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21.06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8.07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融出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中途结息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到期赎回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提前赎回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借入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348.05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325.2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支取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2.02</w:t>
            </w: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277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730.68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</w:t>
            </w: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中途结息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到期赎回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提前赎回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支取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2.02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流动性-资金-同业借款-小微转贷款(资金业务部)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借入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自营-债券借贷(林文妹)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141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61.55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自营-承销现券-可供出售-利率债(林文妹)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自营-承销现券-可供出售-利率债(林文妹)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自营-现券-交易性-信用债(林文妹)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自营-现券-交易性-利率债(林文妹)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2.08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自营-现券-可供出售-信用债(林文妹)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1.47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7.69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7.77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自营-资金-拆借(林文妹)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自营-资金-质押式回购(林文妹)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348.05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自营-资金-质押式回购(林文妹)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325.2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11.39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17.05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28.0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18.89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11.0</w:t>
            </w:r>
          </w:p>
        </w:tc>
        <w:tc>
          <w:tcPr>
            <w:tcW w:w="1926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1.63</w:t>
            </w:r>
          </w:p>
        </w:tc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</w:t>
            </w:r>
          </w:p>
        </w:tc>
        <w:tc>
          <w:tcPr>
            <w:tcW w:w="1984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3.89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丰沃2号债券投资理财计划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丰沃三年15号A2-按季分红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丰沃三年16号A2-按季分红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2.82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0.39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1.44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2.54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8.51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4.82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4.67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0.64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5.81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鑫安利得7号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bookmarkEnd w:id="0"/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13.99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26.55%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37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22.32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42.37%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14.4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27.33%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>
            <w:r>
              <w:t>91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杭州钱塘新区产业发展集团有限公司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远东国际融资租赁有限公司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0.68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江苏苏海投资集团有限公司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0.26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武汉商贸集团有限公司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厦门轨道交通集团有限公司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重庆市万盛经开区城市开发投资集团有限公司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成都空港城市发展集团有限公司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苏州市相城城市建设投资(集团)有限公司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宁波市鄞城集团有限责任公司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湖南金阳新城建设发展集团有限公司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18.04%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晋江市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45.42%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36.54%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71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18.09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81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25.92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30.95%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34.08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40.7%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5.66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6.76%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余姚市城市建设投资发展有限公司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遵义道桥建设(集团)有限公司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远东国际融资租赁有限公司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江苏苏海投资集团有限公司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陕西省交通建设集团公司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1.06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福州市建设发展集团有限公司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苏州市吴中城市建设投资发展有限公司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宜兴市城市发展投资有限公司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江苏武进经济发展集团有限公司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0.46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海宁市城市发展投资集团有限公司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1.03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78.13%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2.61%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15.5%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3.75%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3.36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219.65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4.16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31.18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52.69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1.63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19.21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4.36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2.32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83.75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1.8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1.02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0.07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0.17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type="dxa" w:w="2739"/>
          </w:tcPr>
          <w:p/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23.48%</w:t>
            </w:r>
          </w:p>
        </w:tc>
        <w:tc>
          <w:tcPr>
            <w:tcW w:w="778" w:type="pct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8.3%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17.36%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78.07%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77.88%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29.82%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14.31%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61.22%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30.36%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8.44%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1.34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3家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8.05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</w:t>
            </w: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3.36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≤0.89%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16青国投MTN001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同业业务中心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54.7006479044341%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≤16%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 xml:space="preserve">              名称        市值         发行总额     单券集中度</w:t>
              <w:br/>
              <w:t>92  21常熟交通PPN001  0.407158  200000000.0  0.203579</w:t>
              <w:br/>
              <w:t>95  21湖北文旅MTN001  0.800849  400000000.0  0.200212</w:t>
              <w:br/>
              <w:t xml:space="preserve">              名称      市值          发行总额     单券集中度</w:t>
              <w:br/>
              <w:t>37  17宁乡城投PPN001  0.2062   100000000.0  0.206200</w:t>
              <w:br/>
              <w:t>52    17象屿MTN003  3.0736  1500000000.0  0.204907</w:t>
              <w:br/>
              <w:t>53    17象屿MTN003  3.0736  1500000000.0  0.204907</w:t>
              <w:br/>
              <w:t>54    17象屿MTN003  3.0736  1500000000.0  0.204907</w:t>
              <w:br/>
              <w:t>55    17象屿MTN003  3.0736  1500000000.0  0.204907</w:t>
              <w:br/>
              <w:t>56    17象屿MTN003  3.0736  1500000000.0  0.204907</w:t>
              <w:br/>
              <w:t>57    17象屿MTN003  3.0736  1500000000.0  0.204907</w:t>
            </w: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0.34</w:t>
            </w: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12.11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100.82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12.01%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≤0.04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≤0.0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无浮盈ETF</w:t>
            </w: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r>
              <w:t>1.27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B3" w:rsidRDefault="00870FB3" w:rsidP="007753CC">
      <w:r>
        <w:separator/>
      </w:r>
    </w:p>
  </w:endnote>
  <w:endnote w:type="continuationSeparator" w:id="0">
    <w:p w:rsidR="00870FB3" w:rsidRDefault="00870FB3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B3" w:rsidRDefault="00870FB3" w:rsidP="007753CC">
      <w:r>
        <w:separator/>
      </w:r>
    </w:p>
  </w:footnote>
  <w:footnote w:type="continuationSeparator" w:id="0">
    <w:p w:rsidR="00870FB3" w:rsidRDefault="00870FB3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3F39-5D49-4B19-BB97-7156E594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977</Words>
  <Characters>5573</Characters>
  <Application>Microsoft Office Word</Application>
  <DocSecurity>0</DocSecurity>
  <Lines>46</Lines>
  <Paragraphs>13</Paragraphs>
  <ScaleCrop>false</ScaleCrop>
  <Company>xmrcb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57</cp:revision>
  <cp:lastPrinted>2020-06-04T07:22:00Z</cp:lastPrinted>
  <dcterms:created xsi:type="dcterms:W3CDTF">2021-05-13T09:40:00Z</dcterms:created>
  <dcterms:modified xsi:type="dcterms:W3CDTF">2021-06-04T07:22:00Z</dcterms:modified>
</cp:coreProperties>
</file>